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4DCD" w14:textId="49465985" w:rsidR="00C6422C" w:rsidRDefault="002E3C0C">
      <w:r>
        <w:rPr>
          <w:noProof/>
          <w:color w:val="0F9ED5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2C53E" wp14:editId="17A95D0B">
                <wp:simplePos x="0" y="0"/>
                <wp:positionH relativeFrom="column">
                  <wp:posOffset>4340860</wp:posOffset>
                </wp:positionH>
                <wp:positionV relativeFrom="paragraph">
                  <wp:posOffset>-715569</wp:posOffset>
                </wp:positionV>
                <wp:extent cx="2130250" cy="932400"/>
                <wp:effectExtent l="0" t="0" r="3810" b="0"/>
                <wp:wrapNone/>
                <wp:docPr id="876036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250" cy="9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3088B" w14:textId="77777777" w:rsidR="002E3C0C" w:rsidRDefault="002E3C0C" w:rsidP="002E3C0C">
                            <w:r w:rsidRPr="00032F4C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</w:rPr>
                              <w:drawing>
                                <wp:inline distT="0" distB="0" distL="0" distR="0" wp14:anchorId="7B929580" wp14:editId="417E4357">
                                  <wp:extent cx="1940560" cy="885453"/>
                                  <wp:effectExtent l="0" t="0" r="2540" b="3810"/>
                                  <wp:docPr id="2" name="Picture 2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logo for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0560" cy="885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2C5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8pt;margin-top:-56.35pt;width:167.75pt;height: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" fillcolor="white [3201]" stroked="f" strokeweight=".5pt">
                <v:textbox>
                  <w:txbxContent>
                    <w:p w14:paraId="7713088B" w14:textId="77777777" w:rsidR="002E3C0C" w:rsidRDefault="002E3C0C" w:rsidP="002E3C0C">
                      <w:r w:rsidRPr="00032F4C">
                        <w:rPr>
                          <w:rFonts w:asciiTheme="minorHAnsi" w:eastAsia="Times New Roman" w:hAnsiTheme="minorHAnsi" w:cstheme="minorHAnsi"/>
                          <w:bCs/>
                          <w:noProof/>
                        </w:rPr>
                        <w:drawing>
                          <wp:inline distT="0" distB="0" distL="0" distR="0" wp14:anchorId="7B929580" wp14:editId="417E4357">
                            <wp:extent cx="1940560" cy="885453"/>
                            <wp:effectExtent l="0" t="0" r="2540" b="3810"/>
                            <wp:docPr id="2" name="Picture 2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logo for a company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0560" cy="885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769F" w:themeColor="accent4" w:themeShade="BF"/>
          <w:sz w:val="24"/>
          <w:szCs w:val="24"/>
        </w:rPr>
        <w:br/>
      </w:r>
      <w:r>
        <w:rPr>
          <w:color w:val="0B769F" w:themeColor="accent4" w:themeShade="BF"/>
          <w:sz w:val="24"/>
          <w:szCs w:val="24"/>
        </w:rPr>
        <w:br/>
      </w:r>
      <w:r w:rsidR="00FF4E12">
        <w:rPr>
          <w:color w:val="0B769F" w:themeColor="accent4" w:themeShade="BF"/>
          <w:sz w:val="24"/>
          <w:szCs w:val="24"/>
        </w:rPr>
        <w:t xml:space="preserve">UK </w:t>
      </w:r>
      <w:r w:rsidR="00C8020C">
        <w:rPr>
          <w:color w:val="0B769F" w:themeColor="accent4" w:themeShade="BF"/>
          <w:sz w:val="24"/>
          <w:szCs w:val="24"/>
        </w:rPr>
        <w:t>THRIVING PLACES INDEX</w:t>
      </w:r>
      <w:r w:rsidRPr="002E3C0C">
        <w:rPr>
          <w:color w:val="0B769F" w:themeColor="accent4" w:themeShade="BF"/>
          <w:sz w:val="24"/>
          <w:szCs w:val="24"/>
        </w:rPr>
        <w:t xml:space="preserve"> EXAMPLE ESF EVALUATION</w:t>
      </w:r>
      <w:r>
        <w:br/>
        <w:t>_______________________________________________________________________________</w:t>
      </w:r>
    </w:p>
    <w:p w14:paraId="56FD6B26" w14:textId="77777777" w:rsidR="002E3C0C" w:rsidRDefault="002E3C0C"/>
    <w:p w14:paraId="76D6EFB0" w14:textId="43A5F928" w:rsidR="00C8020C" w:rsidRPr="00C8020C" w:rsidRDefault="00C8020C" w:rsidP="00C8020C">
      <w:pPr>
        <w:rPr>
          <w:b/>
          <w:bCs/>
        </w:rPr>
      </w:pPr>
      <w:r w:rsidRPr="00C8020C">
        <w:rPr>
          <w:b/>
          <w:bCs/>
          <w:color w:val="0B769F" w:themeColor="accent4" w:themeShade="BF"/>
        </w:rPr>
        <w:t>1) ESF Domain Mapping (what the index emphasises)</w:t>
      </w:r>
      <w:r>
        <w:rPr>
          <w:b/>
          <w:bCs/>
        </w:rPr>
        <w:br/>
      </w:r>
    </w:p>
    <w:p w14:paraId="2EB626A1" w14:textId="102C65F0" w:rsidR="00C8020C" w:rsidRPr="00C8020C" w:rsidRDefault="00C8020C" w:rsidP="00C8020C">
      <w:r w:rsidRPr="00C8020C">
        <w:rPr>
          <w:b/>
          <w:bCs/>
        </w:rPr>
        <w:t>Dominant: Circular &amp; Regenerative Economics</w:t>
      </w:r>
      <w:r>
        <w:rPr>
          <w:b/>
          <w:bCs/>
        </w:rPr>
        <w:br/>
      </w:r>
      <w:r>
        <w:br/>
      </w:r>
      <w:r w:rsidRPr="00C8020C">
        <w:t xml:space="preserve">The TPI’s core structure gives significant weight to economic and structural enablers of wellbeing — including local economy, work and learning, fairness, housing, and transport. Its focus on </w:t>
      </w:r>
      <w:r w:rsidRPr="00C8020C">
        <w:rPr>
          <w:i/>
          <w:iCs/>
        </w:rPr>
        <w:t>inclusive prosperity</w:t>
      </w:r>
      <w:r w:rsidRPr="00C8020C">
        <w:t xml:space="preserve"> and </w:t>
      </w:r>
      <w:r w:rsidRPr="00C8020C">
        <w:rPr>
          <w:i/>
          <w:iCs/>
        </w:rPr>
        <w:t>sustainable place-based development</w:t>
      </w:r>
      <w:r w:rsidRPr="00C8020C">
        <w:t xml:space="preserve"> reflects the economic dimension of flourishing that underpins security and opportunity.</w:t>
      </w:r>
      <w:r>
        <w:br/>
      </w:r>
    </w:p>
    <w:p w14:paraId="1CF4B35A" w14:textId="4AABDBAC" w:rsidR="00C8020C" w:rsidRPr="00C8020C" w:rsidRDefault="00C8020C" w:rsidP="00C8020C">
      <w:r w:rsidRPr="00C8020C">
        <w:rPr>
          <w:b/>
          <w:bCs/>
        </w:rPr>
        <w:t>Strong: Human Capacities &amp; Potential</w:t>
      </w:r>
      <w:r>
        <w:rPr>
          <w:b/>
          <w:bCs/>
        </w:rPr>
        <w:br/>
      </w:r>
      <w:r w:rsidRPr="00C8020C">
        <w:br/>
        <w:t xml:space="preserve">Indicators of physical and mental health, education, safety, and personal wellbeing are well-developed, drawing from the ONS national wellbeing measures and local health datasets. The TPI captures much of what the ESF calls </w:t>
      </w:r>
      <w:r w:rsidRPr="00C8020C">
        <w:rPr>
          <w:i/>
          <w:iCs/>
        </w:rPr>
        <w:t>Human Capacities &amp; Potential</w:t>
      </w:r>
      <w:r w:rsidRPr="00C8020C">
        <w:t>, including life satisfaction, health behaviours, and educational attainment.</w:t>
      </w:r>
      <w:r>
        <w:br/>
      </w:r>
    </w:p>
    <w:p w14:paraId="72913465" w14:textId="124F506D" w:rsidR="00C8020C" w:rsidRPr="00C8020C" w:rsidRDefault="00C8020C" w:rsidP="00C8020C">
      <w:r w:rsidRPr="00C8020C">
        <w:rPr>
          <w:b/>
          <w:bCs/>
        </w:rPr>
        <w:t>Moderate: Natural Environment</w:t>
      </w:r>
      <w:r>
        <w:rPr>
          <w:b/>
          <w:bCs/>
        </w:rPr>
        <w:br/>
      </w:r>
      <w:r w:rsidRPr="00C8020C">
        <w:br/>
        <w:t xml:space="preserve">TPI includes environmental quality and sustainability metrics (green space, energy use, air quality, recycling, transport emissions). However, these are primarily </w:t>
      </w:r>
      <w:r w:rsidRPr="00C8020C">
        <w:rPr>
          <w:i/>
          <w:iCs/>
        </w:rPr>
        <w:t>ecological condition</w:t>
      </w:r>
      <w:r w:rsidRPr="00C8020C">
        <w:t xml:space="preserve"> measures rather than </w:t>
      </w:r>
      <w:r w:rsidRPr="00C8020C">
        <w:rPr>
          <w:i/>
          <w:iCs/>
        </w:rPr>
        <w:t>relational connection</w:t>
      </w:r>
      <w:r w:rsidRPr="00C8020C">
        <w:t xml:space="preserve"> or </w:t>
      </w:r>
      <w:r w:rsidRPr="00C8020C">
        <w:rPr>
          <w:i/>
          <w:iCs/>
        </w:rPr>
        <w:t>ecological identity</w:t>
      </w:r>
      <w:r w:rsidRPr="00C8020C">
        <w:t xml:space="preserve"> indicators. The framework recognises environmental sustainability but stops short of exploring human–nature reciprocity or stewardship.</w:t>
      </w:r>
      <w:r>
        <w:br/>
      </w:r>
    </w:p>
    <w:p w14:paraId="47940971" w14:textId="6563FBC0" w:rsidR="00C8020C" w:rsidRPr="00C8020C" w:rsidRDefault="00C8020C" w:rsidP="00C8020C">
      <w:r w:rsidRPr="00C8020C">
        <w:rPr>
          <w:b/>
          <w:bCs/>
        </w:rPr>
        <w:t>Emerging: Cultural Values &amp; Identity</w:t>
      </w:r>
      <w:r>
        <w:rPr>
          <w:b/>
          <w:bCs/>
        </w:rPr>
        <w:br/>
      </w:r>
      <w:r w:rsidRPr="00C8020C">
        <w:br/>
        <w:t>The “Place and Community” domain includes belonging, volunteering, civic participation, trust, and safety — key cultural and relational indicators. Yet, deeper dimensions of shared values, cultural heritage, diversity, and collective identity are under-represented.</w:t>
      </w:r>
      <w:r>
        <w:br/>
      </w:r>
    </w:p>
    <w:p w14:paraId="153B0C8B" w14:textId="47BDD781" w:rsidR="00C8020C" w:rsidRPr="00C8020C" w:rsidRDefault="00C8020C" w:rsidP="00C8020C">
      <w:r w:rsidRPr="00C8020C">
        <w:rPr>
          <w:b/>
          <w:bCs/>
        </w:rPr>
        <w:t>Interpretation:</w:t>
      </w:r>
      <w:r>
        <w:rPr>
          <w:b/>
          <w:bCs/>
        </w:rPr>
        <w:br/>
      </w:r>
      <w:r w:rsidRPr="00C8020C">
        <w:br/>
        <w:t xml:space="preserve">The Thriving Places Index provides a </w:t>
      </w:r>
      <w:r w:rsidRPr="00C8020C">
        <w:rPr>
          <w:b/>
          <w:bCs/>
        </w:rPr>
        <w:t>systemic economic and wellbeing framework</w:t>
      </w:r>
      <w:r w:rsidRPr="00C8020C">
        <w:t xml:space="preserve"> rooted in fairness and sustainability. It excels in material and service-based measures but could strengthen its relational, cultural, and ecological consciousness to express a fuller ecosystemic perspective on place-based flourishing.</w:t>
      </w:r>
    </w:p>
    <w:p w14:paraId="155CF7D5" w14:textId="59015923" w:rsidR="00C8020C" w:rsidRPr="00C8020C" w:rsidRDefault="00C8020C" w:rsidP="00C8020C"/>
    <w:p w14:paraId="2A9C56DC" w14:textId="23C5756C" w:rsidR="00C8020C" w:rsidRPr="00C8020C" w:rsidRDefault="00C8020C" w:rsidP="00C8020C">
      <w:pPr>
        <w:rPr>
          <w:b/>
          <w:bCs/>
        </w:rPr>
      </w:pPr>
      <w:r w:rsidRPr="00C8020C">
        <w:rPr>
          <w:b/>
          <w:bCs/>
          <w:color w:val="0B769F" w:themeColor="accent4" w:themeShade="BF"/>
        </w:rPr>
        <w:t>2) Seven Levels of Human Motivation (where indicators sit on the flourishing spectrum)</w:t>
      </w:r>
      <w:r>
        <w:rPr>
          <w:b/>
          <w:bCs/>
        </w:rPr>
        <w:br/>
      </w:r>
    </w:p>
    <w:p w14:paraId="4ABCFD67" w14:textId="693684AD" w:rsidR="00C8020C" w:rsidRPr="00C8020C" w:rsidRDefault="00C8020C" w:rsidP="00C8020C">
      <w:r w:rsidRPr="00C8020C">
        <w:rPr>
          <w:b/>
          <w:bCs/>
        </w:rPr>
        <w:t>Security (Strong):</w:t>
      </w:r>
      <w:r w:rsidRPr="00C8020C">
        <w:br/>
        <w:t>The index comprehensively measures material security — income, employment, housing, access to services, physical health, safety, and environmental quality.</w:t>
      </w:r>
      <w:r>
        <w:br/>
      </w:r>
    </w:p>
    <w:p w14:paraId="4F523D32" w14:textId="77777777" w:rsidR="00C8020C" w:rsidRPr="00C8020C" w:rsidRDefault="00C8020C" w:rsidP="00C8020C">
      <w:r w:rsidRPr="00C8020C">
        <w:rPr>
          <w:b/>
          <w:bCs/>
        </w:rPr>
        <w:t>Relationship (Moderate–Strong):</w:t>
      </w:r>
      <w:r w:rsidRPr="00C8020C">
        <w:br/>
        <w:t>Covers social support, belonging, volunteering, and civic engagement. However, relational depth and intergenerational connection remain limited.</w:t>
      </w:r>
    </w:p>
    <w:p w14:paraId="21028CC5" w14:textId="377A0A32" w:rsidR="00C8020C" w:rsidRPr="00C8020C" w:rsidRDefault="00C8020C" w:rsidP="00C8020C">
      <w:r w:rsidRPr="00C8020C">
        <w:rPr>
          <w:b/>
          <w:bCs/>
        </w:rPr>
        <w:lastRenderedPageBreak/>
        <w:t>Independence (Strong):</w:t>
      </w:r>
      <w:r w:rsidRPr="00C8020C">
        <w:br/>
        <w:t>Education, skills, employment opportunities, and lifelong learning are key pillars. These align with agency and competence — core to the ESF’s independence level.</w:t>
      </w:r>
      <w:r>
        <w:br/>
      </w:r>
    </w:p>
    <w:p w14:paraId="79DF20BA" w14:textId="5FE5F5BB" w:rsidR="00C8020C" w:rsidRPr="00C8020C" w:rsidRDefault="00C8020C" w:rsidP="00C8020C">
      <w:r w:rsidRPr="00C8020C">
        <w:rPr>
          <w:b/>
          <w:bCs/>
        </w:rPr>
        <w:t>Engagement (Moderate):</w:t>
      </w:r>
      <w:r w:rsidRPr="00C8020C">
        <w:br/>
        <w:t>Participation in community activities and local cultural life appears within “Place and Community,” but engagement is treated as behaviour rather than a dynamic experience of flow or purpose.</w:t>
      </w:r>
      <w:r>
        <w:br/>
      </w:r>
    </w:p>
    <w:p w14:paraId="7FF7847D" w14:textId="1410F169" w:rsidR="00C8020C" w:rsidRPr="00C8020C" w:rsidRDefault="00C8020C" w:rsidP="00C8020C">
      <w:r w:rsidRPr="00C8020C">
        <w:rPr>
          <w:b/>
          <w:bCs/>
        </w:rPr>
        <w:t>Fulfilment (Moderate):</w:t>
      </w:r>
      <w:r w:rsidRPr="00C8020C">
        <w:br/>
        <w:t>Life satisfaction and subjective wellbeing metrics are central, yet meaning and purpose are less systematically measured beyond general life satisfaction.</w:t>
      </w:r>
      <w:r>
        <w:br/>
      </w:r>
    </w:p>
    <w:p w14:paraId="55A2B874" w14:textId="690A00E4" w:rsidR="00C8020C" w:rsidRPr="00C8020C" w:rsidRDefault="00C8020C" w:rsidP="00C8020C">
      <w:r w:rsidRPr="00C8020C">
        <w:rPr>
          <w:b/>
          <w:bCs/>
        </w:rPr>
        <w:t>Contribution (Moderate):</w:t>
      </w:r>
      <w:r w:rsidRPr="00C8020C">
        <w:br/>
        <w:t>Volunteering and civic participation indicators point toward contribution but lack measures of collective impact, ethical leadership, or stewardship for the common good.</w:t>
      </w:r>
      <w:r>
        <w:br/>
      </w:r>
    </w:p>
    <w:p w14:paraId="5E8B1C85" w14:textId="3FD10A10" w:rsidR="00C8020C" w:rsidRPr="00C8020C" w:rsidRDefault="00C8020C" w:rsidP="00C8020C">
      <w:r w:rsidRPr="00C8020C">
        <w:rPr>
          <w:b/>
          <w:bCs/>
        </w:rPr>
        <w:t>Growth (Emerging):</w:t>
      </w:r>
      <w:r w:rsidRPr="00C8020C">
        <w:br/>
        <w:t>Environmental sustainability and innovation metrics indirectly touch on regenerative growth, but there are few explicit indicators of learning, transformation, or collective resilience.</w:t>
      </w:r>
      <w:r>
        <w:br/>
      </w:r>
    </w:p>
    <w:p w14:paraId="19D2071D" w14:textId="77777777" w:rsidR="00C8020C" w:rsidRPr="00C8020C" w:rsidRDefault="00C8020C" w:rsidP="00C8020C">
      <w:r w:rsidRPr="00C8020C">
        <w:rPr>
          <w:b/>
          <w:bCs/>
        </w:rPr>
        <w:t>Interpretation:</w:t>
      </w:r>
      <w:r w:rsidRPr="00C8020C">
        <w:br/>
        <w:t xml:space="preserve">The TPI embodies the </w:t>
      </w:r>
      <w:r w:rsidRPr="00C8020C">
        <w:rPr>
          <w:i/>
          <w:iCs/>
        </w:rPr>
        <w:t>structural preconditions</w:t>
      </w:r>
      <w:r w:rsidRPr="00C8020C">
        <w:t xml:space="preserve"> for flourishing but underrepresents </w:t>
      </w:r>
      <w:r w:rsidRPr="00C8020C">
        <w:rPr>
          <w:i/>
          <w:iCs/>
        </w:rPr>
        <w:t>transformational growth</w:t>
      </w:r>
      <w:r w:rsidRPr="00C8020C">
        <w:t xml:space="preserve"> and </w:t>
      </w:r>
      <w:r w:rsidRPr="00C8020C">
        <w:rPr>
          <w:i/>
          <w:iCs/>
        </w:rPr>
        <w:t>relational belonging</w:t>
      </w:r>
      <w:r w:rsidRPr="00C8020C">
        <w:t>. It measures the scaffolding of wellbeing more than the lived experience of thriving.</w:t>
      </w:r>
    </w:p>
    <w:p w14:paraId="2967B37C" w14:textId="517BDC7B" w:rsidR="00C8020C" w:rsidRPr="00C8020C" w:rsidRDefault="00C8020C" w:rsidP="00C8020C"/>
    <w:p w14:paraId="0A5D6E9F" w14:textId="17C63E44" w:rsidR="00C8020C" w:rsidRPr="00C8020C" w:rsidRDefault="00C8020C" w:rsidP="00C8020C">
      <w:pPr>
        <w:rPr>
          <w:b/>
          <w:bCs/>
        </w:rPr>
      </w:pPr>
      <w:r w:rsidRPr="00C8020C">
        <w:rPr>
          <w:b/>
          <w:bCs/>
          <w:color w:val="0B769F" w:themeColor="accent4" w:themeShade="BF"/>
        </w:rPr>
        <w:t>3) Integrated Flourishing Analysis (balance, gaps, and opportunities)</w:t>
      </w:r>
      <w:r>
        <w:rPr>
          <w:b/>
          <w:bCs/>
        </w:rPr>
        <w:br/>
      </w:r>
    </w:p>
    <w:p w14:paraId="3D6983AF" w14:textId="2B4F798A" w:rsidR="00C8020C" w:rsidRPr="00C8020C" w:rsidRDefault="00C8020C" w:rsidP="00C8020C">
      <w:r w:rsidRPr="00C8020C">
        <w:rPr>
          <w:b/>
          <w:bCs/>
        </w:rPr>
        <w:t>Balance Check</w:t>
      </w:r>
      <w:r>
        <w:rPr>
          <w:b/>
          <w:bCs/>
        </w:rPr>
        <w:br/>
      </w:r>
    </w:p>
    <w:p w14:paraId="13ED93B7" w14:textId="22F67DE0" w:rsidR="00C8020C" w:rsidRPr="00C8020C" w:rsidRDefault="00C8020C" w:rsidP="00C8020C">
      <w:pPr>
        <w:numPr>
          <w:ilvl w:val="0"/>
          <w:numId w:val="14"/>
        </w:numPr>
      </w:pPr>
      <w:r w:rsidRPr="00C8020C">
        <w:rPr>
          <w:b/>
          <w:bCs/>
        </w:rPr>
        <w:t>Material and economic foundations:</w:t>
      </w:r>
      <w:r w:rsidRPr="00C8020C">
        <w:t xml:space="preserve"> Excellent — robust coverage of fairness, work, income, housing, and education.</w:t>
      </w:r>
      <w:r>
        <w:br/>
      </w:r>
    </w:p>
    <w:p w14:paraId="1C487D5E" w14:textId="6547AC93" w:rsidR="00C8020C" w:rsidRPr="00C8020C" w:rsidRDefault="00C8020C" w:rsidP="00C8020C">
      <w:pPr>
        <w:numPr>
          <w:ilvl w:val="0"/>
          <w:numId w:val="14"/>
        </w:numPr>
      </w:pPr>
      <w:r w:rsidRPr="00C8020C">
        <w:rPr>
          <w:b/>
          <w:bCs/>
        </w:rPr>
        <w:t>Human health and capacity:</w:t>
      </w:r>
      <w:r w:rsidRPr="00C8020C">
        <w:t xml:space="preserve"> Strong — well-grounded in physical and mental wellbeing metrics.</w:t>
      </w:r>
      <w:r>
        <w:br/>
      </w:r>
    </w:p>
    <w:p w14:paraId="23FE473B" w14:textId="09B47812" w:rsidR="00C8020C" w:rsidRPr="00C8020C" w:rsidRDefault="00C8020C" w:rsidP="00C8020C">
      <w:pPr>
        <w:numPr>
          <w:ilvl w:val="0"/>
          <w:numId w:val="14"/>
        </w:numPr>
      </w:pPr>
      <w:r w:rsidRPr="00C8020C">
        <w:rPr>
          <w:b/>
          <w:bCs/>
        </w:rPr>
        <w:t>Relational and cultural:</w:t>
      </w:r>
      <w:r w:rsidRPr="00C8020C">
        <w:t xml:space="preserve"> Partial — civic participation and belonging present but lacking expressive and identity-based measures.</w:t>
      </w:r>
      <w:r>
        <w:br/>
      </w:r>
    </w:p>
    <w:p w14:paraId="6CFF723B" w14:textId="6B6EF6E5" w:rsidR="00C8020C" w:rsidRPr="00C8020C" w:rsidRDefault="00C8020C" w:rsidP="00C8020C">
      <w:pPr>
        <w:numPr>
          <w:ilvl w:val="0"/>
          <w:numId w:val="14"/>
        </w:numPr>
      </w:pPr>
      <w:r w:rsidRPr="00C8020C">
        <w:rPr>
          <w:b/>
          <w:bCs/>
        </w:rPr>
        <w:t>Ecological:</w:t>
      </w:r>
      <w:r w:rsidRPr="00C8020C">
        <w:t xml:space="preserve"> Present but instrumental — focuses on environmental condition, not ecological consciousness or reciprocity.</w:t>
      </w:r>
      <w:r>
        <w:br/>
      </w:r>
    </w:p>
    <w:p w14:paraId="1ECE2C6F" w14:textId="1B029D6A" w:rsidR="00C8020C" w:rsidRPr="00C8020C" w:rsidRDefault="00C8020C" w:rsidP="00C8020C">
      <w:pPr>
        <w:numPr>
          <w:ilvl w:val="0"/>
          <w:numId w:val="14"/>
        </w:numPr>
      </w:pPr>
      <w:r w:rsidRPr="00C8020C">
        <w:rPr>
          <w:b/>
          <w:bCs/>
        </w:rPr>
        <w:t>Transformational:</w:t>
      </w:r>
      <w:r w:rsidRPr="00C8020C">
        <w:t xml:space="preserve"> Limited — few indicators capture learning, adaptability, or moral/collective evolution.</w:t>
      </w:r>
      <w:r>
        <w:br/>
      </w:r>
    </w:p>
    <w:p w14:paraId="668B607C" w14:textId="6477AE80" w:rsidR="00C8020C" w:rsidRPr="00C8020C" w:rsidRDefault="00C8020C" w:rsidP="00C8020C">
      <w:r w:rsidRPr="00C8020C">
        <w:rPr>
          <w:b/>
          <w:bCs/>
          <w:color w:val="000000" w:themeColor="text1"/>
        </w:rPr>
        <w:t>Priority Gaps (actionable)</w:t>
      </w:r>
      <w:r>
        <w:rPr>
          <w:b/>
          <w:bCs/>
        </w:rPr>
        <w:br/>
      </w:r>
    </w:p>
    <w:p w14:paraId="0C015DCD" w14:textId="77777777" w:rsidR="00C8020C" w:rsidRPr="00C8020C" w:rsidRDefault="00C8020C" w:rsidP="00C8020C">
      <w:pPr>
        <w:numPr>
          <w:ilvl w:val="0"/>
          <w:numId w:val="15"/>
        </w:numPr>
      </w:pPr>
      <w:r w:rsidRPr="00C8020C">
        <w:rPr>
          <w:b/>
          <w:bCs/>
        </w:rPr>
        <w:t>Relational depth:</w:t>
      </w:r>
      <w:r w:rsidRPr="00C8020C">
        <w:t xml:space="preserve"> Add indicators of trust, empathy, and intergenerational connection (e.g., age-friendly communities, youth voice, shared spaces).</w:t>
      </w:r>
    </w:p>
    <w:p w14:paraId="2B783267" w14:textId="77777777" w:rsidR="00C8020C" w:rsidRPr="00C8020C" w:rsidRDefault="00C8020C" w:rsidP="00C8020C">
      <w:pPr>
        <w:numPr>
          <w:ilvl w:val="0"/>
          <w:numId w:val="15"/>
        </w:numPr>
      </w:pPr>
      <w:r w:rsidRPr="00C8020C">
        <w:rPr>
          <w:b/>
          <w:bCs/>
        </w:rPr>
        <w:t>Cultural identity and values:</w:t>
      </w:r>
      <w:r w:rsidRPr="00C8020C">
        <w:t xml:space="preserve"> Incorporate cultural vitality, heritage, and diversity metrics to better express community meaning and cohesion.</w:t>
      </w:r>
    </w:p>
    <w:p w14:paraId="3D326459" w14:textId="77777777" w:rsidR="00C8020C" w:rsidRPr="00C8020C" w:rsidRDefault="00C8020C" w:rsidP="00C8020C">
      <w:pPr>
        <w:numPr>
          <w:ilvl w:val="0"/>
          <w:numId w:val="15"/>
        </w:numPr>
      </w:pPr>
      <w:r w:rsidRPr="00C8020C">
        <w:rPr>
          <w:b/>
          <w:bCs/>
        </w:rPr>
        <w:lastRenderedPageBreak/>
        <w:t>Ecological reciprocity:</w:t>
      </w:r>
      <w:r w:rsidRPr="00C8020C">
        <w:t xml:space="preserve"> Move from environmental management to ecological belonging — including nature connectedness, green engagement, and stewardship.</w:t>
      </w:r>
    </w:p>
    <w:p w14:paraId="51407662" w14:textId="2BA1DDBA" w:rsidR="00C8020C" w:rsidRPr="00C8020C" w:rsidRDefault="00C8020C" w:rsidP="00C8020C">
      <w:pPr>
        <w:numPr>
          <w:ilvl w:val="0"/>
          <w:numId w:val="15"/>
        </w:numPr>
      </w:pPr>
      <w:r w:rsidRPr="00C8020C">
        <w:rPr>
          <w:b/>
          <w:bCs/>
        </w:rPr>
        <w:t>Transformational learning:</w:t>
      </w:r>
      <w:r w:rsidRPr="00C8020C">
        <w:t xml:space="preserve"> Include measures of civic imagination, regenerative innovation, and community resilience-building.</w:t>
      </w:r>
      <w:r>
        <w:br/>
      </w:r>
    </w:p>
    <w:p w14:paraId="310A7574" w14:textId="7BC3FDAF" w:rsidR="00C8020C" w:rsidRPr="00C8020C" w:rsidRDefault="00C8020C" w:rsidP="00C8020C">
      <w:r w:rsidRPr="00C8020C">
        <w:rPr>
          <w:b/>
          <w:bCs/>
        </w:rPr>
        <w:t>Design Principles (enhancement)</w:t>
      </w:r>
      <w:r>
        <w:rPr>
          <w:b/>
          <w:bCs/>
        </w:rPr>
        <w:br/>
      </w:r>
    </w:p>
    <w:p w14:paraId="7948B389" w14:textId="77777777" w:rsidR="00C8020C" w:rsidRPr="00C8020C" w:rsidRDefault="00C8020C" w:rsidP="00C8020C">
      <w:pPr>
        <w:numPr>
          <w:ilvl w:val="0"/>
          <w:numId w:val="16"/>
        </w:numPr>
      </w:pPr>
      <w:r w:rsidRPr="00C8020C">
        <w:rPr>
          <w:b/>
          <w:bCs/>
        </w:rPr>
        <w:t>From sustainability to regeneration:</w:t>
      </w:r>
      <w:r w:rsidRPr="00C8020C">
        <w:t xml:space="preserve"> Shift from “less harm” metrics to positive-impact, circular, and life-enhancing indicators.</w:t>
      </w:r>
    </w:p>
    <w:p w14:paraId="751C8B26" w14:textId="77777777" w:rsidR="00C8020C" w:rsidRPr="00C8020C" w:rsidRDefault="00C8020C" w:rsidP="00C8020C">
      <w:pPr>
        <w:numPr>
          <w:ilvl w:val="0"/>
          <w:numId w:val="16"/>
        </w:numPr>
      </w:pPr>
      <w:r w:rsidRPr="00C8020C">
        <w:rPr>
          <w:b/>
          <w:bCs/>
        </w:rPr>
        <w:t>From wellbeing to flourishing:</w:t>
      </w:r>
      <w:r w:rsidRPr="00C8020C">
        <w:t xml:space="preserve"> Pair outcomes (health, education) with values (belonging, purpose, stewardship).</w:t>
      </w:r>
    </w:p>
    <w:p w14:paraId="63131EB9" w14:textId="77777777" w:rsidR="00C8020C" w:rsidRPr="00C8020C" w:rsidRDefault="00C8020C" w:rsidP="00C8020C">
      <w:pPr>
        <w:numPr>
          <w:ilvl w:val="0"/>
          <w:numId w:val="16"/>
        </w:numPr>
      </w:pPr>
      <w:r w:rsidRPr="00C8020C">
        <w:rPr>
          <w:b/>
          <w:bCs/>
        </w:rPr>
        <w:t>From systems performance to relational experience:</w:t>
      </w:r>
      <w:r w:rsidRPr="00C8020C">
        <w:t xml:space="preserve"> Introduce participatory and narrative data (e.g., sense of agency, collective stories of thriving).</w:t>
      </w:r>
    </w:p>
    <w:p w14:paraId="6F8E8B07" w14:textId="28E82FF7" w:rsidR="00C8020C" w:rsidRPr="00C8020C" w:rsidRDefault="00C8020C" w:rsidP="00C8020C"/>
    <w:p w14:paraId="4A7873FE" w14:textId="6E84E747" w:rsidR="00C8020C" w:rsidRPr="00C8020C" w:rsidRDefault="00C8020C" w:rsidP="00C8020C">
      <w:pPr>
        <w:rPr>
          <w:b/>
          <w:bCs/>
        </w:rPr>
      </w:pPr>
      <w:r w:rsidRPr="00C8020C">
        <w:rPr>
          <w:b/>
          <w:bCs/>
          <w:color w:val="0B769F" w:themeColor="accent4" w:themeShade="BF"/>
        </w:rPr>
        <w:t>4) ESF Alignment Summary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2036"/>
        <w:gridCol w:w="4520"/>
      </w:tblGrid>
      <w:tr w:rsidR="00C8020C" w:rsidRPr="00C8020C" w14:paraId="772D8EA8" w14:textId="77777777" w:rsidTr="00C8020C">
        <w:tc>
          <w:tcPr>
            <w:tcW w:w="0" w:type="auto"/>
            <w:hideMark/>
          </w:tcPr>
          <w:p w14:paraId="0A06B90F" w14:textId="77777777" w:rsidR="00C8020C" w:rsidRPr="00C8020C" w:rsidRDefault="00C8020C" w:rsidP="00C8020C">
            <w:pPr>
              <w:rPr>
                <w:b/>
                <w:bCs/>
              </w:rPr>
            </w:pPr>
            <w:r w:rsidRPr="00C8020C">
              <w:rPr>
                <w:b/>
                <w:bCs/>
              </w:rPr>
              <w:t>ESF Domain</w:t>
            </w:r>
          </w:p>
        </w:tc>
        <w:tc>
          <w:tcPr>
            <w:tcW w:w="0" w:type="auto"/>
            <w:hideMark/>
          </w:tcPr>
          <w:p w14:paraId="3EF62980" w14:textId="77777777" w:rsidR="00C8020C" w:rsidRPr="00C8020C" w:rsidRDefault="00C8020C" w:rsidP="00C8020C">
            <w:pPr>
              <w:rPr>
                <w:b/>
                <w:bCs/>
              </w:rPr>
            </w:pPr>
            <w:r w:rsidRPr="00C8020C">
              <w:rPr>
                <w:b/>
                <w:bCs/>
              </w:rPr>
              <w:t>Level of Representation</w:t>
            </w:r>
          </w:p>
        </w:tc>
        <w:tc>
          <w:tcPr>
            <w:tcW w:w="0" w:type="auto"/>
            <w:hideMark/>
          </w:tcPr>
          <w:p w14:paraId="04A2DE0F" w14:textId="77777777" w:rsidR="00C8020C" w:rsidRPr="00C8020C" w:rsidRDefault="00C8020C" w:rsidP="00C8020C">
            <w:pPr>
              <w:rPr>
                <w:b/>
                <w:bCs/>
              </w:rPr>
            </w:pPr>
            <w:r w:rsidRPr="00C8020C">
              <w:rPr>
                <w:b/>
                <w:bCs/>
              </w:rPr>
              <w:t>Notes</w:t>
            </w:r>
          </w:p>
        </w:tc>
      </w:tr>
      <w:tr w:rsidR="00C8020C" w:rsidRPr="00C8020C" w14:paraId="7368AB86" w14:textId="77777777" w:rsidTr="00C8020C">
        <w:tc>
          <w:tcPr>
            <w:tcW w:w="0" w:type="auto"/>
            <w:hideMark/>
          </w:tcPr>
          <w:p w14:paraId="29C6BF7D" w14:textId="77777777" w:rsidR="00C8020C" w:rsidRPr="00C8020C" w:rsidRDefault="00C8020C" w:rsidP="00C8020C">
            <w:r w:rsidRPr="00C8020C">
              <w:t>Human Capacities &amp; Potential</w:t>
            </w:r>
          </w:p>
        </w:tc>
        <w:tc>
          <w:tcPr>
            <w:tcW w:w="0" w:type="auto"/>
            <w:hideMark/>
          </w:tcPr>
          <w:p w14:paraId="48ACED02" w14:textId="77777777" w:rsidR="00C8020C" w:rsidRPr="00C8020C" w:rsidRDefault="00C8020C" w:rsidP="00C8020C">
            <w:r w:rsidRPr="00C8020C">
              <w:t>Strong</w:t>
            </w:r>
          </w:p>
        </w:tc>
        <w:tc>
          <w:tcPr>
            <w:tcW w:w="0" w:type="auto"/>
            <w:hideMark/>
          </w:tcPr>
          <w:p w14:paraId="2D0D5452" w14:textId="77777777" w:rsidR="00C8020C" w:rsidRPr="00C8020C" w:rsidRDefault="00C8020C" w:rsidP="00C8020C">
            <w:r w:rsidRPr="00C8020C">
              <w:t>Health, education, wellbeing, safety</w:t>
            </w:r>
          </w:p>
        </w:tc>
      </w:tr>
      <w:tr w:rsidR="00C8020C" w:rsidRPr="00C8020C" w14:paraId="2982AF54" w14:textId="77777777" w:rsidTr="00C8020C">
        <w:tc>
          <w:tcPr>
            <w:tcW w:w="0" w:type="auto"/>
            <w:hideMark/>
          </w:tcPr>
          <w:p w14:paraId="11891670" w14:textId="77777777" w:rsidR="00C8020C" w:rsidRPr="00C8020C" w:rsidRDefault="00C8020C" w:rsidP="00C8020C">
            <w:r w:rsidRPr="00C8020C">
              <w:t>Cultural Values &amp; Identity</w:t>
            </w:r>
          </w:p>
        </w:tc>
        <w:tc>
          <w:tcPr>
            <w:tcW w:w="0" w:type="auto"/>
            <w:hideMark/>
          </w:tcPr>
          <w:p w14:paraId="532E8999" w14:textId="77777777" w:rsidR="00C8020C" w:rsidRPr="00C8020C" w:rsidRDefault="00C8020C" w:rsidP="00C8020C">
            <w:r w:rsidRPr="00C8020C">
              <w:t>Moderate</w:t>
            </w:r>
          </w:p>
        </w:tc>
        <w:tc>
          <w:tcPr>
            <w:tcW w:w="0" w:type="auto"/>
            <w:hideMark/>
          </w:tcPr>
          <w:p w14:paraId="3B61944A" w14:textId="77777777" w:rsidR="00C8020C" w:rsidRPr="00C8020C" w:rsidRDefault="00C8020C" w:rsidP="00C8020C">
            <w:r w:rsidRPr="00C8020C">
              <w:t>Belonging, volunteering, civic participation; lacks expressive cultural metrics</w:t>
            </w:r>
          </w:p>
        </w:tc>
      </w:tr>
      <w:tr w:rsidR="00C8020C" w:rsidRPr="00C8020C" w14:paraId="0923B62B" w14:textId="77777777" w:rsidTr="00C8020C">
        <w:tc>
          <w:tcPr>
            <w:tcW w:w="0" w:type="auto"/>
            <w:hideMark/>
          </w:tcPr>
          <w:p w14:paraId="158CF831" w14:textId="77777777" w:rsidR="00C8020C" w:rsidRPr="00C8020C" w:rsidRDefault="00C8020C" w:rsidP="00C8020C">
            <w:r w:rsidRPr="00C8020C">
              <w:t>Natural Environment</w:t>
            </w:r>
          </w:p>
        </w:tc>
        <w:tc>
          <w:tcPr>
            <w:tcW w:w="0" w:type="auto"/>
            <w:hideMark/>
          </w:tcPr>
          <w:p w14:paraId="5C1A3F00" w14:textId="77777777" w:rsidR="00C8020C" w:rsidRPr="00C8020C" w:rsidRDefault="00C8020C" w:rsidP="00C8020C">
            <w:r w:rsidRPr="00C8020C">
              <w:t>Moderate</w:t>
            </w:r>
          </w:p>
        </w:tc>
        <w:tc>
          <w:tcPr>
            <w:tcW w:w="0" w:type="auto"/>
            <w:hideMark/>
          </w:tcPr>
          <w:p w14:paraId="75EFBC9C" w14:textId="77777777" w:rsidR="00C8020C" w:rsidRPr="00C8020C" w:rsidRDefault="00C8020C" w:rsidP="00C8020C">
            <w:r w:rsidRPr="00C8020C">
              <w:t>Air, energy, emissions, but weak on nature connection and stewardship</w:t>
            </w:r>
          </w:p>
        </w:tc>
      </w:tr>
      <w:tr w:rsidR="00C8020C" w:rsidRPr="00C8020C" w14:paraId="36373388" w14:textId="77777777" w:rsidTr="00C8020C">
        <w:tc>
          <w:tcPr>
            <w:tcW w:w="0" w:type="auto"/>
            <w:hideMark/>
          </w:tcPr>
          <w:p w14:paraId="3A104F16" w14:textId="77777777" w:rsidR="00C8020C" w:rsidRPr="00C8020C" w:rsidRDefault="00C8020C" w:rsidP="00C8020C">
            <w:r w:rsidRPr="00C8020C">
              <w:t>Circular &amp; Regenerative Economics</w:t>
            </w:r>
          </w:p>
        </w:tc>
        <w:tc>
          <w:tcPr>
            <w:tcW w:w="0" w:type="auto"/>
            <w:hideMark/>
          </w:tcPr>
          <w:p w14:paraId="1EB6D310" w14:textId="77777777" w:rsidR="00C8020C" w:rsidRPr="00C8020C" w:rsidRDefault="00C8020C" w:rsidP="00C8020C">
            <w:r w:rsidRPr="00C8020C">
              <w:t>Very strong</w:t>
            </w:r>
          </w:p>
        </w:tc>
        <w:tc>
          <w:tcPr>
            <w:tcW w:w="0" w:type="auto"/>
            <w:hideMark/>
          </w:tcPr>
          <w:p w14:paraId="66CBDF02" w14:textId="77777777" w:rsidR="00C8020C" w:rsidRPr="00C8020C" w:rsidRDefault="00C8020C" w:rsidP="00C8020C">
            <w:r w:rsidRPr="00C8020C">
              <w:t>Income, fairness, housing, transport, work, sustainability</w:t>
            </w:r>
          </w:p>
        </w:tc>
      </w:tr>
    </w:tbl>
    <w:p w14:paraId="7EC0C025" w14:textId="64651CE1" w:rsidR="00C8020C" w:rsidRPr="00C8020C" w:rsidRDefault="00C8020C" w:rsidP="00C8020C">
      <w:pPr>
        <w:rPr>
          <w:vanish/>
        </w:rPr>
      </w:pPr>
      <w:r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89"/>
        <w:gridCol w:w="2042"/>
        <w:gridCol w:w="4536"/>
      </w:tblGrid>
      <w:tr w:rsidR="00C8020C" w:rsidRPr="00C8020C" w14:paraId="3FA2AECD" w14:textId="77777777" w:rsidTr="00C8020C">
        <w:tc>
          <w:tcPr>
            <w:tcW w:w="2489" w:type="dxa"/>
            <w:hideMark/>
          </w:tcPr>
          <w:p w14:paraId="4398402E" w14:textId="77777777" w:rsidR="00C8020C" w:rsidRPr="00C8020C" w:rsidRDefault="00C8020C" w:rsidP="00C8020C">
            <w:pPr>
              <w:rPr>
                <w:b/>
                <w:bCs/>
              </w:rPr>
            </w:pPr>
            <w:r w:rsidRPr="00C8020C">
              <w:rPr>
                <w:b/>
                <w:bCs/>
              </w:rPr>
              <w:t>Motivation Level</w:t>
            </w:r>
          </w:p>
        </w:tc>
        <w:tc>
          <w:tcPr>
            <w:tcW w:w="2042" w:type="dxa"/>
            <w:hideMark/>
          </w:tcPr>
          <w:p w14:paraId="42E2FE66" w14:textId="77777777" w:rsidR="00C8020C" w:rsidRPr="00C8020C" w:rsidRDefault="00C8020C" w:rsidP="00C8020C">
            <w:pPr>
              <w:rPr>
                <w:b/>
                <w:bCs/>
              </w:rPr>
            </w:pPr>
            <w:r w:rsidRPr="00C8020C">
              <w:rPr>
                <w:b/>
                <w:bCs/>
              </w:rPr>
              <w:t>Representation</w:t>
            </w:r>
          </w:p>
        </w:tc>
        <w:tc>
          <w:tcPr>
            <w:tcW w:w="4536" w:type="dxa"/>
            <w:hideMark/>
          </w:tcPr>
          <w:p w14:paraId="19467928" w14:textId="77777777" w:rsidR="00C8020C" w:rsidRPr="00C8020C" w:rsidRDefault="00C8020C" w:rsidP="00C8020C">
            <w:pPr>
              <w:rPr>
                <w:b/>
                <w:bCs/>
              </w:rPr>
            </w:pPr>
            <w:r w:rsidRPr="00C8020C">
              <w:rPr>
                <w:b/>
                <w:bCs/>
              </w:rPr>
              <w:t>Notes</w:t>
            </w:r>
          </w:p>
        </w:tc>
      </w:tr>
      <w:tr w:rsidR="00C8020C" w:rsidRPr="00C8020C" w14:paraId="47E7F3B5" w14:textId="77777777" w:rsidTr="00C8020C">
        <w:tc>
          <w:tcPr>
            <w:tcW w:w="2489" w:type="dxa"/>
            <w:hideMark/>
          </w:tcPr>
          <w:p w14:paraId="5F18BBF2" w14:textId="77777777" w:rsidR="00C8020C" w:rsidRPr="00C8020C" w:rsidRDefault="00C8020C" w:rsidP="00C8020C">
            <w:r w:rsidRPr="00C8020C">
              <w:t>Security</w:t>
            </w:r>
          </w:p>
        </w:tc>
        <w:tc>
          <w:tcPr>
            <w:tcW w:w="2042" w:type="dxa"/>
            <w:hideMark/>
          </w:tcPr>
          <w:p w14:paraId="52EF2C13" w14:textId="77777777" w:rsidR="00C8020C" w:rsidRPr="00C8020C" w:rsidRDefault="00C8020C" w:rsidP="00C8020C">
            <w:r w:rsidRPr="00C8020C">
              <w:t>Very strong</w:t>
            </w:r>
          </w:p>
        </w:tc>
        <w:tc>
          <w:tcPr>
            <w:tcW w:w="4536" w:type="dxa"/>
            <w:hideMark/>
          </w:tcPr>
          <w:p w14:paraId="3C7AA3BA" w14:textId="77777777" w:rsidR="00C8020C" w:rsidRPr="00C8020C" w:rsidRDefault="00C8020C" w:rsidP="00C8020C">
            <w:r w:rsidRPr="00C8020C">
              <w:t>Income, health, housing, safety</w:t>
            </w:r>
          </w:p>
        </w:tc>
      </w:tr>
      <w:tr w:rsidR="00C8020C" w:rsidRPr="00C8020C" w14:paraId="63AED7A8" w14:textId="77777777" w:rsidTr="00C8020C">
        <w:tc>
          <w:tcPr>
            <w:tcW w:w="2489" w:type="dxa"/>
            <w:hideMark/>
          </w:tcPr>
          <w:p w14:paraId="287D3821" w14:textId="77777777" w:rsidR="00C8020C" w:rsidRPr="00C8020C" w:rsidRDefault="00C8020C" w:rsidP="00C8020C">
            <w:r w:rsidRPr="00C8020C">
              <w:t>Relationship</w:t>
            </w:r>
          </w:p>
        </w:tc>
        <w:tc>
          <w:tcPr>
            <w:tcW w:w="2042" w:type="dxa"/>
            <w:hideMark/>
          </w:tcPr>
          <w:p w14:paraId="66DF0781" w14:textId="77777777" w:rsidR="00C8020C" w:rsidRPr="00C8020C" w:rsidRDefault="00C8020C" w:rsidP="00C8020C">
            <w:r w:rsidRPr="00C8020C">
              <w:t>Moderate</w:t>
            </w:r>
          </w:p>
        </w:tc>
        <w:tc>
          <w:tcPr>
            <w:tcW w:w="4536" w:type="dxa"/>
            <w:hideMark/>
          </w:tcPr>
          <w:p w14:paraId="152FBE93" w14:textId="77777777" w:rsidR="00C8020C" w:rsidRPr="00C8020C" w:rsidRDefault="00C8020C" w:rsidP="00C8020C">
            <w:r w:rsidRPr="00C8020C">
              <w:t>Belonging, volunteering, trust</w:t>
            </w:r>
          </w:p>
        </w:tc>
      </w:tr>
      <w:tr w:rsidR="00C8020C" w:rsidRPr="00C8020C" w14:paraId="553A0D90" w14:textId="77777777" w:rsidTr="00C8020C">
        <w:tc>
          <w:tcPr>
            <w:tcW w:w="2489" w:type="dxa"/>
            <w:hideMark/>
          </w:tcPr>
          <w:p w14:paraId="45942218" w14:textId="77777777" w:rsidR="00C8020C" w:rsidRPr="00C8020C" w:rsidRDefault="00C8020C" w:rsidP="00C8020C">
            <w:r w:rsidRPr="00C8020C">
              <w:t>Independence</w:t>
            </w:r>
          </w:p>
        </w:tc>
        <w:tc>
          <w:tcPr>
            <w:tcW w:w="2042" w:type="dxa"/>
            <w:hideMark/>
          </w:tcPr>
          <w:p w14:paraId="5EECD94B" w14:textId="77777777" w:rsidR="00C8020C" w:rsidRPr="00C8020C" w:rsidRDefault="00C8020C" w:rsidP="00C8020C">
            <w:r w:rsidRPr="00C8020C">
              <w:t>Strong</w:t>
            </w:r>
          </w:p>
        </w:tc>
        <w:tc>
          <w:tcPr>
            <w:tcW w:w="4536" w:type="dxa"/>
            <w:hideMark/>
          </w:tcPr>
          <w:p w14:paraId="3F5905A3" w14:textId="77777777" w:rsidR="00C8020C" w:rsidRPr="00C8020C" w:rsidRDefault="00C8020C" w:rsidP="00C8020C">
            <w:r w:rsidRPr="00C8020C">
              <w:t>Education, skills, employment</w:t>
            </w:r>
          </w:p>
        </w:tc>
      </w:tr>
      <w:tr w:rsidR="00C8020C" w:rsidRPr="00C8020C" w14:paraId="4D39CC78" w14:textId="77777777" w:rsidTr="00C8020C">
        <w:tc>
          <w:tcPr>
            <w:tcW w:w="2489" w:type="dxa"/>
            <w:hideMark/>
          </w:tcPr>
          <w:p w14:paraId="2F2734DD" w14:textId="77777777" w:rsidR="00C8020C" w:rsidRPr="00C8020C" w:rsidRDefault="00C8020C" w:rsidP="00C8020C">
            <w:r w:rsidRPr="00C8020C">
              <w:t>Engagement</w:t>
            </w:r>
          </w:p>
        </w:tc>
        <w:tc>
          <w:tcPr>
            <w:tcW w:w="2042" w:type="dxa"/>
            <w:hideMark/>
          </w:tcPr>
          <w:p w14:paraId="0E23DD2D" w14:textId="77777777" w:rsidR="00C8020C" w:rsidRPr="00C8020C" w:rsidRDefault="00C8020C" w:rsidP="00C8020C">
            <w:r w:rsidRPr="00C8020C">
              <w:t>Moderate</w:t>
            </w:r>
          </w:p>
        </w:tc>
        <w:tc>
          <w:tcPr>
            <w:tcW w:w="4536" w:type="dxa"/>
            <w:hideMark/>
          </w:tcPr>
          <w:p w14:paraId="10E8C77D" w14:textId="77777777" w:rsidR="00C8020C" w:rsidRPr="00C8020C" w:rsidRDefault="00C8020C" w:rsidP="00C8020C">
            <w:r w:rsidRPr="00C8020C">
              <w:t>Participation and community involvement</w:t>
            </w:r>
          </w:p>
        </w:tc>
      </w:tr>
      <w:tr w:rsidR="00C8020C" w:rsidRPr="00C8020C" w14:paraId="47F00988" w14:textId="77777777" w:rsidTr="00C8020C">
        <w:tc>
          <w:tcPr>
            <w:tcW w:w="2489" w:type="dxa"/>
            <w:hideMark/>
          </w:tcPr>
          <w:p w14:paraId="3D65EB10" w14:textId="77777777" w:rsidR="00C8020C" w:rsidRPr="00C8020C" w:rsidRDefault="00C8020C" w:rsidP="00C8020C">
            <w:r w:rsidRPr="00C8020C">
              <w:t>Fulfilment</w:t>
            </w:r>
          </w:p>
        </w:tc>
        <w:tc>
          <w:tcPr>
            <w:tcW w:w="2042" w:type="dxa"/>
            <w:hideMark/>
          </w:tcPr>
          <w:p w14:paraId="09F7ABFE" w14:textId="77777777" w:rsidR="00C8020C" w:rsidRPr="00C8020C" w:rsidRDefault="00C8020C" w:rsidP="00C8020C">
            <w:r w:rsidRPr="00C8020C">
              <w:t>Moderate</w:t>
            </w:r>
          </w:p>
        </w:tc>
        <w:tc>
          <w:tcPr>
            <w:tcW w:w="4536" w:type="dxa"/>
            <w:hideMark/>
          </w:tcPr>
          <w:p w14:paraId="7D8DE751" w14:textId="77777777" w:rsidR="00C8020C" w:rsidRPr="00C8020C" w:rsidRDefault="00C8020C" w:rsidP="00C8020C">
            <w:r w:rsidRPr="00C8020C">
              <w:t>Life satisfaction and subjective wellbeing</w:t>
            </w:r>
          </w:p>
        </w:tc>
      </w:tr>
      <w:tr w:rsidR="00C8020C" w:rsidRPr="00C8020C" w14:paraId="6E66223F" w14:textId="77777777" w:rsidTr="00C8020C">
        <w:tc>
          <w:tcPr>
            <w:tcW w:w="2489" w:type="dxa"/>
            <w:hideMark/>
          </w:tcPr>
          <w:p w14:paraId="5EAA9107" w14:textId="77777777" w:rsidR="00C8020C" w:rsidRPr="00C8020C" w:rsidRDefault="00C8020C" w:rsidP="00C8020C">
            <w:r w:rsidRPr="00C8020C">
              <w:t>Contribution</w:t>
            </w:r>
          </w:p>
        </w:tc>
        <w:tc>
          <w:tcPr>
            <w:tcW w:w="2042" w:type="dxa"/>
            <w:hideMark/>
          </w:tcPr>
          <w:p w14:paraId="508AA597" w14:textId="77777777" w:rsidR="00C8020C" w:rsidRPr="00C8020C" w:rsidRDefault="00C8020C" w:rsidP="00C8020C">
            <w:r w:rsidRPr="00C8020C">
              <w:t>Moderate</w:t>
            </w:r>
          </w:p>
        </w:tc>
        <w:tc>
          <w:tcPr>
            <w:tcW w:w="4536" w:type="dxa"/>
            <w:hideMark/>
          </w:tcPr>
          <w:p w14:paraId="71FF68D8" w14:textId="77777777" w:rsidR="00C8020C" w:rsidRPr="00C8020C" w:rsidRDefault="00C8020C" w:rsidP="00C8020C">
            <w:r w:rsidRPr="00C8020C">
              <w:t>Volunteering and civic responsibility</w:t>
            </w:r>
          </w:p>
        </w:tc>
      </w:tr>
      <w:tr w:rsidR="00C8020C" w:rsidRPr="00C8020C" w14:paraId="0DFDDC3E" w14:textId="77777777" w:rsidTr="00C8020C">
        <w:tc>
          <w:tcPr>
            <w:tcW w:w="2489" w:type="dxa"/>
            <w:hideMark/>
          </w:tcPr>
          <w:p w14:paraId="5F3CCDC9" w14:textId="77777777" w:rsidR="00C8020C" w:rsidRPr="00C8020C" w:rsidRDefault="00C8020C" w:rsidP="00C8020C">
            <w:r w:rsidRPr="00C8020C">
              <w:t>Growth</w:t>
            </w:r>
          </w:p>
        </w:tc>
        <w:tc>
          <w:tcPr>
            <w:tcW w:w="2042" w:type="dxa"/>
            <w:hideMark/>
          </w:tcPr>
          <w:p w14:paraId="3AAF7E72" w14:textId="77777777" w:rsidR="00C8020C" w:rsidRPr="00C8020C" w:rsidRDefault="00C8020C" w:rsidP="00C8020C">
            <w:r w:rsidRPr="00C8020C">
              <w:t>Weak–emerging</w:t>
            </w:r>
          </w:p>
        </w:tc>
        <w:tc>
          <w:tcPr>
            <w:tcW w:w="4536" w:type="dxa"/>
            <w:hideMark/>
          </w:tcPr>
          <w:p w14:paraId="7992C0DD" w14:textId="77777777" w:rsidR="00C8020C" w:rsidRPr="00C8020C" w:rsidRDefault="00C8020C" w:rsidP="00C8020C">
            <w:r w:rsidRPr="00C8020C">
              <w:t>Innovation and sustainability, limited transformation</w:t>
            </w:r>
          </w:p>
        </w:tc>
      </w:tr>
    </w:tbl>
    <w:p w14:paraId="5EF6F709" w14:textId="7BA972BE" w:rsidR="00C8020C" w:rsidRPr="00C8020C" w:rsidRDefault="00C8020C" w:rsidP="00C8020C"/>
    <w:p w14:paraId="436FFD2B" w14:textId="2EA3EF11" w:rsidR="00C8020C" w:rsidRPr="00C8020C" w:rsidRDefault="00C8020C" w:rsidP="00C8020C">
      <w:pPr>
        <w:rPr>
          <w:b/>
          <w:bCs/>
        </w:rPr>
      </w:pPr>
      <w:r w:rsidRPr="00C8020C">
        <w:rPr>
          <w:b/>
          <w:bCs/>
          <w:color w:val="0B769F" w:themeColor="accent4" w:themeShade="BF"/>
        </w:rPr>
        <w:t>5) Overall ESF Interpretation</w:t>
      </w:r>
      <w:r>
        <w:rPr>
          <w:b/>
          <w:bCs/>
        </w:rPr>
        <w:br/>
      </w:r>
    </w:p>
    <w:p w14:paraId="3A503FDA" w14:textId="62172562" w:rsidR="00C8020C" w:rsidRPr="00C8020C" w:rsidRDefault="00C8020C" w:rsidP="00C8020C">
      <w:r w:rsidRPr="00C8020C">
        <w:t xml:space="preserve">The </w:t>
      </w:r>
      <w:r w:rsidRPr="00C8020C">
        <w:rPr>
          <w:b/>
          <w:bCs/>
        </w:rPr>
        <w:t>Thriving Places Index</w:t>
      </w:r>
      <w:r w:rsidRPr="00C8020C">
        <w:t xml:space="preserve"> is one of the UK’s most sophisticated wellbeing frameworks, offering a </w:t>
      </w:r>
      <w:r w:rsidRPr="00C8020C">
        <w:rPr>
          <w:b/>
          <w:bCs/>
        </w:rPr>
        <w:t>place-based systems map of fairness, prosperity, and sustainability</w:t>
      </w:r>
      <w:r w:rsidRPr="00C8020C">
        <w:t>.</w:t>
      </w:r>
      <w:r>
        <w:br/>
      </w:r>
      <w:r w:rsidRPr="00C8020C">
        <w:br/>
        <w:t xml:space="preserve">Through an ESF lens, it represents a </w:t>
      </w:r>
      <w:r w:rsidRPr="00C8020C">
        <w:rPr>
          <w:b/>
          <w:bCs/>
        </w:rPr>
        <w:t>foundation for ecosystemic flourishing</w:t>
      </w:r>
      <w:r w:rsidRPr="00C8020C">
        <w:t xml:space="preserve">, but its </w:t>
      </w:r>
      <w:r w:rsidRPr="00C8020C">
        <w:rPr>
          <w:b/>
          <w:bCs/>
        </w:rPr>
        <w:t>maturity lies in the structural</w:t>
      </w:r>
      <w:r w:rsidRPr="00C8020C">
        <w:t xml:space="preserve">, not yet the </w:t>
      </w:r>
      <w:r w:rsidRPr="00C8020C">
        <w:rPr>
          <w:i/>
          <w:iCs/>
        </w:rPr>
        <w:t>relational or transformative</w:t>
      </w:r>
      <w:r w:rsidRPr="00C8020C">
        <w:t>, dimensions of wellbeing.</w:t>
      </w:r>
    </w:p>
    <w:p w14:paraId="33AE50E2" w14:textId="77777777" w:rsidR="00C8020C" w:rsidRPr="00C8020C" w:rsidRDefault="00C8020C" w:rsidP="00C8020C">
      <w:r w:rsidRPr="00C8020C">
        <w:t xml:space="preserve">To evolve toward full </w:t>
      </w:r>
      <w:r w:rsidRPr="00C8020C">
        <w:rPr>
          <w:i/>
          <w:iCs/>
        </w:rPr>
        <w:t>eco-systemic integration</w:t>
      </w:r>
      <w:r w:rsidRPr="00C8020C">
        <w:t xml:space="preserve">, future iterations might include </w:t>
      </w:r>
      <w:r w:rsidRPr="00C8020C">
        <w:rPr>
          <w:b/>
          <w:bCs/>
        </w:rPr>
        <w:t>ecological belonging</w:t>
      </w:r>
      <w:r w:rsidRPr="00C8020C">
        <w:t xml:space="preserve">, </w:t>
      </w:r>
      <w:r w:rsidRPr="00C8020C">
        <w:rPr>
          <w:b/>
          <w:bCs/>
        </w:rPr>
        <w:t>intergenerational learning</w:t>
      </w:r>
      <w:r w:rsidRPr="00C8020C">
        <w:t xml:space="preserve">, and </w:t>
      </w:r>
      <w:r w:rsidRPr="00C8020C">
        <w:rPr>
          <w:b/>
          <w:bCs/>
        </w:rPr>
        <w:t>cultural vitality</w:t>
      </w:r>
      <w:r w:rsidRPr="00C8020C">
        <w:t xml:space="preserve"> as co-equal components of thriving.</w:t>
      </w:r>
    </w:p>
    <w:p w14:paraId="4161BAE7" w14:textId="77777777" w:rsidR="00C8020C" w:rsidRPr="00C8020C" w:rsidRDefault="00646020" w:rsidP="00C8020C">
      <w:r w:rsidRPr="00C8020C">
        <w:rPr>
          <w:noProof/>
        </w:rPr>
        <w:pict w14:anchorId="28C8BF3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113E5A9" w14:textId="77777777" w:rsidR="00C8020C" w:rsidRDefault="00C8020C" w:rsidP="00C8020C">
      <w:pPr>
        <w:rPr>
          <w:b/>
          <w:bCs/>
        </w:rPr>
      </w:pPr>
    </w:p>
    <w:p w14:paraId="5D4C10B9" w14:textId="7642312A" w:rsidR="00C8020C" w:rsidRDefault="00C8020C" w:rsidP="00C8020C">
      <w:pPr>
        <w:rPr>
          <w:b/>
          <w:bCs/>
        </w:rPr>
      </w:pPr>
      <w:r w:rsidRPr="00C8020C">
        <w:rPr>
          <w:b/>
          <w:bCs/>
        </w:rPr>
        <w:t xml:space="preserve">Endnotes </w:t>
      </w:r>
    </w:p>
    <w:p w14:paraId="342A491E" w14:textId="77777777" w:rsidR="00C8020C" w:rsidRPr="00C8020C" w:rsidRDefault="00C8020C" w:rsidP="00C8020C">
      <w:pPr>
        <w:rPr>
          <w:b/>
          <w:bCs/>
        </w:rPr>
      </w:pPr>
    </w:p>
    <w:p w14:paraId="4A2A7D1F" w14:textId="77777777" w:rsidR="00C8020C" w:rsidRPr="00C8020C" w:rsidRDefault="00C8020C" w:rsidP="00C8020C">
      <w:pPr>
        <w:numPr>
          <w:ilvl w:val="0"/>
          <w:numId w:val="17"/>
        </w:numPr>
      </w:pPr>
      <w:r w:rsidRPr="00C8020C">
        <w:t xml:space="preserve">Centre for Thriving Places. (2024). </w:t>
      </w:r>
      <w:r w:rsidRPr="00C8020C">
        <w:rPr>
          <w:i/>
          <w:iCs/>
        </w:rPr>
        <w:t>Thriving Places Index: 2024 Technical Report.</w:t>
      </w:r>
      <w:r w:rsidRPr="00C8020C">
        <w:t xml:space="preserve"> Bristol, UK.</w:t>
      </w:r>
    </w:p>
    <w:p w14:paraId="5B0EE806" w14:textId="77777777" w:rsidR="00C8020C" w:rsidRPr="00C8020C" w:rsidRDefault="00C8020C" w:rsidP="00C8020C">
      <w:pPr>
        <w:numPr>
          <w:ilvl w:val="0"/>
          <w:numId w:val="17"/>
        </w:numPr>
      </w:pPr>
      <w:r w:rsidRPr="00C8020C">
        <w:lastRenderedPageBreak/>
        <w:t xml:space="preserve">Eco-Systemic Flourishing (ESF) Framework. (2025). </w:t>
      </w:r>
      <w:r w:rsidRPr="00C8020C">
        <w:rPr>
          <w:i/>
          <w:iCs/>
        </w:rPr>
        <w:t>Working model of domains and motivational levels.</w:t>
      </w:r>
      <w:r w:rsidRPr="00C8020C">
        <w:t xml:space="preserve"> The Flourish Project, London, UK.</w:t>
      </w:r>
    </w:p>
    <w:p w14:paraId="65E81F3F" w14:textId="77777777" w:rsidR="00C8020C" w:rsidRPr="00C8020C" w:rsidRDefault="00C8020C" w:rsidP="00C8020C">
      <w:pPr>
        <w:numPr>
          <w:ilvl w:val="0"/>
          <w:numId w:val="17"/>
        </w:numPr>
      </w:pPr>
      <w:r w:rsidRPr="00C8020C">
        <w:t xml:space="preserve">Local Government Association. (2023). </w:t>
      </w:r>
      <w:r w:rsidRPr="00C8020C">
        <w:rPr>
          <w:i/>
          <w:iCs/>
        </w:rPr>
        <w:t>Measuring Wellbeing in Local Places.</w:t>
      </w:r>
      <w:r w:rsidRPr="00C8020C">
        <w:t xml:space="preserve"> London, UK.</w:t>
      </w:r>
    </w:p>
    <w:p w14:paraId="15039166" w14:textId="77777777" w:rsidR="00C8020C" w:rsidRPr="00C8020C" w:rsidRDefault="00C8020C" w:rsidP="00C8020C">
      <w:pPr>
        <w:numPr>
          <w:ilvl w:val="0"/>
          <w:numId w:val="17"/>
        </w:numPr>
      </w:pPr>
      <w:r w:rsidRPr="00C8020C">
        <w:t xml:space="preserve">OECD. (2020). </w:t>
      </w:r>
      <w:r w:rsidRPr="00C8020C">
        <w:rPr>
          <w:i/>
          <w:iCs/>
        </w:rPr>
        <w:t>How’s Life? Measuring Well-being 2020.</w:t>
      </w:r>
      <w:r w:rsidRPr="00C8020C">
        <w:t xml:space="preserve"> Paris, France.</w:t>
      </w:r>
    </w:p>
    <w:p w14:paraId="44EDC3E8" w14:textId="77777777" w:rsidR="00C8020C" w:rsidRPr="00C8020C" w:rsidRDefault="00C8020C" w:rsidP="00C8020C">
      <w:pPr>
        <w:numPr>
          <w:ilvl w:val="0"/>
          <w:numId w:val="17"/>
        </w:numPr>
      </w:pPr>
      <w:r w:rsidRPr="00C8020C">
        <w:t xml:space="preserve">Raworth, K. (2017). </w:t>
      </w:r>
      <w:r w:rsidRPr="00C8020C">
        <w:rPr>
          <w:i/>
          <w:iCs/>
        </w:rPr>
        <w:t>Doughnut Economics: Seven Ways to Think Like a 21st-Century Economist.</w:t>
      </w:r>
      <w:r w:rsidRPr="00C8020C">
        <w:t xml:space="preserve"> London, UK: Random House.</w:t>
      </w:r>
    </w:p>
    <w:p w14:paraId="70816A8E" w14:textId="77777777" w:rsidR="00C8020C" w:rsidRPr="00C8020C" w:rsidRDefault="00C8020C" w:rsidP="00BF1A49">
      <w:pPr>
        <w:ind w:left="720"/>
      </w:pPr>
    </w:p>
    <w:p w14:paraId="6C2885DA" w14:textId="77777777" w:rsidR="002E3C0C" w:rsidRDefault="002E3C0C"/>
    <w:sectPr w:rsidR="002E3C0C" w:rsidSect="00AE5EBE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E02E" w14:textId="77777777" w:rsidR="00646020" w:rsidRDefault="00646020" w:rsidP="002E3C0C">
      <w:r>
        <w:separator/>
      </w:r>
    </w:p>
  </w:endnote>
  <w:endnote w:type="continuationSeparator" w:id="0">
    <w:p w14:paraId="4A3843BE" w14:textId="77777777" w:rsidR="00646020" w:rsidRDefault="00646020" w:rsidP="002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A72F" w14:textId="051CED20" w:rsidR="002E3C0C" w:rsidRDefault="002E3C0C" w:rsidP="002E3C0C">
    <w:pPr>
      <w:pStyle w:val="Footer"/>
      <w:jc w:val="center"/>
    </w:pPr>
    <w:r>
      <w:t>www.flourishproject.net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FB44" w14:textId="77777777" w:rsidR="00646020" w:rsidRDefault="00646020" w:rsidP="002E3C0C">
      <w:r>
        <w:separator/>
      </w:r>
    </w:p>
  </w:footnote>
  <w:footnote w:type="continuationSeparator" w:id="0">
    <w:p w14:paraId="4A7F0B47" w14:textId="77777777" w:rsidR="00646020" w:rsidRDefault="00646020" w:rsidP="002E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771" w14:textId="2CE09238" w:rsidR="002E3C0C" w:rsidRDefault="002E3C0C">
    <w:pPr>
      <w:pStyle w:val="Header"/>
    </w:pPr>
    <w:r>
      <w:t>Flourish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001"/>
    <w:multiLevelType w:val="multilevel"/>
    <w:tmpl w:val="815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00258"/>
    <w:multiLevelType w:val="multilevel"/>
    <w:tmpl w:val="0C5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A61BC"/>
    <w:multiLevelType w:val="multilevel"/>
    <w:tmpl w:val="8F2A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042D6"/>
    <w:multiLevelType w:val="multilevel"/>
    <w:tmpl w:val="9FA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96402"/>
    <w:multiLevelType w:val="multilevel"/>
    <w:tmpl w:val="D4A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94463"/>
    <w:multiLevelType w:val="multilevel"/>
    <w:tmpl w:val="B38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E2F42"/>
    <w:multiLevelType w:val="multilevel"/>
    <w:tmpl w:val="536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F5072"/>
    <w:multiLevelType w:val="multilevel"/>
    <w:tmpl w:val="DC54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E2F9A"/>
    <w:multiLevelType w:val="multilevel"/>
    <w:tmpl w:val="D0BA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0661D"/>
    <w:multiLevelType w:val="multilevel"/>
    <w:tmpl w:val="69F6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F3447"/>
    <w:multiLevelType w:val="multilevel"/>
    <w:tmpl w:val="986E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173A3"/>
    <w:multiLevelType w:val="multilevel"/>
    <w:tmpl w:val="266A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669A5"/>
    <w:multiLevelType w:val="multilevel"/>
    <w:tmpl w:val="6F4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D43BF"/>
    <w:multiLevelType w:val="multilevel"/>
    <w:tmpl w:val="724C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7674D"/>
    <w:multiLevelType w:val="multilevel"/>
    <w:tmpl w:val="A3E4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617BB"/>
    <w:multiLevelType w:val="multilevel"/>
    <w:tmpl w:val="4624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06E40"/>
    <w:multiLevelType w:val="multilevel"/>
    <w:tmpl w:val="9EB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355554">
    <w:abstractNumId w:val="4"/>
  </w:num>
  <w:num w:numId="2" w16cid:durableId="2082751094">
    <w:abstractNumId w:val="15"/>
  </w:num>
  <w:num w:numId="3" w16cid:durableId="648749144">
    <w:abstractNumId w:val="16"/>
  </w:num>
  <w:num w:numId="4" w16cid:durableId="1796365468">
    <w:abstractNumId w:val="2"/>
  </w:num>
  <w:num w:numId="5" w16cid:durableId="1587684758">
    <w:abstractNumId w:val="1"/>
  </w:num>
  <w:num w:numId="6" w16cid:durableId="324480631">
    <w:abstractNumId w:val="6"/>
  </w:num>
  <w:num w:numId="7" w16cid:durableId="1351419754">
    <w:abstractNumId w:val="9"/>
  </w:num>
  <w:num w:numId="8" w16cid:durableId="1190141575">
    <w:abstractNumId w:val="5"/>
  </w:num>
  <w:num w:numId="9" w16cid:durableId="1377118287">
    <w:abstractNumId w:val="14"/>
  </w:num>
  <w:num w:numId="10" w16cid:durableId="1987200669">
    <w:abstractNumId w:val="0"/>
  </w:num>
  <w:num w:numId="11" w16cid:durableId="570190745">
    <w:abstractNumId w:val="11"/>
  </w:num>
  <w:num w:numId="12" w16cid:durableId="1419133819">
    <w:abstractNumId w:val="3"/>
  </w:num>
  <w:num w:numId="13" w16cid:durableId="208611046">
    <w:abstractNumId w:val="10"/>
  </w:num>
  <w:num w:numId="14" w16cid:durableId="1619482591">
    <w:abstractNumId w:val="7"/>
  </w:num>
  <w:num w:numId="15" w16cid:durableId="1313675613">
    <w:abstractNumId w:val="13"/>
  </w:num>
  <w:num w:numId="16" w16cid:durableId="1874688564">
    <w:abstractNumId w:val="12"/>
  </w:num>
  <w:num w:numId="17" w16cid:durableId="1051030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0C"/>
    <w:rsid w:val="002E3C0C"/>
    <w:rsid w:val="00395734"/>
    <w:rsid w:val="004A0545"/>
    <w:rsid w:val="005020DE"/>
    <w:rsid w:val="005613B4"/>
    <w:rsid w:val="005B3BC9"/>
    <w:rsid w:val="00606815"/>
    <w:rsid w:val="00646020"/>
    <w:rsid w:val="007562FE"/>
    <w:rsid w:val="008F5FA5"/>
    <w:rsid w:val="00AE5EBE"/>
    <w:rsid w:val="00BF1A49"/>
    <w:rsid w:val="00C6422C"/>
    <w:rsid w:val="00C8020C"/>
    <w:rsid w:val="00DC228B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3F80"/>
  <w15:chartTrackingRefBased/>
  <w15:docId w15:val="{4F8922F1-FEBC-D043-8576-58CCE07B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C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C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C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C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C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C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C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C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C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C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C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C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C0C"/>
  </w:style>
  <w:style w:type="paragraph" w:styleId="Footer">
    <w:name w:val="footer"/>
    <w:basedOn w:val="Normal"/>
    <w:link w:val="FooterChar"/>
    <w:uiPriority w:val="99"/>
    <w:unhideWhenUsed/>
    <w:rsid w:val="002E3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C0C"/>
  </w:style>
  <w:style w:type="table" w:styleId="TableGrid">
    <w:name w:val="Table Grid"/>
    <w:basedOn w:val="TableNormal"/>
    <w:uiPriority w:val="39"/>
    <w:rsid w:val="00C8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980</Words>
  <Characters>6365</Characters>
  <Application>Microsoft Office Word</Application>
  <DocSecurity>0</DocSecurity>
  <Lines>127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Ellyatt</dc:creator>
  <cp:keywords/>
  <dc:description/>
  <cp:lastModifiedBy>Wendy Ellyatt</cp:lastModifiedBy>
  <cp:revision>2</cp:revision>
  <dcterms:created xsi:type="dcterms:W3CDTF">2025-10-09T09:16:00Z</dcterms:created>
  <dcterms:modified xsi:type="dcterms:W3CDTF">2025-10-09T09:16:00Z</dcterms:modified>
</cp:coreProperties>
</file>