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4DCD" w14:textId="4AF31155" w:rsidR="00C6422C" w:rsidRDefault="002E3C0C">
      <w:r>
        <w:rPr>
          <w:noProof/>
          <w:color w:val="0F9ED5" w:themeColor="accent4"/>
          <w:sz w:val="28"/>
          <w:szCs w:val="28"/>
        </w:rPr>
        <mc:AlternateContent>
          <mc:Choice Requires="wps">
            <w:drawing>
              <wp:anchor distT="0" distB="0" distL="114300" distR="114300" simplePos="0" relativeHeight="251659264" behindDoc="0" locked="0" layoutInCell="1" allowOverlap="1" wp14:anchorId="6AC2C53E" wp14:editId="17A95D0B">
                <wp:simplePos x="0" y="0"/>
                <wp:positionH relativeFrom="column">
                  <wp:posOffset>4340860</wp:posOffset>
                </wp:positionH>
                <wp:positionV relativeFrom="paragraph">
                  <wp:posOffset>-715569</wp:posOffset>
                </wp:positionV>
                <wp:extent cx="2130250" cy="932400"/>
                <wp:effectExtent l="0" t="0" r="3810" b="0"/>
                <wp:wrapNone/>
                <wp:docPr id="876036873" name="Text Box 1"/>
                <wp:cNvGraphicFramePr/>
                <a:graphic xmlns:a="http://schemas.openxmlformats.org/drawingml/2006/main">
                  <a:graphicData uri="http://schemas.microsoft.com/office/word/2010/wordprocessingShape">
                    <wps:wsp>
                      <wps:cNvSpPr txBox="1"/>
                      <wps:spPr>
                        <a:xfrm>
                          <a:off x="0" y="0"/>
                          <a:ext cx="2130250" cy="932400"/>
                        </a:xfrm>
                        <a:prstGeom prst="rect">
                          <a:avLst/>
                        </a:prstGeom>
                        <a:solidFill>
                          <a:schemeClr val="lt1"/>
                        </a:solidFill>
                        <a:ln w="6350">
                          <a:noFill/>
                        </a:ln>
                      </wps:spPr>
                      <wps:txbx>
                        <w:txbxContent>
                          <w:p w14:paraId="7713088B" w14:textId="77777777" w:rsidR="002E3C0C" w:rsidRDefault="002E3C0C" w:rsidP="002E3C0C">
                            <w:r w:rsidRPr="00032F4C">
                              <w:rPr>
                                <w:rFonts w:asciiTheme="minorHAnsi" w:eastAsia="Times New Roman" w:hAnsiTheme="minorHAnsi" w:cstheme="minorHAnsi"/>
                                <w:bCs/>
                                <w:noProof/>
                              </w:rPr>
                              <w:drawing>
                                <wp:inline distT="0" distB="0" distL="0" distR="0" wp14:anchorId="7B929580" wp14:editId="417E4357">
                                  <wp:extent cx="1940560" cy="885453"/>
                                  <wp:effectExtent l="0" t="0" r="2540" b="381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940560" cy="885453"/>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C2C53E" id="_x0000_t202" coordsize="21600,21600" o:spt="202" path="m,l,21600r21600,l21600,xe">
                <v:stroke joinstyle="miter"/>
                <v:path gradientshapeok="t" o:connecttype="rect"/>
              </v:shapetype>
              <v:shape id="Text Box 1" o:spid="_x0000_s1026" type="#_x0000_t202" style="position:absolute;margin-left:341.8pt;margin-top:-56.35pt;width:167.75pt;height: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" fillcolor="white [3201]" stroked="f" strokeweight=".5pt">
                <v:textbox>
                  <w:txbxContent>
                    <w:p w14:paraId="7713088B" w14:textId="77777777" w:rsidR="002E3C0C" w:rsidRDefault="002E3C0C" w:rsidP="002E3C0C">
                      <w:r w:rsidRPr="00032F4C">
                        <w:rPr>
                          <w:rFonts w:asciiTheme="minorHAnsi" w:eastAsia="Times New Roman" w:hAnsiTheme="minorHAnsi" w:cstheme="minorHAnsi"/>
                          <w:bCs/>
                          <w:noProof/>
                        </w:rPr>
                        <w:drawing>
                          <wp:inline distT="0" distB="0" distL="0" distR="0" wp14:anchorId="7B929580" wp14:editId="417E4357">
                            <wp:extent cx="1940560" cy="885453"/>
                            <wp:effectExtent l="0" t="0" r="2540" b="3810"/>
                            <wp:docPr id="2" name="Picture 2"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for a company&#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940560" cy="885453"/>
                                    </a:xfrm>
                                    <a:prstGeom prst="rect">
                                      <a:avLst/>
                                    </a:prstGeom>
                                  </pic:spPr>
                                </pic:pic>
                              </a:graphicData>
                            </a:graphic>
                          </wp:inline>
                        </w:drawing>
                      </w:r>
                    </w:p>
                  </w:txbxContent>
                </v:textbox>
              </v:shape>
            </w:pict>
          </mc:Fallback>
        </mc:AlternateContent>
      </w:r>
      <w:r>
        <w:rPr>
          <w:color w:val="0B769F" w:themeColor="accent4" w:themeShade="BF"/>
          <w:sz w:val="24"/>
          <w:szCs w:val="24"/>
        </w:rPr>
        <w:br/>
      </w:r>
      <w:r>
        <w:rPr>
          <w:color w:val="0B769F" w:themeColor="accent4" w:themeShade="BF"/>
          <w:sz w:val="24"/>
          <w:szCs w:val="24"/>
        </w:rPr>
        <w:br/>
      </w:r>
      <w:r w:rsidR="00FF4E12">
        <w:rPr>
          <w:color w:val="0B769F" w:themeColor="accent4" w:themeShade="BF"/>
          <w:sz w:val="24"/>
          <w:szCs w:val="24"/>
        </w:rPr>
        <w:t>UK BEEWELL SURVEY</w:t>
      </w:r>
      <w:r w:rsidRPr="002E3C0C">
        <w:rPr>
          <w:color w:val="0B769F" w:themeColor="accent4" w:themeShade="BF"/>
          <w:sz w:val="24"/>
          <w:szCs w:val="24"/>
        </w:rPr>
        <w:t xml:space="preserve"> EXAMPLE ESF EVALUATION</w:t>
      </w:r>
      <w:r>
        <w:br/>
        <w:t>_______________________________________________________________________________</w:t>
      </w:r>
    </w:p>
    <w:p w14:paraId="56FD6B26" w14:textId="77777777" w:rsidR="002E3C0C" w:rsidRDefault="002E3C0C"/>
    <w:p w14:paraId="6455AC12" w14:textId="37B7D544" w:rsidR="00FF4E12" w:rsidRPr="00FF4E12" w:rsidRDefault="00FF4E12" w:rsidP="00FF4E12">
      <w:pPr>
        <w:rPr>
          <w:b/>
          <w:bCs/>
        </w:rPr>
      </w:pPr>
      <w:r w:rsidRPr="00FF4E12">
        <w:rPr>
          <w:b/>
          <w:bCs/>
          <w:color w:val="0B769F" w:themeColor="accent4" w:themeShade="BF"/>
        </w:rPr>
        <w:t>1) ESF Domain Mapping (what the survey emphasises)</w:t>
      </w:r>
      <w:r>
        <w:rPr>
          <w:b/>
          <w:bCs/>
        </w:rPr>
        <w:br/>
      </w:r>
    </w:p>
    <w:p w14:paraId="45B72BAB" w14:textId="40DE41CE" w:rsidR="00FF4E12" w:rsidRPr="00FF4E12" w:rsidRDefault="00FF4E12" w:rsidP="00FF4E12">
      <w:r w:rsidRPr="00FF4E12">
        <w:rPr>
          <w:b/>
          <w:bCs/>
        </w:rPr>
        <w:t>Dominant: Human Capacities &amp; Potential</w:t>
      </w:r>
      <w:r>
        <w:rPr>
          <w:b/>
          <w:bCs/>
        </w:rPr>
        <w:br/>
      </w:r>
      <w:r w:rsidRPr="00FF4E12">
        <w:br/>
        <w:t xml:space="preserve">The survey is rich in indicators of psychological wellbeing, emotional regulation, self-esteem, resilience, stress management, and health behaviours. This includes validated measures such as the Short Warwick-Edinburgh Mental Wellbeing Scale, Rosenberg Self-Esteem Scale, and Me and My Feelings questionnaire — all of which align strongly with </w:t>
      </w:r>
      <w:r w:rsidRPr="00FF4E12">
        <w:rPr>
          <w:i/>
          <w:iCs/>
        </w:rPr>
        <w:t>personal capacities</w:t>
      </w:r>
      <w:r w:rsidRPr="00FF4E12">
        <w:t xml:space="preserve"> and </w:t>
      </w:r>
      <w:r w:rsidRPr="00FF4E12">
        <w:rPr>
          <w:i/>
          <w:iCs/>
        </w:rPr>
        <w:t>emotional literacy</w:t>
      </w:r>
      <w:r w:rsidRPr="00FF4E12">
        <w:t>.</w:t>
      </w:r>
      <w:r>
        <w:br/>
      </w:r>
    </w:p>
    <w:p w14:paraId="1F132600" w14:textId="7BF61295" w:rsidR="00FF4E12" w:rsidRPr="00FF4E12" w:rsidRDefault="00FF4E12" w:rsidP="00FF4E12">
      <w:r w:rsidRPr="00FF4E12">
        <w:rPr>
          <w:b/>
          <w:bCs/>
        </w:rPr>
        <w:t>Moderate: Cultural Values &amp; Identity</w:t>
      </w:r>
      <w:r>
        <w:rPr>
          <w:b/>
          <w:bCs/>
        </w:rPr>
        <w:br/>
      </w:r>
      <w:r w:rsidRPr="00FF4E12">
        <w:br/>
        <w:t>Substantial attention is given to identity (gender, sexuality, ethnicity, faith), belonging (school connection, neighbourhood trust, perceived discrimination), and social cohesion. This domain is strengthened by items on inclusion, safety, and experiences of racism, gender bias, and ableism, reflecting an ethical and culturally aware approach.</w:t>
      </w:r>
      <w:r>
        <w:br/>
      </w:r>
    </w:p>
    <w:p w14:paraId="3CA59089" w14:textId="244F6455" w:rsidR="00FF4E12" w:rsidRPr="00FF4E12" w:rsidRDefault="00FF4E12" w:rsidP="00FF4E12">
      <w:r w:rsidRPr="00FF4E12">
        <w:rPr>
          <w:b/>
          <w:bCs/>
        </w:rPr>
        <w:t>Emerging: Circular &amp; Regenerative Economics</w:t>
      </w:r>
      <w:r>
        <w:rPr>
          <w:b/>
          <w:bCs/>
        </w:rPr>
        <w:br/>
      </w:r>
      <w:r w:rsidRPr="00FF4E12">
        <w:br/>
        <w:t>The “Environment and Society” and “Future” sections bring in material wellbeing, perceived fairness, and life readiness (e.g. employability, financial satisfaction, housing, food security, career guidance). However, economic and structural indicators remain secondary to psychological and relational ones.</w:t>
      </w:r>
      <w:r>
        <w:br/>
      </w:r>
    </w:p>
    <w:p w14:paraId="36A6BD00" w14:textId="26B755CA" w:rsidR="00FF4E12" w:rsidRPr="00FF4E12" w:rsidRDefault="00FF4E12" w:rsidP="00FF4E12">
      <w:r w:rsidRPr="00FF4E12">
        <w:rPr>
          <w:b/>
          <w:bCs/>
        </w:rPr>
        <w:t>Sparse: Natural Environment</w:t>
      </w:r>
      <w:r>
        <w:rPr>
          <w:b/>
          <w:bCs/>
        </w:rPr>
        <w:br/>
      </w:r>
      <w:r w:rsidRPr="00FF4E12">
        <w:br/>
        <w:t>Although there are questions about neighbourhood safety and amenities (e.g. access to parks, leisure centres), direct ecological indicators — such as climate anxiety, green space engagement, or environmental stewardship — are largely absent.</w:t>
      </w:r>
      <w:r>
        <w:br/>
      </w:r>
    </w:p>
    <w:p w14:paraId="35AD6BB0" w14:textId="78C7DEB2" w:rsidR="00FF4E12" w:rsidRPr="00FF4E12" w:rsidRDefault="00FF4E12" w:rsidP="00FF4E12">
      <w:r w:rsidRPr="00FF4E12">
        <w:rPr>
          <w:b/>
          <w:bCs/>
        </w:rPr>
        <w:t>Interpretation:</w:t>
      </w:r>
      <w:r>
        <w:rPr>
          <w:b/>
          <w:bCs/>
        </w:rPr>
        <w:br/>
      </w:r>
      <w:r w:rsidRPr="00FF4E12">
        <w:br/>
        <w:t xml:space="preserve">The #BeeWell survey reflects a </w:t>
      </w:r>
      <w:r w:rsidRPr="00FF4E12">
        <w:rPr>
          <w:i/>
          <w:iCs/>
        </w:rPr>
        <w:t>whole-child wellbeing model</w:t>
      </w:r>
      <w:r w:rsidRPr="00FF4E12">
        <w:t xml:space="preserve"> that emphasises psychological health and social identity. It is a relationally progressive tool but under-represents the ecological and systemic economic dimensions of youth flourishing.</w:t>
      </w:r>
    </w:p>
    <w:p w14:paraId="59090BBD" w14:textId="1B971755" w:rsidR="00FF4E12" w:rsidRPr="00FF4E12" w:rsidRDefault="00FF4E12" w:rsidP="00FF4E12"/>
    <w:p w14:paraId="4B143278" w14:textId="0E66E5E2" w:rsidR="00FF4E12" w:rsidRPr="00FF4E12" w:rsidRDefault="00FF4E12" w:rsidP="00FF4E12">
      <w:pPr>
        <w:rPr>
          <w:b/>
          <w:bCs/>
        </w:rPr>
      </w:pPr>
      <w:r>
        <w:rPr>
          <w:b/>
          <w:bCs/>
        </w:rPr>
        <w:br/>
      </w:r>
      <w:r w:rsidRPr="00FF4E12">
        <w:rPr>
          <w:b/>
          <w:bCs/>
          <w:color w:val="0B769F" w:themeColor="accent4" w:themeShade="BF"/>
        </w:rPr>
        <w:t>2) Seven Levels of Human Motivation (where items sit on the flourishing spectrum)</w:t>
      </w:r>
      <w:r>
        <w:rPr>
          <w:b/>
          <w:bCs/>
        </w:rPr>
        <w:br/>
      </w:r>
    </w:p>
    <w:p w14:paraId="60E0F325" w14:textId="5C963428" w:rsidR="00FF4E12" w:rsidRPr="00FF4E12" w:rsidRDefault="00FF4E12" w:rsidP="00FF4E12">
      <w:r w:rsidRPr="00FF4E12">
        <w:rPr>
          <w:b/>
          <w:bCs/>
        </w:rPr>
        <w:t>Security (Strong presence)</w:t>
      </w:r>
      <w:r>
        <w:rPr>
          <w:b/>
          <w:bCs/>
        </w:rPr>
        <w:br/>
      </w:r>
      <w:r w:rsidRPr="00FF4E12">
        <w:br/>
        <w:t>Food security, housing satisfaction, safety in local areas, bullying, discrimination, and access to wellbeing support are well covered. These indicators establish a firm base of physical and emotional safety.</w:t>
      </w:r>
      <w:r>
        <w:br/>
      </w:r>
    </w:p>
    <w:p w14:paraId="30DCAC35" w14:textId="760F8ACF" w:rsidR="00FF4E12" w:rsidRPr="00FF4E12" w:rsidRDefault="00FF4E12" w:rsidP="00FF4E12">
      <w:r w:rsidRPr="00FF4E12">
        <w:rPr>
          <w:b/>
          <w:bCs/>
        </w:rPr>
        <w:t>Relationship (Very strong presence)</w:t>
      </w:r>
      <w:r>
        <w:rPr>
          <w:b/>
          <w:bCs/>
        </w:rPr>
        <w:br/>
      </w:r>
      <w:r w:rsidRPr="00FF4E12">
        <w:br/>
        <w:t xml:space="preserve">Extensive questions on friendships, parental and teacher relationships, belonging at school, and </w:t>
      </w:r>
      <w:r w:rsidRPr="00FF4E12">
        <w:lastRenderedPageBreak/>
        <w:t>support networks show this to be the most comprehensively addressed motivational level — central to #BeeWell’s relational ethos.</w:t>
      </w:r>
      <w:r>
        <w:br/>
      </w:r>
    </w:p>
    <w:p w14:paraId="1CC737F6" w14:textId="59276867" w:rsidR="00FF4E12" w:rsidRPr="00FF4E12" w:rsidRDefault="00FF4E12" w:rsidP="00FF4E12">
      <w:r w:rsidRPr="00FF4E12">
        <w:rPr>
          <w:b/>
          <w:bCs/>
        </w:rPr>
        <w:t>Independence (Strong)</w:t>
      </w:r>
      <w:r>
        <w:rPr>
          <w:b/>
          <w:bCs/>
        </w:rPr>
        <w:br/>
      </w:r>
      <w:r w:rsidRPr="00FF4E12">
        <w:br/>
        <w:t>Self-esteem, self-control, perceived competence, and educational autonomy (“I can make up my own mind,” “I feel in control of my future”) all strengthen this layer.</w:t>
      </w:r>
      <w:r>
        <w:br/>
      </w:r>
    </w:p>
    <w:p w14:paraId="21BA8F84" w14:textId="5F1A3A04" w:rsidR="00FF4E12" w:rsidRPr="00FF4E12" w:rsidRDefault="00FF4E12" w:rsidP="00FF4E12">
      <w:r w:rsidRPr="00FF4E12">
        <w:rPr>
          <w:b/>
          <w:bCs/>
        </w:rPr>
        <w:t>Engagement (Moderate)</w:t>
      </w:r>
      <w:r>
        <w:rPr>
          <w:b/>
          <w:bCs/>
        </w:rPr>
        <w:br/>
      </w:r>
      <w:r w:rsidRPr="00FF4E12">
        <w:br/>
        <w:t>Covers hobbies, arts, volunteering, sports, and social media engagement. The addition of creative participation and volunteering items in 2023–24 improves coverage here.</w:t>
      </w:r>
      <w:r>
        <w:br/>
      </w:r>
    </w:p>
    <w:p w14:paraId="0D2088CF" w14:textId="2595E64B" w:rsidR="00FF4E12" w:rsidRPr="00FF4E12" w:rsidRDefault="00FF4E12" w:rsidP="00FF4E12">
      <w:r w:rsidRPr="00FF4E12">
        <w:rPr>
          <w:b/>
          <w:bCs/>
        </w:rPr>
        <w:t>Fulfilment (Moderate–Strong)</w:t>
      </w:r>
      <w:r>
        <w:rPr>
          <w:b/>
          <w:bCs/>
        </w:rPr>
        <w:br/>
      </w:r>
      <w:r w:rsidRPr="00FF4E12">
        <w:br/>
        <w:t>Meaning, purpose, optimism, and life satisfaction appear early in the survey (“Meaning, Purpose and Control”). This gives #BeeWell a rare higher-order psychological dimension.</w:t>
      </w:r>
      <w:r>
        <w:br/>
      </w:r>
    </w:p>
    <w:p w14:paraId="342D161C" w14:textId="49420223" w:rsidR="00FF4E12" w:rsidRPr="00FF4E12" w:rsidRDefault="00FF4E12" w:rsidP="00FF4E12">
      <w:r w:rsidRPr="00FF4E12">
        <w:rPr>
          <w:b/>
          <w:bCs/>
        </w:rPr>
        <w:t>Contribution (Moderate)</w:t>
      </w:r>
      <w:r w:rsidRPr="00FF4E12">
        <w:br/>
        <w:t>Volunteering and community involvement are present but could expand to include collective or civic efficacy (e.g. youth-led environmental or social projects).</w:t>
      </w:r>
      <w:r>
        <w:br/>
      </w:r>
    </w:p>
    <w:p w14:paraId="40B610C1" w14:textId="5D170B55" w:rsidR="00FF4E12" w:rsidRPr="00FF4E12" w:rsidRDefault="00FF4E12" w:rsidP="00FF4E12">
      <w:r w:rsidRPr="00FF4E12">
        <w:rPr>
          <w:b/>
          <w:bCs/>
        </w:rPr>
        <w:t>Growth (Emerging)</w:t>
      </w:r>
      <w:r w:rsidRPr="00FF4E12">
        <w:br/>
        <w:t>Some items address resilience, coping with challenges, and “life readiness,” yet there are few questions directly tapping ongoing transformation, lifelong learning, or adaptability beyond schooling.</w:t>
      </w:r>
      <w:r>
        <w:br/>
      </w:r>
    </w:p>
    <w:p w14:paraId="23AD9B20" w14:textId="581A9318" w:rsidR="00FF4E12" w:rsidRPr="00FF4E12" w:rsidRDefault="00FF4E12" w:rsidP="00FF4E12">
      <w:r w:rsidRPr="00FF4E12">
        <w:rPr>
          <w:b/>
          <w:bCs/>
        </w:rPr>
        <w:t>Interpretation:</w:t>
      </w:r>
      <w:r>
        <w:rPr>
          <w:b/>
          <w:bCs/>
        </w:rPr>
        <w:br/>
      </w:r>
      <w:r w:rsidRPr="00FF4E12">
        <w:br/>
        <w:t xml:space="preserve">#BeeWell spans the full spectrum of human motivation but weights toward </w:t>
      </w:r>
      <w:r w:rsidRPr="00FF4E12">
        <w:rPr>
          <w:i/>
          <w:iCs/>
        </w:rPr>
        <w:t>Relationship</w:t>
      </w:r>
      <w:r w:rsidRPr="00FF4E12">
        <w:t xml:space="preserve"> and </w:t>
      </w:r>
      <w:r w:rsidRPr="00FF4E12">
        <w:rPr>
          <w:i/>
          <w:iCs/>
        </w:rPr>
        <w:t>Security</w:t>
      </w:r>
      <w:r w:rsidRPr="00FF4E12">
        <w:t xml:space="preserve">. There is clear intention to reach </w:t>
      </w:r>
      <w:r w:rsidRPr="00FF4E12">
        <w:rPr>
          <w:i/>
          <w:iCs/>
        </w:rPr>
        <w:t>Fulfilment</w:t>
      </w:r>
      <w:r w:rsidRPr="00FF4E12">
        <w:t xml:space="preserve"> and </w:t>
      </w:r>
      <w:r w:rsidRPr="00FF4E12">
        <w:rPr>
          <w:i/>
          <w:iCs/>
        </w:rPr>
        <w:t>Growth</w:t>
      </w:r>
      <w:r w:rsidRPr="00FF4E12">
        <w:t>, but the latter remains limited to career preparation rather than inner or collective evolution.</w:t>
      </w:r>
    </w:p>
    <w:p w14:paraId="5624DA63" w14:textId="0E89EA0C" w:rsidR="00FF4E12" w:rsidRPr="00FF4E12" w:rsidRDefault="00FF4E12" w:rsidP="00FF4E12"/>
    <w:p w14:paraId="5EDAF7E8" w14:textId="5BE4782B" w:rsidR="00FF4E12" w:rsidRPr="00FF4E12" w:rsidRDefault="00FF4E12" w:rsidP="00FF4E12">
      <w:pPr>
        <w:rPr>
          <w:b/>
          <w:bCs/>
        </w:rPr>
      </w:pPr>
      <w:r w:rsidRPr="00FF4E12">
        <w:rPr>
          <w:b/>
          <w:bCs/>
          <w:color w:val="0B769F" w:themeColor="accent4" w:themeShade="BF"/>
        </w:rPr>
        <w:t>3) Integrated Flourishing Analysis (balance, gaps, and opportunities)</w:t>
      </w:r>
      <w:r>
        <w:rPr>
          <w:b/>
          <w:bCs/>
        </w:rPr>
        <w:br/>
      </w:r>
    </w:p>
    <w:p w14:paraId="1165675C" w14:textId="66E2F118" w:rsidR="00FF4E12" w:rsidRPr="00FF4E12" w:rsidRDefault="00FF4E12" w:rsidP="00FF4E12">
      <w:r w:rsidRPr="00FF4E12">
        <w:rPr>
          <w:b/>
          <w:bCs/>
        </w:rPr>
        <w:t>Balance Check</w:t>
      </w:r>
      <w:r>
        <w:rPr>
          <w:b/>
          <w:bCs/>
        </w:rPr>
        <w:br/>
      </w:r>
    </w:p>
    <w:p w14:paraId="7A3AF35C" w14:textId="2B482001" w:rsidR="00FF4E12" w:rsidRPr="00FF4E12" w:rsidRDefault="00FF4E12" w:rsidP="00FF4E12">
      <w:pPr>
        <w:numPr>
          <w:ilvl w:val="0"/>
          <w:numId w:val="10"/>
        </w:numPr>
      </w:pPr>
      <w:r w:rsidRPr="00FF4E12">
        <w:rPr>
          <w:b/>
          <w:bCs/>
        </w:rPr>
        <w:t>Psychological and relational wellbeing:</w:t>
      </w:r>
      <w:r w:rsidRPr="00FF4E12">
        <w:t xml:space="preserve"> exceptional coverage — a world-leading approach to youth voice and subjective wellbeing.</w:t>
      </w:r>
      <w:r>
        <w:br/>
      </w:r>
    </w:p>
    <w:p w14:paraId="42970071" w14:textId="09008AA0" w:rsidR="00FF4E12" w:rsidRPr="00FF4E12" w:rsidRDefault="00FF4E12" w:rsidP="00FF4E12">
      <w:pPr>
        <w:numPr>
          <w:ilvl w:val="0"/>
          <w:numId w:val="10"/>
        </w:numPr>
      </w:pPr>
      <w:r w:rsidRPr="00FF4E12">
        <w:rPr>
          <w:b/>
          <w:bCs/>
        </w:rPr>
        <w:t>Socio-cultural inclusion:</w:t>
      </w:r>
      <w:r w:rsidRPr="00FF4E12">
        <w:t xml:space="preserve"> strong — with progressive attention to gender, sexuality, race, and discrimination.</w:t>
      </w:r>
      <w:r>
        <w:br/>
      </w:r>
    </w:p>
    <w:p w14:paraId="35F8B7CF" w14:textId="74D2E1CE" w:rsidR="00FF4E12" w:rsidRPr="00FF4E12" w:rsidRDefault="00FF4E12" w:rsidP="00FF4E12">
      <w:pPr>
        <w:numPr>
          <w:ilvl w:val="0"/>
          <w:numId w:val="10"/>
        </w:numPr>
      </w:pPr>
      <w:r w:rsidRPr="00FF4E12">
        <w:rPr>
          <w:b/>
          <w:bCs/>
        </w:rPr>
        <w:t>Economic and ecological context:</w:t>
      </w:r>
      <w:r w:rsidRPr="00FF4E12">
        <w:t xml:space="preserve"> partial — limited exploration of systemic conditions enabling or constraining wellbeing.</w:t>
      </w:r>
      <w:r>
        <w:br/>
      </w:r>
    </w:p>
    <w:p w14:paraId="21B041FD" w14:textId="592D9931" w:rsidR="00FF4E12" w:rsidRPr="00FF4E12" w:rsidRDefault="00FF4E12" w:rsidP="00FF4E12">
      <w:pPr>
        <w:numPr>
          <w:ilvl w:val="0"/>
          <w:numId w:val="10"/>
        </w:numPr>
      </w:pPr>
      <w:r w:rsidRPr="00FF4E12">
        <w:rPr>
          <w:b/>
          <w:bCs/>
        </w:rPr>
        <w:t>Transformative and civic agency:</w:t>
      </w:r>
      <w:r w:rsidRPr="00FF4E12">
        <w:t xml:space="preserve"> nascent — little measurement of young people’s capacity to influence systems or co-create futures.</w:t>
      </w:r>
      <w:r>
        <w:br/>
      </w:r>
    </w:p>
    <w:p w14:paraId="01E04CD3" w14:textId="1C887BF7" w:rsidR="00FF4E12" w:rsidRPr="00DD01BB" w:rsidRDefault="00FF4E12" w:rsidP="00FF4E12">
      <w:pPr>
        <w:rPr>
          <w:color w:val="000000" w:themeColor="text1"/>
        </w:rPr>
      </w:pPr>
      <w:r w:rsidRPr="00DD01BB">
        <w:rPr>
          <w:b/>
          <w:bCs/>
          <w:color w:val="000000" w:themeColor="text1"/>
        </w:rPr>
        <w:t>Priority Gaps (actionable)</w:t>
      </w:r>
    </w:p>
    <w:p w14:paraId="14EFD9D3" w14:textId="2A694B8B" w:rsidR="00FF4E12" w:rsidRPr="00FF4E12" w:rsidRDefault="00FF4E12" w:rsidP="00FF4E12">
      <w:pPr>
        <w:numPr>
          <w:ilvl w:val="0"/>
          <w:numId w:val="11"/>
        </w:numPr>
      </w:pPr>
      <w:r w:rsidRPr="00FF4E12">
        <w:rPr>
          <w:b/>
          <w:bCs/>
        </w:rPr>
        <w:lastRenderedPageBreak/>
        <w:t>Ecological Connection:</w:t>
      </w:r>
      <w:r w:rsidRPr="00FF4E12">
        <w:t xml:space="preserve"> Add questions on connection with nature, environmental concern, and climate emotions — especially salient for younger generations.</w:t>
      </w:r>
      <w:r>
        <w:br/>
      </w:r>
    </w:p>
    <w:p w14:paraId="50843CB6" w14:textId="2483E505" w:rsidR="00FF4E12" w:rsidRPr="00FF4E12" w:rsidRDefault="00FF4E12" w:rsidP="00FF4E12">
      <w:pPr>
        <w:numPr>
          <w:ilvl w:val="0"/>
          <w:numId w:val="11"/>
        </w:numPr>
      </w:pPr>
      <w:r w:rsidRPr="00FF4E12">
        <w:rPr>
          <w:b/>
          <w:bCs/>
        </w:rPr>
        <w:t>Collective Contribution:</w:t>
      </w:r>
      <w:r w:rsidRPr="00FF4E12">
        <w:t xml:space="preserve"> Develop items for community service, activism, and civic engagement to strengthen the </w:t>
      </w:r>
      <w:r w:rsidRPr="00FF4E12">
        <w:rPr>
          <w:i/>
          <w:iCs/>
        </w:rPr>
        <w:t>Contribution</w:t>
      </w:r>
      <w:r w:rsidRPr="00FF4E12">
        <w:t xml:space="preserve"> and </w:t>
      </w:r>
      <w:r w:rsidRPr="00FF4E12">
        <w:rPr>
          <w:i/>
          <w:iCs/>
        </w:rPr>
        <w:t>Growth</w:t>
      </w:r>
      <w:r w:rsidRPr="00FF4E12">
        <w:t xml:space="preserve"> layers.</w:t>
      </w:r>
      <w:r>
        <w:br/>
      </w:r>
    </w:p>
    <w:p w14:paraId="7C19E06A" w14:textId="72F5BC44" w:rsidR="00FF4E12" w:rsidRPr="00FF4E12" w:rsidRDefault="00FF4E12" w:rsidP="00FF4E12">
      <w:pPr>
        <w:numPr>
          <w:ilvl w:val="0"/>
          <w:numId w:val="11"/>
        </w:numPr>
      </w:pPr>
      <w:r w:rsidRPr="00FF4E12">
        <w:rPr>
          <w:b/>
          <w:bCs/>
        </w:rPr>
        <w:t>Intergenerational and Cultural Belonging:</w:t>
      </w:r>
      <w:r w:rsidRPr="00FF4E12">
        <w:t xml:space="preserve"> Include intergenerational relationships and heritage continuity to enrich </w:t>
      </w:r>
      <w:r w:rsidRPr="00FF4E12">
        <w:rPr>
          <w:i/>
          <w:iCs/>
        </w:rPr>
        <w:t>Cultural Values &amp; Identity</w:t>
      </w:r>
      <w:r w:rsidRPr="00FF4E12">
        <w:t>.</w:t>
      </w:r>
      <w:r>
        <w:br/>
      </w:r>
    </w:p>
    <w:p w14:paraId="07C33B98" w14:textId="58447988" w:rsidR="00FF4E12" w:rsidRPr="00FF4E12" w:rsidRDefault="00FF4E12" w:rsidP="00FF4E12">
      <w:pPr>
        <w:numPr>
          <w:ilvl w:val="0"/>
          <w:numId w:val="11"/>
        </w:numPr>
      </w:pPr>
      <w:r w:rsidRPr="00FF4E12">
        <w:rPr>
          <w:b/>
          <w:bCs/>
        </w:rPr>
        <w:t>Systemic Equity:</w:t>
      </w:r>
      <w:r w:rsidRPr="00FF4E12">
        <w:t xml:space="preserve"> Extend material wellbeing measures (e.g. perceived fairness, access to resources) to integrate </w:t>
      </w:r>
      <w:r w:rsidRPr="00FF4E12">
        <w:rPr>
          <w:i/>
          <w:iCs/>
        </w:rPr>
        <w:t>Circular &amp; Regenerative Economics</w:t>
      </w:r>
      <w:r w:rsidRPr="00FF4E12">
        <w:t>.</w:t>
      </w:r>
      <w:r>
        <w:br/>
      </w:r>
    </w:p>
    <w:p w14:paraId="67D1FE13" w14:textId="0B687551" w:rsidR="00FF4E12" w:rsidRPr="00FF4E12" w:rsidRDefault="00FF4E12" w:rsidP="00FF4E12">
      <w:r w:rsidRPr="00DD01BB">
        <w:rPr>
          <w:b/>
          <w:bCs/>
          <w:color w:val="000000" w:themeColor="text1"/>
        </w:rPr>
        <w:t>Design Principles (enhancement)</w:t>
      </w:r>
      <w:r>
        <w:rPr>
          <w:b/>
          <w:bCs/>
        </w:rPr>
        <w:br/>
      </w:r>
    </w:p>
    <w:p w14:paraId="7E0D0028" w14:textId="743434FE" w:rsidR="00FF4E12" w:rsidRPr="00FF4E12" w:rsidRDefault="00FF4E12" w:rsidP="00FF4E12">
      <w:pPr>
        <w:numPr>
          <w:ilvl w:val="0"/>
          <w:numId w:val="12"/>
        </w:numPr>
      </w:pPr>
      <w:r w:rsidRPr="00FF4E12">
        <w:rPr>
          <w:b/>
          <w:bCs/>
        </w:rPr>
        <w:t>From wellbeing to “whole-system thriving”:</w:t>
      </w:r>
      <w:r w:rsidRPr="00FF4E12">
        <w:t xml:space="preserve"> Pair internal wellbeing (mental health, self-esteem) with external enablers (safe, green, equitable places).</w:t>
      </w:r>
      <w:r>
        <w:br/>
      </w:r>
    </w:p>
    <w:p w14:paraId="53CBF5E4" w14:textId="11E1F3F4" w:rsidR="00FF4E12" w:rsidRPr="00FF4E12" w:rsidRDefault="00FF4E12" w:rsidP="00FF4E12">
      <w:pPr>
        <w:numPr>
          <w:ilvl w:val="0"/>
          <w:numId w:val="12"/>
        </w:numPr>
      </w:pPr>
      <w:r w:rsidRPr="00FF4E12">
        <w:rPr>
          <w:b/>
          <w:bCs/>
        </w:rPr>
        <w:t>Balance personal and planetary:</w:t>
      </w:r>
      <w:r w:rsidRPr="00FF4E12">
        <w:t xml:space="preserve"> Introduce ecological belonging indicators to situate youth flourishing within the living world.</w:t>
      </w:r>
      <w:r>
        <w:br/>
      </w:r>
    </w:p>
    <w:p w14:paraId="52A5134E" w14:textId="77777777" w:rsidR="00FF4E12" w:rsidRPr="00FF4E12" w:rsidRDefault="00FF4E12" w:rsidP="00FF4E12">
      <w:pPr>
        <w:numPr>
          <w:ilvl w:val="0"/>
          <w:numId w:val="12"/>
        </w:numPr>
      </w:pPr>
      <w:r w:rsidRPr="00FF4E12">
        <w:rPr>
          <w:b/>
          <w:bCs/>
        </w:rPr>
        <w:t>Co-design for agency:</w:t>
      </w:r>
      <w:r w:rsidRPr="00FF4E12">
        <w:t xml:space="preserve"> Continue to involve young people in shaping survey evolution, but now orient toward agency and future stewardship, not just wellbeing.</w:t>
      </w:r>
    </w:p>
    <w:p w14:paraId="21E26B42" w14:textId="24589EE6" w:rsidR="00FF4E12" w:rsidRPr="00DD01BB" w:rsidRDefault="00FF4E12" w:rsidP="00FF4E12">
      <w:pPr>
        <w:rPr>
          <w:color w:val="0B769F" w:themeColor="accent4" w:themeShade="BF"/>
        </w:rPr>
      </w:pPr>
    </w:p>
    <w:p w14:paraId="0639873D" w14:textId="76D4AD6D" w:rsidR="00FF4E12" w:rsidRPr="00FF4E12" w:rsidRDefault="00FF4E12" w:rsidP="00FF4E12">
      <w:pPr>
        <w:rPr>
          <w:b/>
          <w:bCs/>
        </w:rPr>
      </w:pPr>
      <w:r w:rsidRPr="00DD01BB">
        <w:rPr>
          <w:b/>
          <w:bCs/>
          <w:color w:val="0B769F" w:themeColor="accent4" w:themeShade="BF"/>
        </w:rPr>
        <w:t>4) ESF Alignment Summary</w:t>
      </w:r>
      <w:r>
        <w:rPr>
          <w:b/>
          <w:bCs/>
        </w:rPr>
        <w:br/>
      </w:r>
    </w:p>
    <w:tbl>
      <w:tblPr>
        <w:tblStyle w:val="TableGrid"/>
        <w:tblW w:w="0" w:type="auto"/>
        <w:tblLook w:val="04A0" w:firstRow="1" w:lastRow="0" w:firstColumn="1" w:lastColumn="0" w:noHBand="0" w:noVBand="1"/>
      </w:tblPr>
      <w:tblGrid>
        <w:gridCol w:w="2506"/>
        <w:gridCol w:w="2053"/>
        <w:gridCol w:w="4457"/>
      </w:tblGrid>
      <w:tr w:rsidR="00FF4E12" w:rsidRPr="00FF4E12" w14:paraId="0923220F" w14:textId="77777777" w:rsidTr="00DD01BB">
        <w:tc>
          <w:tcPr>
            <w:tcW w:w="0" w:type="auto"/>
            <w:hideMark/>
          </w:tcPr>
          <w:p w14:paraId="6805F4D7" w14:textId="77777777" w:rsidR="00FF4E12" w:rsidRPr="00FF4E12" w:rsidRDefault="00FF4E12" w:rsidP="00FF4E12">
            <w:pPr>
              <w:rPr>
                <w:b/>
                <w:bCs/>
              </w:rPr>
            </w:pPr>
            <w:r w:rsidRPr="00FF4E12">
              <w:rPr>
                <w:b/>
                <w:bCs/>
              </w:rPr>
              <w:t>ESF Domain</w:t>
            </w:r>
          </w:p>
        </w:tc>
        <w:tc>
          <w:tcPr>
            <w:tcW w:w="0" w:type="auto"/>
            <w:hideMark/>
          </w:tcPr>
          <w:p w14:paraId="478ED976" w14:textId="77777777" w:rsidR="00FF4E12" w:rsidRPr="00FF4E12" w:rsidRDefault="00FF4E12" w:rsidP="00FF4E12">
            <w:pPr>
              <w:rPr>
                <w:b/>
                <w:bCs/>
              </w:rPr>
            </w:pPr>
            <w:r w:rsidRPr="00FF4E12">
              <w:rPr>
                <w:b/>
                <w:bCs/>
              </w:rPr>
              <w:t>Level of Representation</w:t>
            </w:r>
          </w:p>
        </w:tc>
        <w:tc>
          <w:tcPr>
            <w:tcW w:w="0" w:type="auto"/>
            <w:hideMark/>
          </w:tcPr>
          <w:p w14:paraId="4E395949" w14:textId="77777777" w:rsidR="00FF4E12" w:rsidRPr="00FF4E12" w:rsidRDefault="00FF4E12" w:rsidP="00FF4E12">
            <w:pPr>
              <w:rPr>
                <w:b/>
                <w:bCs/>
              </w:rPr>
            </w:pPr>
            <w:r w:rsidRPr="00FF4E12">
              <w:rPr>
                <w:b/>
                <w:bCs/>
              </w:rPr>
              <w:t>Notes</w:t>
            </w:r>
          </w:p>
        </w:tc>
      </w:tr>
      <w:tr w:rsidR="00FF4E12" w:rsidRPr="00FF4E12" w14:paraId="5FBD3617" w14:textId="77777777" w:rsidTr="00DD01BB">
        <w:tc>
          <w:tcPr>
            <w:tcW w:w="0" w:type="auto"/>
            <w:hideMark/>
          </w:tcPr>
          <w:p w14:paraId="23DE5971" w14:textId="77777777" w:rsidR="00FF4E12" w:rsidRPr="00FF4E12" w:rsidRDefault="00FF4E12" w:rsidP="00FF4E12">
            <w:r w:rsidRPr="00FF4E12">
              <w:t>Human Capacities &amp; Potential</w:t>
            </w:r>
          </w:p>
        </w:tc>
        <w:tc>
          <w:tcPr>
            <w:tcW w:w="0" w:type="auto"/>
            <w:hideMark/>
          </w:tcPr>
          <w:p w14:paraId="2419FC2D" w14:textId="77777777" w:rsidR="00FF4E12" w:rsidRPr="00FF4E12" w:rsidRDefault="00FF4E12" w:rsidP="00FF4E12">
            <w:r w:rsidRPr="00FF4E12">
              <w:t>Very strong</w:t>
            </w:r>
          </w:p>
        </w:tc>
        <w:tc>
          <w:tcPr>
            <w:tcW w:w="0" w:type="auto"/>
            <w:hideMark/>
          </w:tcPr>
          <w:p w14:paraId="13EBFFB3" w14:textId="77777777" w:rsidR="00FF4E12" w:rsidRPr="00FF4E12" w:rsidRDefault="00FF4E12" w:rsidP="00FF4E12">
            <w:r w:rsidRPr="00FF4E12">
              <w:t>Psychometric depth across wellbeing, stress, and self-esteem</w:t>
            </w:r>
          </w:p>
        </w:tc>
      </w:tr>
      <w:tr w:rsidR="00FF4E12" w:rsidRPr="00FF4E12" w14:paraId="47A64DE0" w14:textId="77777777" w:rsidTr="00DD01BB">
        <w:tc>
          <w:tcPr>
            <w:tcW w:w="0" w:type="auto"/>
            <w:hideMark/>
          </w:tcPr>
          <w:p w14:paraId="78D0F5CE" w14:textId="77777777" w:rsidR="00FF4E12" w:rsidRPr="00FF4E12" w:rsidRDefault="00FF4E12" w:rsidP="00FF4E12">
            <w:r w:rsidRPr="00FF4E12">
              <w:t>Cultural Values &amp; Identity</w:t>
            </w:r>
          </w:p>
        </w:tc>
        <w:tc>
          <w:tcPr>
            <w:tcW w:w="0" w:type="auto"/>
            <w:hideMark/>
          </w:tcPr>
          <w:p w14:paraId="0372DDCB" w14:textId="77777777" w:rsidR="00FF4E12" w:rsidRPr="00FF4E12" w:rsidRDefault="00FF4E12" w:rsidP="00FF4E12">
            <w:r w:rsidRPr="00FF4E12">
              <w:t>Strong</w:t>
            </w:r>
          </w:p>
        </w:tc>
        <w:tc>
          <w:tcPr>
            <w:tcW w:w="0" w:type="auto"/>
            <w:hideMark/>
          </w:tcPr>
          <w:p w14:paraId="68B37542" w14:textId="77777777" w:rsidR="00FF4E12" w:rsidRPr="00FF4E12" w:rsidRDefault="00FF4E12" w:rsidP="00FF4E12">
            <w:r w:rsidRPr="00FF4E12">
              <w:t>Belonging, discrimination, community trust, diversity</w:t>
            </w:r>
          </w:p>
        </w:tc>
      </w:tr>
      <w:tr w:rsidR="00FF4E12" w:rsidRPr="00FF4E12" w14:paraId="113CC77F" w14:textId="77777777" w:rsidTr="00DD01BB">
        <w:tc>
          <w:tcPr>
            <w:tcW w:w="0" w:type="auto"/>
            <w:hideMark/>
          </w:tcPr>
          <w:p w14:paraId="52066F9A" w14:textId="77777777" w:rsidR="00FF4E12" w:rsidRPr="00FF4E12" w:rsidRDefault="00FF4E12" w:rsidP="00FF4E12">
            <w:r w:rsidRPr="00FF4E12">
              <w:t>Natural Environment</w:t>
            </w:r>
          </w:p>
        </w:tc>
        <w:tc>
          <w:tcPr>
            <w:tcW w:w="0" w:type="auto"/>
            <w:hideMark/>
          </w:tcPr>
          <w:p w14:paraId="5BF44FFE" w14:textId="77777777" w:rsidR="00FF4E12" w:rsidRPr="00FF4E12" w:rsidRDefault="00FF4E12" w:rsidP="00FF4E12">
            <w:r w:rsidRPr="00FF4E12">
              <w:t>Weak</w:t>
            </w:r>
          </w:p>
        </w:tc>
        <w:tc>
          <w:tcPr>
            <w:tcW w:w="0" w:type="auto"/>
            <w:hideMark/>
          </w:tcPr>
          <w:p w14:paraId="46ADB670" w14:textId="77777777" w:rsidR="00FF4E12" w:rsidRPr="00FF4E12" w:rsidRDefault="00FF4E12" w:rsidP="00FF4E12">
            <w:r w:rsidRPr="00FF4E12">
              <w:t>Limited to safety and amenities; lacks ecological connection</w:t>
            </w:r>
          </w:p>
        </w:tc>
      </w:tr>
      <w:tr w:rsidR="00FF4E12" w:rsidRPr="00FF4E12" w14:paraId="09320B3C" w14:textId="77777777" w:rsidTr="00DD01BB">
        <w:tc>
          <w:tcPr>
            <w:tcW w:w="0" w:type="auto"/>
            <w:hideMark/>
          </w:tcPr>
          <w:p w14:paraId="63BE20B0" w14:textId="77777777" w:rsidR="00FF4E12" w:rsidRPr="00FF4E12" w:rsidRDefault="00FF4E12" w:rsidP="00FF4E12">
            <w:r w:rsidRPr="00FF4E12">
              <w:t>Circular &amp; Regenerative Economics</w:t>
            </w:r>
          </w:p>
        </w:tc>
        <w:tc>
          <w:tcPr>
            <w:tcW w:w="0" w:type="auto"/>
            <w:hideMark/>
          </w:tcPr>
          <w:p w14:paraId="0FF8D9B4" w14:textId="77777777" w:rsidR="00FF4E12" w:rsidRPr="00FF4E12" w:rsidRDefault="00FF4E12" w:rsidP="00FF4E12">
            <w:r w:rsidRPr="00FF4E12">
              <w:t>Moderate</w:t>
            </w:r>
          </w:p>
        </w:tc>
        <w:tc>
          <w:tcPr>
            <w:tcW w:w="0" w:type="auto"/>
            <w:hideMark/>
          </w:tcPr>
          <w:p w14:paraId="58C49918" w14:textId="77777777" w:rsidR="00FF4E12" w:rsidRPr="00FF4E12" w:rsidRDefault="00FF4E12" w:rsidP="00FF4E12">
            <w:r w:rsidRPr="00FF4E12">
              <w:t>Material wellbeing, fairness, food security, but few structural indicators</w:t>
            </w:r>
          </w:p>
        </w:tc>
      </w:tr>
    </w:tbl>
    <w:p w14:paraId="5FE5A448" w14:textId="5D350523" w:rsidR="00FF4E12" w:rsidRPr="00FF4E12" w:rsidRDefault="00DD01BB" w:rsidP="00FF4E12">
      <w:pPr>
        <w:rPr>
          <w:vanish/>
        </w:rPr>
      </w:pPr>
      <w:r>
        <w:br/>
      </w:r>
    </w:p>
    <w:tbl>
      <w:tblPr>
        <w:tblStyle w:val="TableGrid"/>
        <w:tblW w:w="9072" w:type="dxa"/>
        <w:tblLook w:val="04A0" w:firstRow="1" w:lastRow="0" w:firstColumn="1" w:lastColumn="0" w:noHBand="0" w:noVBand="1"/>
      </w:tblPr>
      <w:tblGrid>
        <w:gridCol w:w="2397"/>
        <w:gridCol w:w="1981"/>
        <w:gridCol w:w="4694"/>
      </w:tblGrid>
      <w:tr w:rsidR="00FF4E12" w:rsidRPr="00FF4E12" w14:paraId="6BFEC6CE" w14:textId="77777777" w:rsidTr="00DD01BB">
        <w:tc>
          <w:tcPr>
            <w:tcW w:w="2365" w:type="dxa"/>
            <w:hideMark/>
          </w:tcPr>
          <w:p w14:paraId="07DC53CC" w14:textId="77777777" w:rsidR="00FF4E12" w:rsidRPr="00FF4E12" w:rsidRDefault="00FF4E12" w:rsidP="00FF4E12">
            <w:pPr>
              <w:rPr>
                <w:b/>
                <w:bCs/>
              </w:rPr>
            </w:pPr>
            <w:r w:rsidRPr="00FF4E12">
              <w:rPr>
                <w:b/>
                <w:bCs/>
              </w:rPr>
              <w:t>Motivation Level</w:t>
            </w:r>
          </w:p>
        </w:tc>
        <w:tc>
          <w:tcPr>
            <w:tcW w:w="1955" w:type="dxa"/>
            <w:hideMark/>
          </w:tcPr>
          <w:p w14:paraId="2A877355" w14:textId="77777777" w:rsidR="00FF4E12" w:rsidRPr="00FF4E12" w:rsidRDefault="00FF4E12" w:rsidP="00FF4E12">
            <w:pPr>
              <w:rPr>
                <w:b/>
                <w:bCs/>
              </w:rPr>
            </w:pPr>
            <w:r w:rsidRPr="00FF4E12">
              <w:rPr>
                <w:b/>
                <w:bCs/>
              </w:rPr>
              <w:t>Representation</w:t>
            </w:r>
          </w:p>
        </w:tc>
        <w:tc>
          <w:tcPr>
            <w:tcW w:w="4632" w:type="dxa"/>
            <w:hideMark/>
          </w:tcPr>
          <w:p w14:paraId="29603C87" w14:textId="77777777" w:rsidR="00FF4E12" w:rsidRPr="00FF4E12" w:rsidRDefault="00FF4E12" w:rsidP="00FF4E12">
            <w:pPr>
              <w:rPr>
                <w:b/>
                <w:bCs/>
              </w:rPr>
            </w:pPr>
            <w:r w:rsidRPr="00FF4E12">
              <w:rPr>
                <w:b/>
                <w:bCs/>
              </w:rPr>
              <w:t>Notes</w:t>
            </w:r>
          </w:p>
        </w:tc>
      </w:tr>
      <w:tr w:rsidR="00FF4E12" w:rsidRPr="00FF4E12" w14:paraId="128010CC" w14:textId="77777777" w:rsidTr="00DD01BB">
        <w:tc>
          <w:tcPr>
            <w:tcW w:w="2365" w:type="dxa"/>
            <w:hideMark/>
          </w:tcPr>
          <w:p w14:paraId="281DBCC8" w14:textId="77777777" w:rsidR="00FF4E12" w:rsidRPr="00FF4E12" w:rsidRDefault="00FF4E12" w:rsidP="00FF4E12">
            <w:r w:rsidRPr="00FF4E12">
              <w:t>Security</w:t>
            </w:r>
          </w:p>
        </w:tc>
        <w:tc>
          <w:tcPr>
            <w:tcW w:w="1955" w:type="dxa"/>
            <w:hideMark/>
          </w:tcPr>
          <w:p w14:paraId="17E0065F" w14:textId="77777777" w:rsidR="00FF4E12" w:rsidRPr="00FF4E12" w:rsidRDefault="00FF4E12" w:rsidP="00FF4E12">
            <w:r w:rsidRPr="00FF4E12">
              <w:t>Strong</w:t>
            </w:r>
          </w:p>
        </w:tc>
        <w:tc>
          <w:tcPr>
            <w:tcW w:w="4632" w:type="dxa"/>
            <w:hideMark/>
          </w:tcPr>
          <w:p w14:paraId="08612975" w14:textId="77777777" w:rsidR="00FF4E12" w:rsidRPr="00FF4E12" w:rsidRDefault="00FF4E12" w:rsidP="00FF4E12">
            <w:r w:rsidRPr="00FF4E12">
              <w:t>Food, safety, access, discrimination</w:t>
            </w:r>
          </w:p>
        </w:tc>
      </w:tr>
      <w:tr w:rsidR="00FF4E12" w:rsidRPr="00FF4E12" w14:paraId="555E80E9" w14:textId="77777777" w:rsidTr="00DD01BB">
        <w:tc>
          <w:tcPr>
            <w:tcW w:w="2365" w:type="dxa"/>
            <w:hideMark/>
          </w:tcPr>
          <w:p w14:paraId="56112ACA" w14:textId="77777777" w:rsidR="00FF4E12" w:rsidRPr="00FF4E12" w:rsidRDefault="00FF4E12" w:rsidP="00FF4E12">
            <w:r w:rsidRPr="00FF4E12">
              <w:t>Relationship</w:t>
            </w:r>
          </w:p>
        </w:tc>
        <w:tc>
          <w:tcPr>
            <w:tcW w:w="1955" w:type="dxa"/>
            <w:hideMark/>
          </w:tcPr>
          <w:p w14:paraId="6BA36890" w14:textId="77777777" w:rsidR="00FF4E12" w:rsidRPr="00FF4E12" w:rsidRDefault="00FF4E12" w:rsidP="00FF4E12">
            <w:r w:rsidRPr="00FF4E12">
              <w:t>Very strong</w:t>
            </w:r>
          </w:p>
        </w:tc>
        <w:tc>
          <w:tcPr>
            <w:tcW w:w="4632" w:type="dxa"/>
            <w:hideMark/>
          </w:tcPr>
          <w:p w14:paraId="76EF4CB4" w14:textId="77777777" w:rsidR="00FF4E12" w:rsidRPr="00FF4E12" w:rsidRDefault="00FF4E12" w:rsidP="00FF4E12">
            <w:r w:rsidRPr="00FF4E12">
              <w:t>Core of survey — friendships, teachers, family</w:t>
            </w:r>
          </w:p>
        </w:tc>
      </w:tr>
      <w:tr w:rsidR="00FF4E12" w:rsidRPr="00FF4E12" w14:paraId="7DA0B626" w14:textId="77777777" w:rsidTr="00DD01BB">
        <w:tc>
          <w:tcPr>
            <w:tcW w:w="2365" w:type="dxa"/>
            <w:hideMark/>
          </w:tcPr>
          <w:p w14:paraId="25845DA9" w14:textId="77777777" w:rsidR="00FF4E12" w:rsidRPr="00FF4E12" w:rsidRDefault="00FF4E12" w:rsidP="00FF4E12">
            <w:r w:rsidRPr="00FF4E12">
              <w:t>Independence</w:t>
            </w:r>
          </w:p>
        </w:tc>
        <w:tc>
          <w:tcPr>
            <w:tcW w:w="1955" w:type="dxa"/>
            <w:hideMark/>
          </w:tcPr>
          <w:p w14:paraId="6209EF43" w14:textId="77777777" w:rsidR="00FF4E12" w:rsidRPr="00FF4E12" w:rsidRDefault="00FF4E12" w:rsidP="00FF4E12">
            <w:r w:rsidRPr="00FF4E12">
              <w:t>Strong</w:t>
            </w:r>
          </w:p>
        </w:tc>
        <w:tc>
          <w:tcPr>
            <w:tcW w:w="4632" w:type="dxa"/>
            <w:hideMark/>
          </w:tcPr>
          <w:p w14:paraId="322CD97F" w14:textId="77777777" w:rsidR="00FF4E12" w:rsidRPr="00FF4E12" w:rsidRDefault="00FF4E12" w:rsidP="00FF4E12">
            <w:r w:rsidRPr="00FF4E12">
              <w:t>Self-control, self-esteem, autonomy</w:t>
            </w:r>
          </w:p>
        </w:tc>
      </w:tr>
      <w:tr w:rsidR="00FF4E12" w:rsidRPr="00FF4E12" w14:paraId="4BC56FA1" w14:textId="77777777" w:rsidTr="00DD01BB">
        <w:tc>
          <w:tcPr>
            <w:tcW w:w="2365" w:type="dxa"/>
            <w:hideMark/>
          </w:tcPr>
          <w:p w14:paraId="1978C7EB" w14:textId="77777777" w:rsidR="00FF4E12" w:rsidRPr="00FF4E12" w:rsidRDefault="00FF4E12" w:rsidP="00FF4E12">
            <w:r w:rsidRPr="00FF4E12">
              <w:t>Engagement</w:t>
            </w:r>
          </w:p>
        </w:tc>
        <w:tc>
          <w:tcPr>
            <w:tcW w:w="1955" w:type="dxa"/>
            <w:hideMark/>
          </w:tcPr>
          <w:p w14:paraId="499A3C71" w14:textId="77777777" w:rsidR="00FF4E12" w:rsidRPr="00FF4E12" w:rsidRDefault="00FF4E12" w:rsidP="00FF4E12">
            <w:r w:rsidRPr="00FF4E12">
              <w:t>Moderate</w:t>
            </w:r>
          </w:p>
        </w:tc>
        <w:tc>
          <w:tcPr>
            <w:tcW w:w="4632" w:type="dxa"/>
            <w:hideMark/>
          </w:tcPr>
          <w:p w14:paraId="3D0D8C20" w14:textId="77777777" w:rsidR="00FF4E12" w:rsidRPr="00FF4E12" w:rsidRDefault="00FF4E12" w:rsidP="00FF4E12">
            <w:r w:rsidRPr="00FF4E12">
              <w:t>Hobbies, volunteering, social media</w:t>
            </w:r>
          </w:p>
        </w:tc>
      </w:tr>
      <w:tr w:rsidR="00FF4E12" w:rsidRPr="00FF4E12" w14:paraId="5C8487E6" w14:textId="77777777" w:rsidTr="00DD01BB">
        <w:tc>
          <w:tcPr>
            <w:tcW w:w="2365" w:type="dxa"/>
            <w:hideMark/>
          </w:tcPr>
          <w:p w14:paraId="705862AE" w14:textId="77777777" w:rsidR="00FF4E12" w:rsidRPr="00FF4E12" w:rsidRDefault="00FF4E12" w:rsidP="00FF4E12">
            <w:r w:rsidRPr="00FF4E12">
              <w:t>Fulfilment</w:t>
            </w:r>
          </w:p>
        </w:tc>
        <w:tc>
          <w:tcPr>
            <w:tcW w:w="1955" w:type="dxa"/>
            <w:hideMark/>
          </w:tcPr>
          <w:p w14:paraId="09CE9C55" w14:textId="77777777" w:rsidR="00FF4E12" w:rsidRPr="00FF4E12" w:rsidRDefault="00FF4E12" w:rsidP="00FF4E12">
            <w:r w:rsidRPr="00FF4E12">
              <w:t>Moderate</w:t>
            </w:r>
          </w:p>
        </w:tc>
        <w:tc>
          <w:tcPr>
            <w:tcW w:w="4632" w:type="dxa"/>
            <w:hideMark/>
          </w:tcPr>
          <w:p w14:paraId="56502ABD" w14:textId="77777777" w:rsidR="00FF4E12" w:rsidRPr="00FF4E12" w:rsidRDefault="00FF4E12" w:rsidP="00FF4E12">
            <w:r w:rsidRPr="00FF4E12">
              <w:t>Meaning, purpose, satisfaction</w:t>
            </w:r>
          </w:p>
        </w:tc>
      </w:tr>
      <w:tr w:rsidR="00FF4E12" w:rsidRPr="00FF4E12" w14:paraId="47E5374A" w14:textId="77777777" w:rsidTr="00DD01BB">
        <w:tc>
          <w:tcPr>
            <w:tcW w:w="2365" w:type="dxa"/>
            <w:hideMark/>
          </w:tcPr>
          <w:p w14:paraId="635E6A54" w14:textId="77777777" w:rsidR="00FF4E12" w:rsidRPr="00FF4E12" w:rsidRDefault="00FF4E12" w:rsidP="00FF4E12">
            <w:r w:rsidRPr="00FF4E12">
              <w:t>Contribution</w:t>
            </w:r>
          </w:p>
        </w:tc>
        <w:tc>
          <w:tcPr>
            <w:tcW w:w="1955" w:type="dxa"/>
            <w:hideMark/>
          </w:tcPr>
          <w:p w14:paraId="3822084F" w14:textId="77777777" w:rsidR="00FF4E12" w:rsidRPr="00FF4E12" w:rsidRDefault="00FF4E12" w:rsidP="00FF4E12">
            <w:r w:rsidRPr="00FF4E12">
              <w:t>Moderate</w:t>
            </w:r>
          </w:p>
        </w:tc>
        <w:tc>
          <w:tcPr>
            <w:tcW w:w="4632" w:type="dxa"/>
            <w:hideMark/>
          </w:tcPr>
          <w:p w14:paraId="0CA598D7" w14:textId="77777777" w:rsidR="00FF4E12" w:rsidRPr="00FF4E12" w:rsidRDefault="00FF4E12" w:rsidP="00FF4E12">
            <w:r w:rsidRPr="00FF4E12">
              <w:t>Volunteering; needs civic extension</w:t>
            </w:r>
          </w:p>
        </w:tc>
      </w:tr>
      <w:tr w:rsidR="00FF4E12" w:rsidRPr="00FF4E12" w14:paraId="08149064" w14:textId="77777777" w:rsidTr="00DD01BB">
        <w:tc>
          <w:tcPr>
            <w:tcW w:w="2365" w:type="dxa"/>
            <w:hideMark/>
          </w:tcPr>
          <w:p w14:paraId="3F86DACA" w14:textId="77777777" w:rsidR="00FF4E12" w:rsidRPr="00FF4E12" w:rsidRDefault="00FF4E12" w:rsidP="00FF4E12">
            <w:r w:rsidRPr="00FF4E12">
              <w:t>Growth</w:t>
            </w:r>
          </w:p>
        </w:tc>
        <w:tc>
          <w:tcPr>
            <w:tcW w:w="1955" w:type="dxa"/>
            <w:hideMark/>
          </w:tcPr>
          <w:p w14:paraId="3384471C" w14:textId="77777777" w:rsidR="00FF4E12" w:rsidRPr="00FF4E12" w:rsidRDefault="00FF4E12" w:rsidP="00FF4E12">
            <w:r w:rsidRPr="00FF4E12">
              <w:t>Weak–emerging</w:t>
            </w:r>
          </w:p>
        </w:tc>
        <w:tc>
          <w:tcPr>
            <w:tcW w:w="4632" w:type="dxa"/>
            <w:hideMark/>
          </w:tcPr>
          <w:p w14:paraId="74A8BAD6" w14:textId="77777777" w:rsidR="00FF4E12" w:rsidRPr="00FF4E12" w:rsidRDefault="00FF4E12" w:rsidP="00FF4E12">
            <w:r w:rsidRPr="00FF4E12">
              <w:t>Resilience, life readiness, not yet transformative</w:t>
            </w:r>
          </w:p>
        </w:tc>
      </w:tr>
    </w:tbl>
    <w:p w14:paraId="17F40E58" w14:textId="580E2090" w:rsidR="00FF4E12" w:rsidRPr="00FF4E12" w:rsidRDefault="00FF4E12" w:rsidP="00FF4E12"/>
    <w:p w14:paraId="08D6FA6C" w14:textId="56F37087" w:rsidR="00FF4E12" w:rsidRPr="00FF4E12" w:rsidRDefault="00DD01BB" w:rsidP="00FF4E12">
      <w:pPr>
        <w:rPr>
          <w:b/>
          <w:bCs/>
          <w:color w:val="0B769F" w:themeColor="accent4" w:themeShade="BF"/>
        </w:rPr>
      </w:pPr>
      <w:r>
        <w:rPr>
          <w:b/>
          <w:bCs/>
          <w:color w:val="0B769F" w:themeColor="accent4" w:themeShade="BF"/>
        </w:rPr>
        <w:t>5</w:t>
      </w:r>
      <w:r w:rsidR="00FF4E12" w:rsidRPr="00FF4E12">
        <w:rPr>
          <w:b/>
          <w:bCs/>
          <w:color w:val="0B769F" w:themeColor="accent4" w:themeShade="BF"/>
        </w:rPr>
        <w:t>) Overall ESF Interpretation</w:t>
      </w:r>
      <w:r w:rsidR="00FF4E12">
        <w:rPr>
          <w:b/>
          <w:bCs/>
          <w:color w:val="0B769F" w:themeColor="accent4" w:themeShade="BF"/>
        </w:rPr>
        <w:br/>
      </w:r>
    </w:p>
    <w:p w14:paraId="3A51BA68" w14:textId="5430D4FE" w:rsidR="00FF4E12" w:rsidRPr="00FF4E12" w:rsidRDefault="00FF4E12" w:rsidP="00FF4E12">
      <w:r w:rsidRPr="00FF4E12">
        <w:t xml:space="preserve">The </w:t>
      </w:r>
      <w:r w:rsidRPr="00FF4E12">
        <w:rPr>
          <w:i/>
          <w:iCs/>
        </w:rPr>
        <w:t>#BeeWell 2024 Survey</w:t>
      </w:r>
      <w:r w:rsidRPr="00FF4E12">
        <w:t xml:space="preserve"> exemplifies a </w:t>
      </w:r>
      <w:r w:rsidRPr="00FF4E12">
        <w:rPr>
          <w:b/>
          <w:bCs/>
        </w:rPr>
        <w:t>next-generation wellbeing assessment</w:t>
      </w:r>
      <w:r w:rsidRPr="00FF4E12">
        <w:t xml:space="preserve"> — child-centred, culturally responsive, and relationally aware.</w:t>
      </w:r>
      <w:r w:rsidR="00DD01BB">
        <w:br/>
      </w:r>
      <w:r w:rsidRPr="00FF4E12">
        <w:br/>
        <w:t xml:space="preserve">Through an ESF lens, it represents an </w:t>
      </w:r>
      <w:r w:rsidRPr="00FF4E12">
        <w:rPr>
          <w:i/>
          <w:iCs/>
        </w:rPr>
        <w:t>inner flourishing framework</w:t>
      </w:r>
      <w:r w:rsidRPr="00FF4E12">
        <w:t xml:space="preserve"> that could now evolve into a </w:t>
      </w:r>
      <w:r w:rsidRPr="00FF4E12">
        <w:rPr>
          <w:i/>
          <w:iCs/>
        </w:rPr>
        <w:lastRenderedPageBreak/>
        <w:t>whole-system flourishing tool</w:t>
      </w:r>
      <w:r w:rsidRPr="00FF4E12">
        <w:t xml:space="preserve"> by integrating ecological connection, economic justice, and intergenerational purpose.</w:t>
      </w:r>
    </w:p>
    <w:p w14:paraId="6C68F1F5" w14:textId="77777777" w:rsidR="00FF4E12" w:rsidRPr="00FF4E12" w:rsidRDefault="00112D66" w:rsidP="00FF4E12">
      <w:r>
        <w:rPr>
          <w:noProof/>
        </w:rPr>
        <w:pict w14:anchorId="6D23D0D2">
          <v:rect id="_x0000_i1025" alt="" style="width:451.3pt;height:.05pt;mso-width-percent:0;mso-height-percent:0;mso-width-percent:0;mso-height-percent:0" o:hralign="center" o:hrstd="t" o:hr="t" fillcolor="#a0a0a0" stroked="f"/>
        </w:pict>
      </w:r>
    </w:p>
    <w:p w14:paraId="11173D77" w14:textId="747DAFFC" w:rsidR="00FF4E12" w:rsidRPr="00FF4E12" w:rsidRDefault="00FF4E12" w:rsidP="00FF4E12">
      <w:pPr>
        <w:rPr>
          <w:b/>
          <w:bCs/>
        </w:rPr>
      </w:pPr>
      <w:r>
        <w:rPr>
          <w:b/>
          <w:bCs/>
        </w:rPr>
        <w:br/>
      </w:r>
      <w:r w:rsidRPr="00FF4E12">
        <w:rPr>
          <w:b/>
          <w:bCs/>
        </w:rPr>
        <w:t xml:space="preserve">Endnotes </w:t>
      </w:r>
      <w:r>
        <w:rPr>
          <w:b/>
          <w:bCs/>
        </w:rPr>
        <w:br/>
      </w:r>
    </w:p>
    <w:p w14:paraId="439DC2A4" w14:textId="77777777" w:rsidR="00FF4E12" w:rsidRPr="00FF4E12" w:rsidRDefault="00FF4E12" w:rsidP="00FF4E12">
      <w:pPr>
        <w:numPr>
          <w:ilvl w:val="0"/>
          <w:numId w:val="13"/>
        </w:numPr>
      </w:pPr>
      <w:r w:rsidRPr="00FF4E12">
        <w:t xml:space="preserve">BeeWell Programme. (2024). </w:t>
      </w:r>
      <w:r w:rsidRPr="00FF4E12">
        <w:rPr>
          <w:i/>
          <w:iCs/>
        </w:rPr>
        <w:t>#BeeWell Questionnaires Booklet – Greater Manchester Update 2024.</w:t>
      </w:r>
      <w:r w:rsidRPr="00FF4E12">
        <w:t xml:space="preserve"> Manchester, UK.</w:t>
      </w:r>
    </w:p>
    <w:p w14:paraId="1640E133" w14:textId="77777777" w:rsidR="00FF4E12" w:rsidRPr="00FF4E12" w:rsidRDefault="00FF4E12" w:rsidP="00FF4E12">
      <w:pPr>
        <w:numPr>
          <w:ilvl w:val="0"/>
          <w:numId w:val="13"/>
        </w:numPr>
      </w:pPr>
      <w:r w:rsidRPr="00FF4E12">
        <w:t xml:space="preserve">Eco-Systemic Flourishing (ESF) Framework. (2025). </w:t>
      </w:r>
      <w:r w:rsidRPr="00FF4E12">
        <w:rPr>
          <w:i/>
          <w:iCs/>
        </w:rPr>
        <w:t>Working model of domains and motivational levels.</w:t>
      </w:r>
      <w:r w:rsidRPr="00FF4E12">
        <w:t xml:space="preserve"> The Flourish Project, London, UK.</w:t>
      </w:r>
    </w:p>
    <w:p w14:paraId="520C3047" w14:textId="77777777" w:rsidR="00FF4E12" w:rsidRPr="00FF4E12" w:rsidRDefault="00FF4E12" w:rsidP="00FF4E12">
      <w:pPr>
        <w:numPr>
          <w:ilvl w:val="0"/>
          <w:numId w:val="13"/>
        </w:numPr>
      </w:pPr>
      <w:r w:rsidRPr="00FF4E12">
        <w:t xml:space="preserve">OECD. (2018). </w:t>
      </w:r>
      <w:r w:rsidRPr="00FF4E12">
        <w:rPr>
          <w:i/>
          <w:iCs/>
        </w:rPr>
        <w:t>The Future of Education and Skills: Education 2030.</w:t>
      </w:r>
      <w:r w:rsidRPr="00FF4E12">
        <w:t xml:space="preserve"> Paris, France.</w:t>
      </w:r>
    </w:p>
    <w:p w14:paraId="38A4E9F6" w14:textId="77777777" w:rsidR="00FF4E12" w:rsidRPr="00FF4E12" w:rsidRDefault="00FF4E12" w:rsidP="00FF4E12">
      <w:pPr>
        <w:numPr>
          <w:ilvl w:val="0"/>
          <w:numId w:val="13"/>
        </w:numPr>
      </w:pPr>
      <w:r w:rsidRPr="00FF4E12">
        <w:t xml:space="preserve">UNICEF Innocenti. (2020). </w:t>
      </w:r>
      <w:r w:rsidRPr="00FF4E12">
        <w:rPr>
          <w:i/>
          <w:iCs/>
        </w:rPr>
        <w:t>Worlds of Influence: Understanding what shapes child well-being in rich countries.</w:t>
      </w:r>
      <w:r w:rsidRPr="00FF4E12">
        <w:t xml:space="preserve"> Florence, Italy.</w:t>
      </w:r>
    </w:p>
    <w:p w14:paraId="29B057DD" w14:textId="77777777" w:rsidR="00FF4E12" w:rsidRPr="00FF4E12" w:rsidRDefault="00FF4E12" w:rsidP="00FF4E12">
      <w:pPr>
        <w:numPr>
          <w:ilvl w:val="0"/>
          <w:numId w:val="13"/>
        </w:numPr>
      </w:pPr>
      <w:r w:rsidRPr="00FF4E12">
        <w:t xml:space="preserve">World Health Organization. (2022). </w:t>
      </w:r>
      <w:r w:rsidRPr="00FF4E12">
        <w:rPr>
          <w:i/>
          <w:iCs/>
        </w:rPr>
        <w:t>The WHO Council on the Economics of Health for All.</w:t>
      </w:r>
      <w:r w:rsidRPr="00FF4E12">
        <w:t xml:space="preserve"> Geneva, Switzerland.</w:t>
      </w:r>
    </w:p>
    <w:p w14:paraId="6C2885DA" w14:textId="77777777" w:rsidR="002E3C0C" w:rsidRDefault="002E3C0C"/>
    <w:sectPr w:rsidR="002E3C0C" w:rsidSect="00AE5EBE">
      <w:headerReference w:type="default" r:id="rId9"/>
      <w:footerReference w:type="default" r:id="rId1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CDD03" w14:textId="77777777" w:rsidR="00112D66" w:rsidRDefault="00112D66" w:rsidP="002E3C0C">
      <w:r>
        <w:separator/>
      </w:r>
    </w:p>
  </w:endnote>
  <w:endnote w:type="continuationSeparator" w:id="0">
    <w:p w14:paraId="5E9DE187" w14:textId="77777777" w:rsidR="00112D66" w:rsidRDefault="00112D66" w:rsidP="002E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FA72F" w14:textId="051CED20" w:rsidR="002E3C0C" w:rsidRDefault="002E3C0C" w:rsidP="002E3C0C">
    <w:pPr>
      <w:pStyle w:val="Footer"/>
      <w:jc w:val="center"/>
    </w:pPr>
    <w:r>
      <w:t>www.flourishproject.net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0856" w14:textId="77777777" w:rsidR="00112D66" w:rsidRDefault="00112D66" w:rsidP="002E3C0C">
      <w:r>
        <w:separator/>
      </w:r>
    </w:p>
  </w:footnote>
  <w:footnote w:type="continuationSeparator" w:id="0">
    <w:p w14:paraId="01A6E84E" w14:textId="77777777" w:rsidR="00112D66" w:rsidRDefault="00112D66" w:rsidP="002E3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771" w14:textId="2CE09238" w:rsidR="002E3C0C" w:rsidRDefault="002E3C0C">
    <w:pPr>
      <w:pStyle w:val="Header"/>
    </w:pPr>
    <w:r>
      <w:t>Flourish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3001"/>
    <w:multiLevelType w:val="multilevel"/>
    <w:tmpl w:val="8158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00258"/>
    <w:multiLevelType w:val="multilevel"/>
    <w:tmpl w:val="0C5E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A61BC"/>
    <w:multiLevelType w:val="multilevel"/>
    <w:tmpl w:val="8F2A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042D6"/>
    <w:multiLevelType w:val="multilevel"/>
    <w:tmpl w:val="9FA29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C96402"/>
    <w:multiLevelType w:val="multilevel"/>
    <w:tmpl w:val="D4AA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94463"/>
    <w:multiLevelType w:val="multilevel"/>
    <w:tmpl w:val="B38A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BE2F42"/>
    <w:multiLevelType w:val="multilevel"/>
    <w:tmpl w:val="536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D0661D"/>
    <w:multiLevelType w:val="multilevel"/>
    <w:tmpl w:val="69F69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CF3447"/>
    <w:multiLevelType w:val="multilevel"/>
    <w:tmpl w:val="986E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173A3"/>
    <w:multiLevelType w:val="multilevel"/>
    <w:tmpl w:val="266A3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57674D"/>
    <w:multiLevelType w:val="multilevel"/>
    <w:tmpl w:val="A3E4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F617BB"/>
    <w:multiLevelType w:val="multilevel"/>
    <w:tmpl w:val="4624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806E40"/>
    <w:multiLevelType w:val="multilevel"/>
    <w:tmpl w:val="9EBE7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2355554">
    <w:abstractNumId w:val="4"/>
  </w:num>
  <w:num w:numId="2" w16cid:durableId="2082751094">
    <w:abstractNumId w:val="11"/>
  </w:num>
  <w:num w:numId="3" w16cid:durableId="648749144">
    <w:abstractNumId w:val="12"/>
  </w:num>
  <w:num w:numId="4" w16cid:durableId="1796365468">
    <w:abstractNumId w:val="2"/>
  </w:num>
  <w:num w:numId="5" w16cid:durableId="1587684758">
    <w:abstractNumId w:val="1"/>
  </w:num>
  <w:num w:numId="6" w16cid:durableId="324480631">
    <w:abstractNumId w:val="6"/>
  </w:num>
  <w:num w:numId="7" w16cid:durableId="1351419754">
    <w:abstractNumId w:val="7"/>
  </w:num>
  <w:num w:numId="8" w16cid:durableId="1190141575">
    <w:abstractNumId w:val="5"/>
  </w:num>
  <w:num w:numId="9" w16cid:durableId="1377118287">
    <w:abstractNumId w:val="10"/>
  </w:num>
  <w:num w:numId="10" w16cid:durableId="1987200669">
    <w:abstractNumId w:val="0"/>
  </w:num>
  <w:num w:numId="11" w16cid:durableId="570190745">
    <w:abstractNumId w:val="9"/>
  </w:num>
  <w:num w:numId="12" w16cid:durableId="1419133819">
    <w:abstractNumId w:val="3"/>
  </w:num>
  <w:num w:numId="13" w16cid:durableId="208611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C0C"/>
    <w:rsid w:val="00112D66"/>
    <w:rsid w:val="002E3C0C"/>
    <w:rsid w:val="00395734"/>
    <w:rsid w:val="004A0545"/>
    <w:rsid w:val="005020DE"/>
    <w:rsid w:val="005613B4"/>
    <w:rsid w:val="005B3BC9"/>
    <w:rsid w:val="00606815"/>
    <w:rsid w:val="007562FE"/>
    <w:rsid w:val="008F5FA5"/>
    <w:rsid w:val="00AE5EBE"/>
    <w:rsid w:val="00C6422C"/>
    <w:rsid w:val="00DC228B"/>
    <w:rsid w:val="00DD01BB"/>
    <w:rsid w:val="00FF4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73F80"/>
  <w15:chartTrackingRefBased/>
  <w15:docId w15:val="{4F8922F1-FEBC-D043-8576-58CCE07B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3C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3C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3C0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C0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E3C0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E3C0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E3C0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E3C0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E3C0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C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3C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3C0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C0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E3C0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E3C0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E3C0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E3C0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E3C0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E3C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C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C0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C0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E3C0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E3C0C"/>
    <w:rPr>
      <w:i/>
      <w:iCs/>
      <w:color w:val="404040" w:themeColor="text1" w:themeTint="BF"/>
    </w:rPr>
  </w:style>
  <w:style w:type="paragraph" w:styleId="ListParagraph">
    <w:name w:val="List Paragraph"/>
    <w:basedOn w:val="Normal"/>
    <w:uiPriority w:val="34"/>
    <w:qFormat/>
    <w:rsid w:val="002E3C0C"/>
    <w:pPr>
      <w:ind w:left="720"/>
      <w:contextualSpacing/>
    </w:pPr>
  </w:style>
  <w:style w:type="character" w:styleId="IntenseEmphasis">
    <w:name w:val="Intense Emphasis"/>
    <w:basedOn w:val="DefaultParagraphFont"/>
    <w:uiPriority w:val="21"/>
    <w:qFormat/>
    <w:rsid w:val="002E3C0C"/>
    <w:rPr>
      <w:i/>
      <w:iCs/>
      <w:color w:val="0F4761" w:themeColor="accent1" w:themeShade="BF"/>
    </w:rPr>
  </w:style>
  <w:style w:type="paragraph" w:styleId="IntenseQuote">
    <w:name w:val="Intense Quote"/>
    <w:basedOn w:val="Normal"/>
    <w:next w:val="Normal"/>
    <w:link w:val="IntenseQuoteChar"/>
    <w:uiPriority w:val="30"/>
    <w:qFormat/>
    <w:rsid w:val="002E3C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C0C"/>
    <w:rPr>
      <w:i/>
      <w:iCs/>
      <w:color w:val="0F4761" w:themeColor="accent1" w:themeShade="BF"/>
    </w:rPr>
  </w:style>
  <w:style w:type="character" w:styleId="IntenseReference">
    <w:name w:val="Intense Reference"/>
    <w:basedOn w:val="DefaultParagraphFont"/>
    <w:uiPriority w:val="32"/>
    <w:qFormat/>
    <w:rsid w:val="002E3C0C"/>
    <w:rPr>
      <w:b/>
      <w:bCs/>
      <w:smallCaps/>
      <w:color w:val="0F4761" w:themeColor="accent1" w:themeShade="BF"/>
      <w:spacing w:val="5"/>
    </w:rPr>
  </w:style>
  <w:style w:type="paragraph" w:styleId="Header">
    <w:name w:val="header"/>
    <w:basedOn w:val="Normal"/>
    <w:link w:val="HeaderChar"/>
    <w:uiPriority w:val="99"/>
    <w:unhideWhenUsed/>
    <w:rsid w:val="002E3C0C"/>
    <w:pPr>
      <w:tabs>
        <w:tab w:val="center" w:pos="4513"/>
        <w:tab w:val="right" w:pos="9026"/>
      </w:tabs>
    </w:pPr>
  </w:style>
  <w:style w:type="character" w:customStyle="1" w:styleId="HeaderChar">
    <w:name w:val="Header Char"/>
    <w:basedOn w:val="DefaultParagraphFont"/>
    <w:link w:val="Header"/>
    <w:uiPriority w:val="99"/>
    <w:rsid w:val="002E3C0C"/>
  </w:style>
  <w:style w:type="paragraph" w:styleId="Footer">
    <w:name w:val="footer"/>
    <w:basedOn w:val="Normal"/>
    <w:link w:val="FooterChar"/>
    <w:uiPriority w:val="99"/>
    <w:unhideWhenUsed/>
    <w:rsid w:val="002E3C0C"/>
    <w:pPr>
      <w:tabs>
        <w:tab w:val="center" w:pos="4513"/>
        <w:tab w:val="right" w:pos="9026"/>
      </w:tabs>
    </w:pPr>
  </w:style>
  <w:style w:type="character" w:customStyle="1" w:styleId="FooterChar">
    <w:name w:val="Footer Char"/>
    <w:basedOn w:val="DefaultParagraphFont"/>
    <w:link w:val="Footer"/>
    <w:uiPriority w:val="99"/>
    <w:rsid w:val="002E3C0C"/>
  </w:style>
  <w:style w:type="table" w:styleId="TableGrid">
    <w:name w:val="Table Grid"/>
    <w:basedOn w:val="TableNormal"/>
    <w:uiPriority w:val="39"/>
    <w:rsid w:val="00DD01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973</Words>
  <Characters>6319</Characters>
  <Application>Microsoft Office Word</Application>
  <DocSecurity>0</DocSecurity>
  <Lines>126</Lines>
  <Paragraphs>39</Paragraphs>
  <ScaleCrop>false</ScaleCrop>
  <Company/>
  <LinksUpToDate>false</LinksUpToDate>
  <CharactersWithSpaces>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Ellyatt</dc:creator>
  <cp:keywords/>
  <dc:description/>
  <cp:lastModifiedBy>Wendy Ellyatt</cp:lastModifiedBy>
  <cp:revision>3</cp:revision>
  <dcterms:created xsi:type="dcterms:W3CDTF">2025-10-09T08:47:00Z</dcterms:created>
  <dcterms:modified xsi:type="dcterms:W3CDTF">2025-10-09T09:17:00Z</dcterms:modified>
</cp:coreProperties>
</file>