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4DCD" w14:textId="7DFC6B40" w:rsidR="00C6422C" w:rsidRDefault="002E3C0C">
      <w:r>
        <w:rPr>
          <w:noProof/>
          <w:color w:val="0F9ED5" w:themeColor="accent4"/>
          <w:sz w:val="28"/>
          <w:szCs w:val="28"/>
        </w:rPr>
        <mc:AlternateContent>
          <mc:Choice Requires="wps">
            <w:drawing>
              <wp:anchor distT="0" distB="0" distL="114300" distR="114300" simplePos="0" relativeHeight="251659264" behindDoc="0" locked="0" layoutInCell="1" allowOverlap="1" wp14:anchorId="6AC2C53E" wp14:editId="17A95D0B">
                <wp:simplePos x="0" y="0"/>
                <wp:positionH relativeFrom="column">
                  <wp:posOffset>4340860</wp:posOffset>
                </wp:positionH>
                <wp:positionV relativeFrom="paragraph">
                  <wp:posOffset>-715569</wp:posOffset>
                </wp:positionV>
                <wp:extent cx="2130250" cy="932400"/>
                <wp:effectExtent l="0" t="0" r="3810" b="0"/>
                <wp:wrapNone/>
                <wp:docPr id="876036873" name="Text Box 1"/>
                <wp:cNvGraphicFramePr/>
                <a:graphic xmlns:a="http://schemas.openxmlformats.org/drawingml/2006/main">
                  <a:graphicData uri="http://schemas.microsoft.com/office/word/2010/wordprocessingShape">
                    <wps:wsp>
                      <wps:cNvSpPr txBox="1"/>
                      <wps:spPr>
                        <a:xfrm>
                          <a:off x="0" y="0"/>
                          <a:ext cx="2130250" cy="932400"/>
                        </a:xfrm>
                        <a:prstGeom prst="rect">
                          <a:avLst/>
                        </a:prstGeom>
                        <a:solidFill>
                          <a:schemeClr val="lt1"/>
                        </a:solidFill>
                        <a:ln w="6350">
                          <a:noFill/>
                        </a:ln>
                      </wps:spPr>
                      <wps:txbx>
                        <w:txbxContent>
                          <w:p w14:paraId="7713088B" w14:textId="77777777" w:rsidR="002E3C0C" w:rsidRDefault="002E3C0C" w:rsidP="002E3C0C">
                            <w:r w:rsidRPr="00032F4C">
                              <w:rPr>
                                <w:rFonts w:asciiTheme="minorHAnsi" w:eastAsia="Times New Roman" w:hAnsiTheme="minorHAnsi" w:cstheme="minorHAnsi"/>
                                <w:bCs/>
                                <w:noProof/>
                              </w:rPr>
                              <w:drawing>
                                <wp:inline distT="0" distB="0" distL="0" distR="0" wp14:anchorId="7B929580" wp14:editId="417E4357">
                                  <wp:extent cx="1940560" cy="885453"/>
                                  <wp:effectExtent l="0" t="0" r="2540" b="381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40560" cy="8854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2C53E" id="_x0000_t202" coordsize="21600,21600" o:spt="202" path="m,l,21600r21600,l21600,xe">
                <v:stroke joinstyle="miter"/>
                <v:path gradientshapeok="t" o:connecttype="rect"/>
              </v:shapetype>
              <v:shape id="Text Box 1" o:spid="_x0000_s1026" type="#_x0000_t202" style="position:absolute;margin-left:341.8pt;margin-top:-56.35pt;width:167.75pt;height: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" fillcolor="white [3201]" stroked="f" strokeweight=".5pt">
                <v:textbox>
                  <w:txbxContent>
                    <w:p w14:paraId="7713088B" w14:textId="77777777" w:rsidR="002E3C0C" w:rsidRDefault="002E3C0C" w:rsidP="002E3C0C">
                      <w:r w:rsidRPr="00032F4C">
                        <w:rPr>
                          <w:rFonts w:asciiTheme="minorHAnsi" w:eastAsia="Times New Roman" w:hAnsiTheme="minorHAnsi" w:cstheme="minorHAnsi"/>
                          <w:bCs/>
                          <w:noProof/>
                        </w:rPr>
                        <w:drawing>
                          <wp:inline distT="0" distB="0" distL="0" distR="0" wp14:anchorId="7B929580" wp14:editId="417E4357">
                            <wp:extent cx="1940560" cy="885453"/>
                            <wp:effectExtent l="0" t="0" r="2540" b="381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40560" cy="885453"/>
                                    </a:xfrm>
                                    <a:prstGeom prst="rect">
                                      <a:avLst/>
                                    </a:prstGeom>
                                  </pic:spPr>
                                </pic:pic>
                              </a:graphicData>
                            </a:graphic>
                          </wp:inline>
                        </w:drawing>
                      </w:r>
                    </w:p>
                  </w:txbxContent>
                </v:textbox>
              </v:shape>
            </w:pict>
          </mc:Fallback>
        </mc:AlternateContent>
      </w:r>
      <w:r>
        <w:rPr>
          <w:color w:val="0B769F" w:themeColor="accent4" w:themeShade="BF"/>
          <w:sz w:val="24"/>
          <w:szCs w:val="24"/>
        </w:rPr>
        <w:br/>
      </w:r>
      <w:r>
        <w:rPr>
          <w:color w:val="0B769F" w:themeColor="accent4" w:themeShade="BF"/>
          <w:sz w:val="24"/>
          <w:szCs w:val="24"/>
        </w:rPr>
        <w:br/>
      </w:r>
      <w:r w:rsidR="000D2A3D">
        <w:rPr>
          <w:color w:val="0B769F" w:themeColor="accent4" w:themeShade="BF"/>
          <w:sz w:val="24"/>
          <w:szCs w:val="24"/>
        </w:rPr>
        <w:t>SEMANTIC SYNTHESIS</w:t>
      </w:r>
      <w:r w:rsidR="006620EA">
        <w:rPr>
          <w:color w:val="0B769F" w:themeColor="accent4" w:themeShade="BF"/>
          <w:sz w:val="24"/>
          <w:szCs w:val="24"/>
        </w:rPr>
        <w:t xml:space="preserve"> INDICATORS</w:t>
      </w:r>
      <w:r w:rsidRPr="002E3C0C">
        <w:rPr>
          <w:color w:val="0B769F" w:themeColor="accent4" w:themeShade="BF"/>
          <w:sz w:val="24"/>
          <w:szCs w:val="24"/>
        </w:rPr>
        <w:t xml:space="preserve"> EXAMPLE ESF EVALUATION</w:t>
      </w:r>
      <w:r>
        <w:br/>
        <w:t>_______________________________________________________________________________</w:t>
      </w:r>
    </w:p>
    <w:p w14:paraId="00087079" w14:textId="55371045" w:rsidR="000D2A3D" w:rsidRPr="000D2A3D" w:rsidRDefault="000D2A3D" w:rsidP="000D2A3D"/>
    <w:p w14:paraId="5ECF892D" w14:textId="3C78075A" w:rsidR="000D2A3D" w:rsidRPr="000D2A3D" w:rsidRDefault="000D2A3D" w:rsidP="000D2A3D">
      <w:r w:rsidRPr="000D2A3D">
        <w:rPr>
          <w:b/>
          <w:bCs/>
          <w:color w:val="0B769F" w:themeColor="accent4" w:themeShade="BF"/>
        </w:rPr>
        <w:t>1) ESF Domain Mapping (what the framework emphasises)</w:t>
      </w:r>
      <w:r>
        <w:rPr>
          <w:b/>
          <w:bCs/>
        </w:rPr>
        <w:br/>
      </w:r>
    </w:p>
    <w:p w14:paraId="5ACE7E88" w14:textId="2545B04D" w:rsidR="000D2A3D" w:rsidRPr="000D2A3D" w:rsidRDefault="000D2A3D" w:rsidP="000D2A3D">
      <w:r w:rsidRPr="000D2A3D">
        <w:rPr>
          <w:b/>
          <w:bCs/>
        </w:rPr>
        <w:t>Dominant: Human Capacities &amp; Potential</w:t>
      </w:r>
      <w:r>
        <w:rPr>
          <w:b/>
          <w:bCs/>
        </w:rPr>
        <w:br/>
      </w:r>
      <w:r w:rsidRPr="000D2A3D">
        <w:br/>
        <w:t>The Semantic Synthesis Indicators (SSI) project—led by Kubiszewski, Costanza and colleagues—integrates 213 wellbeing frameworks into a unified meta-framework through semantic analysis. The resulting synthesis prioritises health, education, safety, and life satisfaction, aligning closely with the ESF’s Human Capacities &amp; Potential domain. The authors identify a 20-component “sweet spot” that balances breadth with usability, covering subjective wellbeing, health status, learning, safety, and community participation.</w:t>
      </w:r>
      <w:r>
        <w:br/>
      </w:r>
    </w:p>
    <w:p w14:paraId="3ED90032" w14:textId="175E6FE0" w:rsidR="000D2A3D" w:rsidRPr="000D2A3D" w:rsidRDefault="000D2A3D" w:rsidP="000D2A3D">
      <w:r w:rsidRPr="000D2A3D">
        <w:rPr>
          <w:b/>
          <w:bCs/>
        </w:rPr>
        <w:t>Strong: Circular &amp; Regenerative Economics</w:t>
      </w:r>
      <w:r>
        <w:rPr>
          <w:b/>
          <w:bCs/>
        </w:rPr>
        <w:br/>
      </w:r>
      <w:r w:rsidRPr="000D2A3D">
        <w:br/>
        <w:t>The SSI’s inclusion of built and financial capital, employment, inequality, and sustainable resource use demonstrates solid attention to economic enablers of wellbeing. These reflect the structural dimensions of flourishing that ensure social stability and opportunity. However, while the framework references sustainable prosperity, it stops short of embedding regenerative or circular economy metrics such as reuse, repair, or community wealth-building.</w:t>
      </w:r>
      <w:r>
        <w:br/>
      </w:r>
    </w:p>
    <w:p w14:paraId="25E9615F" w14:textId="3EF22C6A" w:rsidR="000D2A3D" w:rsidRPr="000D2A3D" w:rsidRDefault="000D2A3D" w:rsidP="000D2A3D">
      <w:r w:rsidRPr="000D2A3D">
        <w:rPr>
          <w:b/>
          <w:bCs/>
        </w:rPr>
        <w:t>Moderate: Natural Environment</w:t>
      </w:r>
      <w:r>
        <w:rPr>
          <w:b/>
          <w:bCs/>
        </w:rPr>
        <w:br/>
      </w:r>
      <w:r w:rsidRPr="000D2A3D">
        <w:br/>
        <w:t>Natural capital and resource indicators—alongside greenhouse gas emissions—provide a clear ecological pillar. Yet the model treats the environment primarily as a form of capital rather than as a living system with which humans are relationally enmeshed. Indicators of biodiversity health, ecological resilience, and experiential connection to nature are largely absent.</w:t>
      </w:r>
      <w:r>
        <w:br/>
      </w:r>
    </w:p>
    <w:p w14:paraId="05493FE0" w14:textId="4277C6FD" w:rsidR="000D2A3D" w:rsidRPr="000D2A3D" w:rsidRDefault="000D2A3D" w:rsidP="000D2A3D">
      <w:r w:rsidRPr="000D2A3D">
        <w:rPr>
          <w:b/>
          <w:bCs/>
        </w:rPr>
        <w:t>Emerging: Cultural Values &amp; Identity</w:t>
      </w:r>
      <w:r>
        <w:rPr>
          <w:b/>
          <w:bCs/>
        </w:rPr>
        <w:br/>
      </w:r>
      <w:r w:rsidRPr="000D2A3D">
        <w:br/>
        <w:t>Social cohesion, safety, participation, and fairness feature prominently, but cultural and spiritual identity are not distinctly represented. There is minimal recognition of collective meaning-making, heritage, intercultural trust, or Indigenous knowledge systems.</w:t>
      </w:r>
      <w:r>
        <w:br/>
      </w:r>
    </w:p>
    <w:p w14:paraId="662416FD" w14:textId="5B8E7263" w:rsidR="000D2A3D" w:rsidRPr="000D2A3D" w:rsidRDefault="000D2A3D" w:rsidP="000D2A3D">
      <w:r w:rsidRPr="000D2A3D">
        <w:rPr>
          <w:b/>
          <w:bCs/>
        </w:rPr>
        <w:t>Interpretation:</w:t>
      </w:r>
      <w:r>
        <w:rPr>
          <w:b/>
          <w:bCs/>
        </w:rPr>
        <w:br/>
      </w:r>
      <w:r w:rsidRPr="000D2A3D">
        <w:br/>
        <w:t>The Semantic Synthesis Indicators framework delivers a robust, evidence-based foundation for post-GDP measurement. It represents a major step toward systemic integration but still treats wellbeing largely in socio-economic and environmental terms, leaving relational, cultural, and spiritual dimensions underdeveloped.</w:t>
      </w:r>
      <w:r>
        <w:br/>
      </w:r>
    </w:p>
    <w:p w14:paraId="1192E4F8" w14:textId="02C73070" w:rsidR="000D2A3D" w:rsidRPr="000D2A3D" w:rsidRDefault="000D2A3D" w:rsidP="000D2A3D">
      <w:r w:rsidRPr="000D2A3D">
        <w:rPr>
          <w:b/>
          <w:bCs/>
          <w:color w:val="0B769F" w:themeColor="accent4" w:themeShade="BF"/>
        </w:rPr>
        <w:t>2) Seven Levels of Human Motivation (where indicators sit on the flourishing spectrum)</w:t>
      </w:r>
      <w:r>
        <w:rPr>
          <w:b/>
          <w:bCs/>
        </w:rPr>
        <w:br/>
      </w:r>
    </w:p>
    <w:p w14:paraId="4B66B7A3" w14:textId="5D759F41" w:rsidR="000D2A3D" w:rsidRPr="000D2A3D" w:rsidRDefault="000D2A3D" w:rsidP="000D2A3D">
      <w:r w:rsidRPr="000D2A3D">
        <w:rPr>
          <w:b/>
          <w:bCs/>
        </w:rPr>
        <w:t>Security (Very strong):</w:t>
      </w:r>
      <w:r>
        <w:t xml:space="preserve"> </w:t>
      </w:r>
      <w:r w:rsidRPr="000D2A3D">
        <w:t>Material wellbeing, safety, income, health, and environmental protection indicators are comprehensive and form the backbone of the SSI synthesis.</w:t>
      </w:r>
      <w:r>
        <w:br/>
      </w:r>
    </w:p>
    <w:p w14:paraId="3E9FD53C" w14:textId="5A929BCD" w:rsidR="000D2A3D" w:rsidRPr="000D2A3D" w:rsidRDefault="000D2A3D" w:rsidP="000D2A3D">
      <w:r w:rsidRPr="000D2A3D">
        <w:rPr>
          <w:b/>
          <w:bCs/>
        </w:rPr>
        <w:t>Relationship (Strong):</w:t>
      </w:r>
      <w:r>
        <w:t xml:space="preserve"> </w:t>
      </w:r>
      <w:r w:rsidRPr="000D2A3D">
        <w:t xml:space="preserve">Community participation, safety, and trust measures reflect relational wellbeing, though deeper aspects of empathy, belonging, and intergenerational connection remain </w:t>
      </w:r>
      <w:r w:rsidRPr="000D2A3D">
        <w:lastRenderedPageBreak/>
        <w:t>limited.</w:t>
      </w:r>
      <w:r>
        <w:br/>
      </w:r>
    </w:p>
    <w:p w14:paraId="14C443A7" w14:textId="456FDE9D" w:rsidR="000D2A3D" w:rsidRPr="000D2A3D" w:rsidRDefault="000D2A3D" w:rsidP="000D2A3D">
      <w:r w:rsidRPr="000D2A3D">
        <w:rPr>
          <w:b/>
          <w:bCs/>
        </w:rPr>
        <w:t>Independence (Strong):</w:t>
      </w:r>
      <w:r>
        <w:t xml:space="preserve"> </w:t>
      </w:r>
      <w:r w:rsidRPr="000D2A3D">
        <w:t>Education, employment, and agency indicators demonstrate strong coverage of autonomy and competence—the hallmarks of ESF’s independence level.</w:t>
      </w:r>
      <w:r>
        <w:br/>
      </w:r>
    </w:p>
    <w:p w14:paraId="486423E0" w14:textId="1797DAF1" w:rsidR="000D2A3D" w:rsidRPr="000D2A3D" w:rsidRDefault="000D2A3D" w:rsidP="000D2A3D">
      <w:r w:rsidRPr="000D2A3D">
        <w:rPr>
          <w:b/>
          <w:bCs/>
        </w:rPr>
        <w:t>Engagement (Moderate):</w:t>
      </w:r>
      <w:r>
        <w:t xml:space="preserve"> </w:t>
      </w:r>
      <w:r w:rsidRPr="000D2A3D">
        <w:t xml:space="preserve">Participation in community and civic life is measured, but there is limited attention to creativity, cultural involvement, or flow experiences that characterise sustained </w:t>
      </w:r>
      <w:r>
        <w:br/>
      </w:r>
      <w:r w:rsidRPr="000D2A3D">
        <w:t>engagement.</w:t>
      </w:r>
    </w:p>
    <w:p w14:paraId="44C129C8" w14:textId="0311DF1C" w:rsidR="000D2A3D" w:rsidRPr="000D2A3D" w:rsidRDefault="000D2A3D" w:rsidP="000D2A3D">
      <w:r>
        <w:rPr>
          <w:b/>
          <w:bCs/>
        </w:rPr>
        <w:br/>
      </w:r>
      <w:r w:rsidRPr="000D2A3D">
        <w:rPr>
          <w:b/>
          <w:bCs/>
        </w:rPr>
        <w:t>Fulfilment (Moderate):</w:t>
      </w:r>
      <w:r>
        <w:t xml:space="preserve"> </w:t>
      </w:r>
      <w:r w:rsidRPr="000D2A3D">
        <w:t>Life satisfaction and meaning are present, yet higher-order expressions of purpose, moral development, and creative self-realisation are not fully represented.</w:t>
      </w:r>
      <w:r>
        <w:br/>
      </w:r>
    </w:p>
    <w:p w14:paraId="416CBC97" w14:textId="49BCE45B" w:rsidR="000D2A3D" w:rsidRPr="000D2A3D" w:rsidRDefault="000D2A3D" w:rsidP="000D2A3D">
      <w:r w:rsidRPr="000D2A3D">
        <w:rPr>
          <w:b/>
          <w:bCs/>
        </w:rPr>
        <w:t>Contribution (Moderate–Emerging):</w:t>
      </w:r>
      <w:r>
        <w:t xml:space="preserve"> </w:t>
      </w:r>
      <w:r w:rsidRPr="000D2A3D">
        <w:t>Volunteering and civic involvement indicators point toward collective contribution but lack systemic measures of stewardship, leadership, or co-creation for the common good.</w:t>
      </w:r>
      <w:r>
        <w:br/>
      </w:r>
    </w:p>
    <w:p w14:paraId="038BCC05" w14:textId="6FFE483B" w:rsidR="000D2A3D" w:rsidRPr="000D2A3D" w:rsidRDefault="000D2A3D" w:rsidP="000D2A3D">
      <w:r w:rsidRPr="000D2A3D">
        <w:rPr>
          <w:b/>
          <w:bCs/>
        </w:rPr>
        <w:t>Growth (Emerging):</w:t>
      </w:r>
      <w:r>
        <w:t xml:space="preserve"> </w:t>
      </w:r>
      <w:r w:rsidRPr="000D2A3D">
        <w:t>Learning, adaptability, and innovation appear tangentially, yet explicit indicators of transformation, wisdom, or spiritual growth are absent.</w:t>
      </w:r>
      <w:r>
        <w:br/>
      </w:r>
    </w:p>
    <w:p w14:paraId="251E8328" w14:textId="10E40C5E" w:rsidR="000D2A3D" w:rsidRPr="000D2A3D" w:rsidRDefault="000D2A3D" w:rsidP="000D2A3D">
      <w:r w:rsidRPr="000D2A3D">
        <w:rPr>
          <w:b/>
          <w:bCs/>
        </w:rPr>
        <w:t>Interpretation:</w:t>
      </w:r>
      <w:r w:rsidRPr="000D2A3D">
        <w:br/>
      </w:r>
      <w:r>
        <w:br/>
      </w:r>
      <w:r w:rsidRPr="000D2A3D">
        <w:t>The SSI captures the essential scaffolding of human motivation—security through independence—but the upper motivational levels (contribution and growth) are weakly represented. The framework could be deepened by embedding measures of transformative learning, creativity, and ecological reciprocity.</w:t>
      </w:r>
      <w:r>
        <w:br/>
      </w:r>
    </w:p>
    <w:p w14:paraId="1E9A56DF" w14:textId="77777777" w:rsidR="000D2A3D" w:rsidRPr="000D2A3D" w:rsidRDefault="000D2A3D" w:rsidP="000D2A3D">
      <w:pPr>
        <w:rPr>
          <w:color w:val="0B769F" w:themeColor="accent4" w:themeShade="BF"/>
        </w:rPr>
      </w:pPr>
      <w:r w:rsidRPr="000D2A3D">
        <w:rPr>
          <w:b/>
          <w:bCs/>
          <w:color w:val="0B769F" w:themeColor="accent4" w:themeShade="BF"/>
        </w:rPr>
        <w:t>3) Integrated Flourishing Analysis (balance, responsiveness, and opportunity)</w:t>
      </w:r>
    </w:p>
    <w:p w14:paraId="22036B7A" w14:textId="2B7BF5D5" w:rsidR="000D2A3D" w:rsidRPr="000D2A3D" w:rsidRDefault="000D2A3D" w:rsidP="000D2A3D">
      <w:r>
        <w:rPr>
          <w:b/>
          <w:bCs/>
        </w:rPr>
        <w:br/>
      </w:r>
      <w:r w:rsidRPr="000D2A3D">
        <w:rPr>
          <w:b/>
          <w:bCs/>
        </w:rPr>
        <w:t>Balance Check</w:t>
      </w:r>
      <w:r>
        <w:rPr>
          <w:b/>
          <w:bCs/>
        </w:rPr>
        <w:br/>
      </w:r>
    </w:p>
    <w:p w14:paraId="783EDF37" w14:textId="4D92A805" w:rsidR="000D2A3D" w:rsidRPr="000D2A3D" w:rsidRDefault="000D2A3D" w:rsidP="000D2A3D">
      <w:pPr>
        <w:numPr>
          <w:ilvl w:val="0"/>
          <w:numId w:val="23"/>
        </w:numPr>
      </w:pPr>
      <w:r w:rsidRPr="000D2A3D">
        <w:rPr>
          <w:b/>
          <w:bCs/>
        </w:rPr>
        <w:t>Human and economic wellbeing:</w:t>
      </w:r>
      <w:r w:rsidRPr="000D2A3D">
        <w:t xml:space="preserve"> strong, with comprehensive coverage of physical, educational, and structural enablers.</w:t>
      </w:r>
      <w:r>
        <w:br/>
      </w:r>
    </w:p>
    <w:p w14:paraId="1F062E27" w14:textId="0E44B823" w:rsidR="000D2A3D" w:rsidRPr="000D2A3D" w:rsidRDefault="000D2A3D" w:rsidP="000D2A3D">
      <w:pPr>
        <w:numPr>
          <w:ilvl w:val="0"/>
          <w:numId w:val="23"/>
        </w:numPr>
      </w:pPr>
      <w:r w:rsidRPr="000D2A3D">
        <w:rPr>
          <w:b/>
          <w:bCs/>
        </w:rPr>
        <w:t>Relational and cultural dimensions:</w:t>
      </w:r>
      <w:r w:rsidRPr="000D2A3D">
        <w:t xml:space="preserve"> partial; inclusion and participation are evident but cultural identity and belonging are underdeveloped.</w:t>
      </w:r>
      <w:r>
        <w:br/>
      </w:r>
    </w:p>
    <w:p w14:paraId="4B255AAB" w14:textId="7D58D4E7" w:rsidR="000D2A3D" w:rsidRPr="000D2A3D" w:rsidRDefault="000D2A3D" w:rsidP="000D2A3D">
      <w:pPr>
        <w:numPr>
          <w:ilvl w:val="0"/>
          <w:numId w:val="23"/>
        </w:numPr>
      </w:pPr>
      <w:r w:rsidRPr="000D2A3D">
        <w:rPr>
          <w:b/>
          <w:bCs/>
        </w:rPr>
        <w:t>Ecological grounding:</w:t>
      </w:r>
      <w:r w:rsidRPr="000D2A3D">
        <w:t xml:space="preserve"> present but instrumental—focused on environmental condition rather than mutual wellbeing within planetary systems.</w:t>
      </w:r>
      <w:r>
        <w:br/>
      </w:r>
    </w:p>
    <w:p w14:paraId="73143D6A" w14:textId="53EC98FA" w:rsidR="000D2A3D" w:rsidRPr="000D2A3D" w:rsidRDefault="000D2A3D" w:rsidP="000D2A3D">
      <w:pPr>
        <w:numPr>
          <w:ilvl w:val="0"/>
          <w:numId w:val="23"/>
        </w:numPr>
      </w:pPr>
      <w:r w:rsidRPr="000D2A3D">
        <w:rPr>
          <w:b/>
          <w:bCs/>
        </w:rPr>
        <w:t>Transformative capacity:</w:t>
      </w:r>
      <w:r w:rsidRPr="000D2A3D">
        <w:t xml:space="preserve"> limited—few indicators capture moral, creative, or spiritual development.</w:t>
      </w:r>
      <w:r>
        <w:br/>
      </w:r>
    </w:p>
    <w:p w14:paraId="6A850FE7" w14:textId="1E8C273B" w:rsidR="000D2A3D" w:rsidRPr="000D2A3D" w:rsidRDefault="000D2A3D" w:rsidP="000D2A3D">
      <w:r w:rsidRPr="000D2A3D">
        <w:rPr>
          <w:b/>
          <w:bCs/>
        </w:rPr>
        <w:t>Responsiveness and participation</w:t>
      </w:r>
      <w:r>
        <w:rPr>
          <w:b/>
          <w:bCs/>
        </w:rPr>
        <w:br/>
      </w:r>
      <w:r w:rsidRPr="000D2A3D">
        <w:br/>
        <w:t>The SSI’s meta-analysis approach is grounded in consensus-building across 213 frameworks, ensuring cross-sectoral relevance. However, it is not participatory in the experiential sense</w:t>
      </w:r>
      <w:r>
        <w:t xml:space="preserve"> - </w:t>
      </w:r>
      <w:r w:rsidRPr="000D2A3D">
        <w:t>citizens and communities are not yet direct contributors to indicator development or interpretation.</w:t>
      </w:r>
      <w:r>
        <w:br/>
      </w:r>
    </w:p>
    <w:p w14:paraId="0DC00FA0" w14:textId="01C9B2C4" w:rsidR="000D2A3D" w:rsidRPr="000D2A3D" w:rsidRDefault="000D2A3D" w:rsidP="000D2A3D">
      <w:r w:rsidRPr="000D2A3D">
        <w:rPr>
          <w:b/>
          <w:bCs/>
        </w:rPr>
        <w:t>Priority gaps</w:t>
      </w:r>
      <w:r>
        <w:rPr>
          <w:b/>
          <w:bCs/>
        </w:rPr>
        <w:br/>
      </w:r>
    </w:p>
    <w:p w14:paraId="1C242686" w14:textId="31DBC2C0" w:rsidR="000D2A3D" w:rsidRPr="000D2A3D" w:rsidRDefault="000D2A3D" w:rsidP="000D2A3D">
      <w:pPr>
        <w:numPr>
          <w:ilvl w:val="0"/>
          <w:numId w:val="24"/>
        </w:numPr>
      </w:pPr>
      <w:r w:rsidRPr="000D2A3D">
        <w:rPr>
          <w:b/>
          <w:bCs/>
        </w:rPr>
        <w:lastRenderedPageBreak/>
        <w:t>Ecological reciprocity:</w:t>
      </w:r>
      <w:r w:rsidRPr="000D2A3D">
        <w:t xml:space="preserve"> Add indicators of biodiversity health, soil quality, and human connection with nature.</w:t>
      </w:r>
      <w:r>
        <w:br/>
      </w:r>
    </w:p>
    <w:p w14:paraId="31E69B67" w14:textId="56CB0669" w:rsidR="000D2A3D" w:rsidRPr="000D2A3D" w:rsidRDefault="000D2A3D" w:rsidP="000D2A3D">
      <w:pPr>
        <w:numPr>
          <w:ilvl w:val="0"/>
          <w:numId w:val="24"/>
        </w:numPr>
      </w:pPr>
      <w:r w:rsidRPr="000D2A3D">
        <w:rPr>
          <w:b/>
          <w:bCs/>
        </w:rPr>
        <w:t>Circular and regenerative economics:</w:t>
      </w:r>
      <w:r w:rsidRPr="000D2A3D">
        <w:t xml:space="preserve"> Include metrics on repair, reuse, regenerative enterprise, and community wealth-building.</w:t>
      </w:r>
      <w:r>
        <w:br/>
      </w:r>
    </w:p>
    <w:p w14:paraId="76E48526" w14:textId="45C1BFA3" w:rsidR="000D2A3D" w:rsidRPr="000D2A3D" w:rsidRDefault="000D2A3D" w:rsidP="000D2A3D">
      <w:pPr>
        <w:numPr>
          <w:ilvl w:val="0"/>
          <w:numId w:val="24"/>
        </w:numPr>
      </w:pPr>
      <w:r w:rsidRPr="000D2A3D">
        <w:rPr>
          <w:b/>
          <w:bCs/>
        </w:rPr>
        <w:t>Cultural and spiritual identity:</w:t>
      </w:r>
      <w:r w:rsidRPr="000D2A3D">
        <w:t xml:space="preserve"> Integrate measures of intercultural trust, shared values, and collective meaning-making.</w:t>
      </w:r>
      <w:r>
        <w:br/>
      </w:r>
    </w:p>
    <w:p w14:paraId="37D4EEA1" w14:textId="34E1B3B8" w:rsidR="000D2A3D" w:rsidRPr="000D2A3D" w:rsidRDefault="000D2A3D" w:rsidP="000D2A3D">
      <w:pPr>
        <w:numPr>
          <w:ilvl w:val="0"/>
          <w:numId w:val="24"/>
        </w:numPr>
      </w:pPr>
      <w:r w:rsidRPr="000D2A3D">
        <w:rPr>
          <w:b/>
          <w:bCs/>
        </w:rPr>
        <w:t>Transformative growth:</w:t>
      </w:r>
      <w:r w:rsidRPr="000D2A3D">
        <w:t xml:space="preserve"> Incorporate lifelong learning, adaptability, and reflective or spiritual development.</w:t>
      </w:r>
      <w:r>
        <w:br/>
      </w:r>
    </w:p>
    <w:p w14:paraId="7ED358A5" w14:textId="51B87C13" w:rsidR="000D2A3D" w:rsidRPr="000D2A3D" w:rsidRDefault="000D2A3D" w:rsidP="000D2A3D">
      <w:r w:rsidRPr="000D2A3D">
        <w:rPr>
          <w:b/>
          <w:bCs/>
        </w:rPr>
        <w:t>Design principles</w:t>
      </w:r>
      <w:r>
        <w:rPr>
          <w:b/>
          <w:bCs/>
        </w:rPr>
        <w:br/>
      </w:r>
    </w:p>
    <w:p w14:paraId="0CFCC10F" w14:textId="266EE808" w:rsidR="000D2A3D" w:rsidRPr="000D2A3D" w:rsidRDefault="000D2A3D" w:rsidP="000D2A3D">
      <w:pPr>
        <w:numPr>
          <w:ilvl w:val="0"/>
          <w:numId w:val="25"/>
        </w:numPr>
      </w:pPr>
      <w:r w:rsidRPr="000D2A3D">
        <w:t>Retain the 20-component model for clarity and comparability.</w:t>
      </w:r>
      <w:r>
        <w:br/>
      </w:r>
    </w:p>
    <w:p w14:paraId="57870D60" w14:textId="07C84CBB" w:rsidR="000D2A3D" w:rsidRPr="000D2A3D" w:rsidRDefault="000D2A3D" w:rsidP="000D2A3D">
      <w:pPr>
        <w:numPr>
          <w:ilvl w:val="0"/>
          <w:numId w:val="25"/>
        </w:numPr>
      </w:pPr>
      <w:r w:rsidRPr="000D2A3D">
        <w:t>Add ESF-compatible modules for ecological belonging and moral development.</w:t>
      </w:r>
      <w:r>
        <w:br/>
      </w:r>
    </w:p>
    <w:p w14:paraId="73190D2A" w14:textId="2A3462E6" w:rsidR="000D2A3D" w:rsidRPr="000D2A3D" w:rsidRDefault="000D2A3D" w:rsidP="000D2A3D">
      <w:pPr>
        <w:numPr>
          <w:ilvl w:val="0"/>
          <w:numId w:val="25"/>
        </w:numPr>
      </w:pPr>
      <w:r w:rsidRPr="000D2A3D">
        <w:t>Pair condition-based indicators (e.g. emissions, income) with relational measures (e.g. connection, trust, stewardship).</w:t>
      </w:r>
      <w:r>
        <w:br/>
      </w:r>
    </w:p>
    <w:p w14:paraId="231AF6AD" w14:textId="2D7CC3C3" w:rsidR="000D2A3D" w:rsidRPr="000D2A3D" w:rsidRDefault="000D2A3D" w:rsidP="000D2A3D">
      <w:pPr>
        <w:numPr>
          <w:ilvl w:val="0"/>
          <w:numId w:val="25"/>
        </w:numPr>
      </w:pPr>
      <w:r w:rsidRPr="000D2A3D">
        <w:t>Emphasise interdependence across human, social, economic, and natural systems.</w:t>
      </w:r>
      <w:r>
        <w:br/>
      </w:r>
    </w:p>
    <w:p w14:paraId="5C760C69" w14:textId="36C2D78A" w:rsidR="000D2A3D" w:rsidRPr="000D2A3D" w:rsidRDefault="000D2A3D" w:rsidP="000D2A3D">
      <w:r w:rsidRPr="000D2A3D">
        <w:rPr>
          <w:b/>
          <w:bCs/>
          <w:color w:val="0B769F" w:themeColor="accent4" w:themeShade="BF"/>
        </w:rPr>
        <w:t>4) ESF Alignment Summary</w:t>
      </w:r>
      <w:r>
        <w:rPr>
          <w:b/>
          <w:bCs/>
        </w:rPr>
        <w:br/>
      </w:r>
    </w:p>
    <w:tbl>
      <w:tblPr>
        <w:tblStyle w:val="TableGrid"/>
        <w:tblW w:w="0" w:type="auto"/>
        <w:tblLook w:val="04A0" w:firstRow="1" w:lastRow="0" w:firstColumn="1" w:lastColumn="0" w:noHBand="0" w:noVBand="1"/>
      </w:tblPr>
      <w:tblGrid>
        <w:gridCol w:w="2256"/>
        <w:gridCol w:w="1956"/>
        <w:gridCol w:w="4804"/>
      </w:tblGrid>
      <w:tr w:rsidR="000D2A3D" w:rsidRPr="000D2A3D" w14:paraId="2FFA7ED5" w14:textId="77777777" w:rsidTr="000D2A3D">
        <w:tc>
          <w:tcPr>
            <w:tcW w:w="0" w:type="auto"/>
            <w:hideMark/>
          </w:tcPr>
          <w:p w14:paraId="37C6EF83" w14:textId="77777777" w:rsidR="000D2A3D" w:rsidRPr="000D2A3D" w:rsidRDefault="000D2A3D" w:rsidP="000D2A3D">
            <w:pPr>
              <w:rPr>
                <w:b/>
                <w:bCs/>
              </w:rPr>
            </w:pPr>
            <w:r w:rsidRPr="000D2A3D">
              <w:rPr>
                <w:b/>
                <w:bCs/>
              </w:rPr>
              <w:t>ESF Domain</w:t>
            </w:r>
          </w:p>
        </w:tc>
        <w:tc>
          <w:tcPr>
            <w:tcW w:w="0" w:type="auto"/>
            <w:hideMark/>
          </w:tcPr>
          <w:p w14:paraId="65DF467C" w14:textId="77777777" w:rsidR="000D2A3D" w:rsidRPr="000D2A3D" w:rsidRDefault="000D2A3D" w:rsidP="000D2A3D">
            <w:pPr>
              <w:rPr>
                <w:b/>
                <w:bCs/>
              </w:rPr>
            </w:pPr>
            <w:r w:rsidRPr="000D2A3D">
              <w:rPr>
                <w:b/>
                <w:bCs/>
              </w:rPr>
              <w:t>Level of Representation</w:t>
            </w:r>
          </w:p>
        </w:tc>
        <w:tc>
          <w:tcPr>
            <w:tcW w:w="0" w:type="auto"/>
            <w:hideMark/>
          </w:tcPr>
          <w:p w14:paraId="419FF157" w14:textId="77777777" w:rsidR="000D2A3D" w:rsidRPr="000D2A3D" w:rsidRDefault="000D2A3D" w:rsidP="000D2A3D">
            <w:pPr>
              <w:rPr>
                <w:b/>
                <w:bCs/>
              </w:rPr>
            </w:pPr>
            <w:r w:rsidRPr="000D2A3D">
              <w:rPr>
                <w:b/>
                <w:bCs/>
              </w:rPr>
              <w:t>Notes</w:t>
            </w:r>
          </w:p>
        </w:tc>
      </w:tr>
      <w:tr w:rsidR="000D2A3D" w:rsidRPr="000D2A3D" w14:paraId="7EE9809D" w14:textId="77777777" w:rsidTr="000D2A3D">
        <w:tc>
          <w:tcPr>
            <w:tcW w:w="0" w:type="auto"/>
            <w:hideMark/>
          </w:tcPr>
          <w:p w14:paraId="37E07E42" w14:textId="77777777" w:rsidR="000D2A3D" w:rsidRPr="000D2A3D" w:rsidRDefault="000D2A3D" w:rsidP="000D2A3D">
            <w:r w:rsidRPr="000D2A3D">
              <w:t>Human Capacities &amp; Potential</w:t>
            </w:r>
          </w:p>
        </w:tc>
        <w:tc>
          <w:tcPr>
            <w:tcW w:w="0" w:type="auto"/>
            <w:hideMark/>
          </w:tcPr>
          <w:p w14:paraId="3A586B64" w14:textId="77777777" w:rsidR="000D2A3D" w:rsidRPr="000D2A3D" w:rsidRDefault="000D2A3D" w:rsidP="000D2A3D">
            <w:r w:rsidRPr="000D2A3D">
              <w:t>Strong</w:t>
            </w:r>
          </w:p>
        </w:tc>
        <w:tc>
          <w:tcPr>
            <w:tcW w:w="0" w:type="auto"/>
            <w:hideMark/>
          </w:tcPr>
          <w:p w14:paraId="6D1CA4C1" w14:textId="77777777" w:rsidR="000D2A3D" w:rsidRPr="000D2A3D" w:rsidRDefault="000D2A3D" w:rsidP="000D2A3D">
            <w:r w:rsidRPr="000D2A3D">
              <w:t>Health, education, wellbeing, and safety central; limited on creativity, spirituality, or moral growth.</w:t>
            </w:r>
          </w:p>
        </w:tc>
      </w:tr>
      <w:tr w:rsidR="000D2A3D" w:rsidRPr="000D2A3D" w14:paraId="064CBF66" w14:textId="77777777" w:rsidTr="000D2A3D">
        <w:tc>
          <w:tcPr>
            <w:tcW w:w="0" w:type="auto"/>
            <w:hideMark/>
          </w:tcPr>
          <w:p w14:paraId="5EF7F4A7" w14:textId="77777777" w:rsidR="000D2A3D" w:rsidRPr="000D2A3D" w:rsidRDefault="000D2A3D" w:rsidP="000D2A3D">
            <w:r w:rsidRPr="000D2A3D">
              <w:t>Cultural Values &amp; Identity</w:t>
            </w:r>
          </w:p>
        </w:tc>
        <w:tc>
          <w:tcPr>
            <w:tcW w:w="0" w:type="auto"/>
            <w:hideMark/>
          </w:tcPr>
          <w:p w14:paraId="6971A0FA" w14:textId="77777777" w:rsidR="000D2A3D" w:rsidRPr="000D2A3D" w:rsidRDefault="000D2A3D" w:rsidP="000D2A3D">
            <w:r w:rsidRPr="000D2A3D">
              <w:t>Moderate</w:t>
            </w:r>
          </w:p>
        </w:tc>
        <w:tc>
          <w:tcPr>
            <w:tcW w:w="0" w:type="auto"/>
            <w:hideMark/>
          </w:tcPr>
          <w:p w14:paraId="47398FC1" w14:textId="77777777" w:rsidR="000D2A3D" w:rsidRPr="000D2A3D" w:rsidRDefault="000D2A3D" w:rsidP="000D2A3D">
            <w:r w:rsidRPr="000D2A3D">
              <w:t>Participation and safety present; heritage, trust, and intercultural values minimal.</w:t>
            </w:r>
          </w:p>
        </w:tc>
      </w:tr>
      <w:tr w:rsidR="000D2A3D" w:rsidRPr="000D2A3D" w14:paraId="55E9D3A2" w14:textId="77777777" w:rsidTr="000D2A3D">
        <w:tc>
          <w:tcPr>
            <w:tcW w:w="0" w:type="auto"/>
            <w:hideMark/>
          </w:tcPr>
          <w:p w14:paraId="49576F31" w14:textId="77777777" w:rsidR="000D2A3D" w:rsidRPr="000D2A3D" w:rsidRDefault="000D2A3D" w:rsidP="000D2A3D">
            <w:r w:rsidRPr="000D2A3D">
              <w:t>Natural Environment</w:t>
            </w:r>
          </w:p>
        </w:tc>
        <w:tc>
          <w:tcPr>
            <w:tcW w:w="0" w:type="auto"/>
            <w:hideMark/>
          </w:tcPr>
          <w:p w14:paraId="3A517B0D" w14:textId="77777777" w:rsidR="000D2A3D" w:rsidRPr="000D2A3D" w:rsidRDefault="000D2A3D" w:rsidP="000D2A3D">
            <w:r w:rsidRPr="000D2A3D">
              <w:t>Moderate</w:t>
            </w:r>
          </w:p>
        </w:tc>
        <w:tc>
          <w:tcPr>
            <w:tcW w:w="0" w:type="auto"/>
            <w:hideMark/>
          </w:tcPr>
          <w:p w14:paraId="62EA69CD" w14:textId="77777777" w:rsidR="000D2A3D" w:rsidRPr="000D2A3D" w:rsidRDefault="000D2A3D" w:rsidP="000D2A3D">
            <w:r w:rsidRPr="000D2A3D">
              <w:t>Natural capital and emissions covered; biodiversity, resilience, and connection missing.</w:t>
            </w:r>
          </w:p>
        </w:tc>
      </w:tr>
      <w:tr w:rsidR="000D2A3D" w:rsidRPr="000D2A3D" w14:paraId="2862287E" w14:textId="77777777" w:rsidTr="000D2A3D">
        <w:tc>
          <w:tcPr>
            <w:tcW w:w="0" w:type="auto"/>
            <w:hideMark/>
          </w:tcPr>
          <w:p w14:paraId="0668D8DA" w14:textId="77777777" w:rsidR="000D2A3D" w:rsidRPr="000D2A3D" w:rsidRDefault="000D2A3D" w:rsidP="000D2A3D">
            <w:r w:rsidRPr="000D2A3D">
              <w:t>Circular &amp; Regenerative Economics</w:t>
            </w:r>
          </w:p>
        </w:tc>
        <w:tc>
          <w:tcPr>
            <w:tcW w:w="0" w:type="auto"/>
            <w:hideMark/>
          </w:tcPr>
          <w:p w14:paraId="7F53E55A" w14:textId="77777777" w:rsidR="000D2A3D" w:rsidRPr="000D2A3D" w:rsidRDefault="000D2A3D" w:rsidP="000D2A3D">
            <w:r w:rsidRPr="000D2A3D">
              <w:t>Strong</w:t>
            </w:r>
          </w:p>
        </w:tc>
        <w:tc>
          <w:tcPr>
            <w:tcW w:w="0" w:type="auto"/>
            <w:hideMark/>
          </w:tcPr>
          <w:p w14:paraId="5092BCCF" w14:textId="77777777" w:rsidR="000D2A3D" w:rsidRPr="000D2A3D" w:rsidRDefault="000D2A3D" w:rsidP="000D2A3D">
            <w:r w:rsidRPr="000D2A3D">
              <w:t>Structural wellbeing indicators robust; regenerative economics yet to appear.</w:t>
            </w:r>
          </w:p>
        </w:tc>
      </w:tr>
    </w:tbl>
    <w:p w14:paraId="58B834B3" w14:textId="5BCB0E5C" w:rsidR="000D2A3D" w:rsidRPr="000D2A3D" w:rsidRDefault="000D2A3D" w:rsidP="000D2A3D">
      <w:pPr>
        <w:rPr>
          <w:vanish/>
        </w:rPr>
      </w:pPr>
      <w:r>
        <w:br/>
      </w:r>
    </w:p>
    <w:tbl>
      <w:tblPr>
        <w:tblStyle w:val="TableGrid"/>
        <w:tblW w:w="0" w:type="auto"/>
        <w:tblLook w:val="04A0" w:firstRow="1" w:lastRow="0" w:firstColumn="1" w:lastColumn="0" w:noHBand="0" w:noVBand="1"/>
      </w:tblPr>
      <w:tblGrid>
        <w:gridCol w:w="2263"/>
        <w:gridCol w:w="1985"/>
        <w:gridCol w:w="4768"/>
      </w:tblGrid>
      <w:tr w:rsidR="000D2A3D" w:rsidRPr="000D2A3D" w14:paraId="05104273" w14:textId="77777777" w:rsidTr="000D2A3D">
        <w:tc>
          <w:tcPr>
            <w:tcW w:w="2263" w:type="dxa"/>
            <w:hideMark/>
          </w:tcPr>
          <w:p w14:paraId="2DCAA972" w14:textId="77777777" w:rsidR="000D2A3D" w:rsidRPr="000D2A3D" w:rsidRDefault="000D2A3D" w:rsidP="000D2A3D">
            <w:pPr>
              <w:rPr>
                <w:b/>
                <w:bCs/>
              </w:rPr>
            </w:pPr>
            <w:r w:rsidRPr="000D2A3D">
              <w:rPr>
                <w:b/>
                <w:bCs/>
              </w:rPr>
              <w:t>Motivation Level</w:t>
            </w:r>
          </w:p>
        </w:tc>
        <w:tc>
          <w:tcPr>
            <w:tcW w:w="1985" w:type="dxa"/>
            <w:hideMark/>
          </w:tcPr>
          <w:p w14:paraId="52D33BE7" w14:textId="77777777" w:rsidR="000D2A3D" w:rsidRPr="000D2A3D" w:rsidRDefault="000D2A3D" w:rsidP="000D2A3D">
            <w:pPr>
              <w:rPr>
                <w:b/>
                <w:bCs/>
              </w:rPr>
            </w:pPr>
            <w:r w:rsidRPr="000D2A3D">
              <w:rPr>
                <w:b/>
                <w:bCs/>
              </w:rPr>
              <w:t>Representation</w:t>
            </w:r>
          </w:p>
        </w:tc>
        <w:tc>
          <w:tcPr>
            <w:tcW w:w="4768" w:type="dxa"/>
            <w:hideMark/>
          </w:tcPr>
          <w:p w14:paraId="0CADDD52" w14:textId="77777777" w:rsidR="000D2A3D" w:rsidRPr="000D2A3D" w:rsidRDefault="000D2A3D" w:rsidP="000D2A3D">
            <w:pPr>
              <w:rPr>
                <w:b/>
                <w:bCs/>
              </w:rPr>
            </w:pPr>
            <w:r w:rsidRPr="000D2A3D">
              <w:rPr>
                <w:b/>
                <w:bCs/>
              </w:rPr>
              <w:t>Notes</w:t>
            </w:r>
          </w:p>
        </w:tc>
      </w:tr>
      <w:tr w:rsidR="000D2A3D" w:rsidRPr="000D2A3D" w14:paraId="47582065" w14:textId="77777777" w:rsidTr="000D2A3D">
        <w:tc>
          <w:tcPr>
            <w:tcW w:w="2263" w:type="dxa"/>
            <w:hideMark/>
          </w:tcPr>
          <w:p w14:paraId="5BD1D6F8" w14:textId="77777777" w:rsidR="000D2A3D" w:rsidRPr="000D2A3D" w:rsidRDefault="000D2A3D" w:rsidP="000D2A3D">
            <w:r w:rsidRPr="000D2A3D">
              <w:t>Security</w:t>
            </w:r>
          </w:p>
        </w:tc>
        <w:tc>
          <w:tcPr>
            <w:tcW w:w="1985" w:type="dxa"/>
            <w:hideMark/>
          </w:tcPr>
          <w:p w14:paraId="1C30D3D8" w14:textId="77777777" w:rsidR="000D2A3D" w:rsidRPr="000D2A3D" w:rsidRDefault="000D2A3D" w:rsidP="000D2A3D">
            <w:r w:rsidRPr="000D2A3D">
              <w:t>Very strong</w:t>
            </w:r>
          </w:p>
        </w:tc>
        <w:tc>
          <w:tcPr>
            <w:tcW w:w="4768" w:type="dxa"/>
            <w:hideMark/>
          </w:tcPr>
          <w:p w14:paraId="183BC097" w14:textId="77777777" w:rsidR="000D2A3D" w:rsidRPr="000D2A3D" w:rsidRDefault="000D2A3D" w:rsidP="000D2A3D">
            <w:r w:rsidRPr="000D2A3D">
              <w:t>Safety, income, and environmental protection.</w:t>
            </w:r>
          </w:p>
        </w:tc>
      </w:tr>
      <w:tr w:rsidR="000D2A3D" w:rsidRPr="000D2A3D" w14:paraId="27B28D81" w14:textId="77777777" w:rsidTr="000D2A3D">
        <w:tc>
          <w:tcPr>
            <w:tcW w:w="2263" w:type="dxa"/>
            <w:hideMark/>
          </w:tcPr>
          <w:p w14:paraId="1ADF9DBB" w14:textId="77777777" w:rsidR="000D2A3D" w:rsidRPr="000D2A3D" w:rsidRDefault="000D2A3D" w:rsidP="000D2A3D">
            <w:r w:rsidRPr="000D2A3D">
              <w:t>Relationship</w:t>
            </w:r>
          </w:p>
        </w:tc>
        <w:tc>
          <w:tcPr>
            <w:tcW w:w="1985" w:type="dxa"/>
            <w:hideMark/>
          </w:tcPr>
          <w:p w14:paraId="0FB2DD03" w14:textId="77777777" w:rsidR="000D2A3D" w:rsidRPr="000D2A3D" w:rsidRDefault="000D2A3D" w:rsidP="000D2A3D">
            <w:r w:rsidRPr="000D2A3D">
              <w:t>Strong</w:t>
            </w:r>
          </w:p>
        </w:tc>
        <w:tc>
          <w:tcPr>
            <w:tcW w:w="4768" w:type="dxa"/>
            <w:hideMark/>
          </w:tcPr>
          <w:p w14:paraId="5BD579E8" w14:textId="77777777" w:rsidR="000D2A3D" w:rsidRPr="000D2A3D" w:rsidRDefault="000D2A3D" w:rsidP="000D2A3D">
            <w:r w:rsidRPr="000D2A3D">
              <w:t>Participation and safety reflected; belonging limited.</w:t>
            </w:r>
          </w:p>
        </w:tc>
      </w:tr>
      <w:tr w:rsidR="000D2A3D" w:rsidRPr="000D2A3D" w14:paraId="4C90CB55" w14:textId="77777777" w:rsidTr="000D2A3D">
        <w:tc>
          <w:tcPr>
            <w:tcW w:w="2263" w:type="dxa"/>
            <w:hideMark/>
          </w:tcPr>
          <w:p w14:paraId="07EB47A3" w14:textId="77777777" w:rsidR="000D2A3D" w:rsidRPr="000D2A3D" w:rsidRDefault="000D2A3D" w:rsidP="000D2A3D">
            <w:r w:rsidRPr="000D2A3D">
              <w:t>Independence</w:t>
            </w:r>
          </w:p>
        </w:tc>
        <w:tc>
          <w:tcPr>
            <w:tcW w:w="1985" w:type="dxa"/>
            <w:hideMark/>
          </w:tcPr>
          <w:p w14:paraId="6827ED69" w14:textId="77777777" w:rsidR="000D2A3D" w:rsidRPr="000D2A3D" w:rsidRDefault="000D2A3D" w:rsidP="000D2A3D">
            <w:r w:rsidRPr="000D2A3D">
              <w:t>Strong</w:t>
            </w:r>
          </w:p>
        </w:tc>
        <w:tc>
          <w:tcPr>
            <w:tcW w:w="4768" w:type="dxa"/>
            <w:hideMark/>
          </w:tcPr>
          <w:p w14:paraId="5ECBD3FF" w14:textId="77777777" w:rsidR="000D2A3D" w:rsidRPr="000D2A3D" w:rsidRDefault="000D2A3D" w:rsidP="000D2A3D">
            <w:r w:rsidRPr="000D2A3D">
              <w:t>Education, employment, and agency indicators.</w:t>
            </w:r>
          </w:p>
        </w:tc>
      </w:tr>
      <w:tr w:rsidR="000D2A3D" w:rsidRPr="000D2A3D" w14:paraId="550B2015" w14:textId="77777777" w:rsidTr="000D2A3D">
        <w:tc>
          <w:tcPr>
            <w:tcW w:w="2263" w:type="dxa"/>
            <w:hideMark/>
          </w:tcPr>
          <w:p w14:paraId="69D552B8" w14:textId="77777777" w:rsidR="000D2A3D" w:rsidRPr="000D2A3D" w:rsidRDefault="000D2A3D" w:rsidP="000D2A3D">
            <w:r w:rsidRPr="000D2A3D">
              <w:t>Engagement</w:t>
            </w:r>
          </w:p>
        </w:tc>
        <w:tc>
          <w:tcPr>
            <w:tcW w:w="1985" w:type="dxa"/>
            <w:hideMark/>
          </w:tcPr>
          <w:p w14:paraId="37D34AB0" w14:textId="77777777" w:rsidR="000D2A3D" w:rsidRPr="000D2A3D" w:rsidRDefault="000D2A3D" w:rsidP="000D2A3D">
            <w:r w:rsidRPr="000D2A3D">
              <w:t>Moderate</w:t>
            </w:r>
          </w:p>
        </w:tc>
        <w:tc>
          <w:tcPr>
            <w:tcW w:w="4768" w:type="dxa"/>
            <w:hideMark/>
          </w:tcPr>
          <w:p w14:paraId="3FE526B7" w14:textId="77777777" w:rsidR="000D2A3D" w:rsidRPr="000D2A3D" w:rsidRDefault="000D2A3D" w:rsidP="000D2A3D">
            <w:r w:rsidRPr="000D2A3D">
              <w:t>Participation evident; creativity absent.</w:t>
            </w:r>
          </w:p>
        </w:tc>
      </w:tr>
      <w:tr w:rsidR="000D2A3D" w:rsidRPr="000D2A3D" w14:paraId="7770F893" w14:textId="77777777" w:rsidTr="000D2A3D">
        <w:tc>
          <w:tcPr>
            <w:tcW w:w="2263" w:type="dxa"/>
            <w:hideMark/>
          </w:tcPr>
          <w:p w14:paraId="26DAAB29" w14:textId="77777777" w:rsidR="000D2A3D" w:rsidRPr="000D2A3D" w:rsidRDefault="000D2A3D" w:rsidP="000D2A3D">
            <w:r w:rsidRPr="000D2A3D">
              <w:t>Fulfilment</w:t>
            </w:r>
          </w:p>
        </w:tc>
        <w:tc>
          <w:tcPr>
            <w:tcW w:w="1985" w:type="dxa"/>
            <w:hideMark/>
          </w:tcPr>
          <w:p w14:paraId="2DE4FC18" w14:textId="77777777" w:rsidR="000D2A3D" w:rsidRPr="000D2A3D" w:rsidRDefault="000D2A3D" w:rsidP="000D2A3D">
            <w:r w:rsidRPr="000D2A3D">
              <w:t>Moderate</w:t>
            </w:r>
          </w:p>
        </w:tc>
        <w:tc>
          <w:tcPr>
            <w:tcW w:w="4768" w:type="dxa"/>
            <w:hideMark/>
          </w:tcPr>
          <w:p w14:paraId="44A7E109" w14:textId="77777777" w:rsidR="000D2A3D" w:rsidRPr="000D2A3D" w:rsidRDefault="000D2A3D" w:rsidP="000D2A3D">
            <w:r w:rsidRPr="000D2A3D">
              <w:t>Life satisfaction included; meaning underdeveloped.</w:t>
            </w:r>
          </w:p>
        </w:tc>
      </w:tr>
      <w:tr w:rsidR="000D2A3D" w:rsidRPr="000D2A3D" w14:paraId="20E91426" w14:textId="77777777" w:rsidTr="000D2A3D">
        <w:tc>
          <w:tcPr>
            <w:tcW w:w="2263" w:type="dxa"/>
            <w:hideMark/>
          </w:tcPr>
          <w:p w14:paraId="43FD053B" w14:textId="77777777" w:rsidR="000D2A3D" w:rsidRPr="000D2A3D" w:rsidRDefault="000D2A3D" w:rsidP="000D2A3D">
            <w:r w:rsidRPr="000D2A3D">
              <w:t>Contribution</w:t>
            </w:r>
          </w:p>
        </w:tc>
        <w:tc>
          <w:tcPr>
            <w:tcW w:w="1985" w:type="dxa"/>
            <w:hideMark/>
          </w:tcPr>
          <w:p w14:paraId="5CBE7C94" w14:textId="77777777" w:rsidR="000D2A3D" w:rsidRPr="000D2A3D" w:rsidRDefault="000D2A3D" w:rsidP="000D2A3D">
            <w:r w:rsidRPr="000D2A3D">
              <w:t>Moderate–Emerging</w:t>
            </w:r>
          </w:p>
        </w:tc>
        <w:tc>
          <w:tcPr>
            <w:tcW w:w="4768" w:type="dxa"/>
            <w:hideMark/>
          </w:tcPr>
          <w:p w14:paraId="12BE12EF" w14:textId="77777777" w:rsidR="000D2A3D" w:rsidRPr="000D2A3D" w:rsidRDefault="000D2A3D" w:rsidP="000D2A3D">
            <w:r w:rsidRPr="000D2A3D">
              <w:t>Civic engagement but limited stewardship.</w:t>
            </w:r>
          </w:p>
        </w:tc>
      </w:tr>
      <w:tr w:rsidR="000D2A3D" w:rsidRPr="000D2A3D" w14:paraId="707B9558" w14:textId="77777777" w:rsidTr="000D2A3D">
        <w:tc>
          <w:tcPr>
            <w:tcW w:w="2263" w:type="dxa"/>
            <w:hideMark/>
          </w:tcPr>
          <w:p w14:paraId="28B6A78F" w14:textId="77777777" w:rsidR="000D2A3D" w:rsidRPr="000D2A3D" w:rsidRDefault="000D2A3D" w:rsidP="000D2A3D">
            <w:r w:rsidRPr="000D2A3D">
              <w:t>Growth</w:t>
            </w:r>
          </w:p>
        </w:tc>
        <w:tc>
          <w:tcPr>
            <w:tcW w:w="1985" w:type="dxa"/>
            <w:hideMark/>
          </w:tcPr>
          <w:p w14:paraId="0246E3CF" w14:textId="77777777" w:rsidR="000D2A3D" w:rsidRPr="000D2A3D" w:rsidRDefault="000D2A3D" w:rsidP="000D2A3D">
            <w:r w:rsidRPr="000D2A3D">
              <w:t>Emerging</w:t>
            </w:r>
          </w:p>
        </w:tc>
        <w:tc>
          <w:tcPr>
            <w:tcW w:w="4768" w:type="dxa"/>
            <w:hideMark/>
          </w:tcPr>
          <w:p w14:paraId="749E1AEB" w14:textId="77777777" w:rsidR="000D2A3D" w:rsidRPr="000D2A3D" w:rsidRDefault="000D2A3D" w:rsidP="000D2A3D">
            <w:r w:rsidRPr="000D2A3D">
              <w:t>Adaptability noted; spiritual and transformative growth lacking.</w:t>
            </w:r>
          </w:p>
        </w:tc>
      </w:tr>
    </w:tbl>
    <w:p w14:paraId="710C3B61" w14:textId="77777777" w:rsidR="000D2A3D" w:rsidRDefault="000D2A3D" w:rsidP="000D2A3D">
      <w:pPr>
        <w:rPr>
          <w:b/>
          <w:bCs/>
        </w:rPr>
      </w:pPr>
    </w:p>
    <w:p w14:paraId="55034DD2" w14:textId="77777777" w:rsidR="000D2A3D" w:rsidRDefault="000D2A3D" w:rsidP="000D2A3D">
      <w:pPr>
        <w:rPr>
          <w:b/>
          <w:bCs/>
        </w:rPr>
      </w:pPr>
    </w:p>
    <w:p w14:paraId="501D37FF" w14:textId="7ACD535E" w:rsidR="000D2A3D" w:rsidRPr="000D2A3D" w:rsidRDefault="000D2A3D" w:rsidP="000D2A3D">
      <w:r w:rsidRPr="000D2A3D">
        <w:rPr>
          <w:b/>
          <w:bCs/>
          <w:color w:val="0B769F" w:themeColor="accent4" w:themeShade="BF"/>
        </w:rPr>
        <w:lastRenderedPageBreak/>
        <w:t>5) Overall ESF Interpretation</w:t>
      </w:r>
      <w:r>
        <w:rPr>
          <w:b/>
          <w:bCs/>
        </w:rPr>
        <w:br/>
      </w:r>
    </w:p>
    <w:p w14:paraId="0BFA0230" w14:textId="3204346F" w:rsidR="000D2A3D" w:rsidRPr="000D2A3D" w:rsidRDefault="000D2A3D" w:rsidP="000D2A3D">
      <w:r w:rsidRPr="000D2A3D">
        <w:t>The Semantic Synthesis Indicators framework is a landmark in wellbeing measurement, demonstrating that convergence across hundreds of frameworks is possible. It offers policymakers a clear, evidence-based structure for tracking wellbeing beyond GDP and has strong coherence with the lower-to-mid levels of the ESF model.</w:t>
      </w:r>
      <w:r>
        <w:br/>
      </w:r>
    </w:p>
    <w:p w14:paraId="1132A908" w14:textId="665C66C1" w:rsidR="000D2A3D" w:rsidRPr="000D2A3D" w:rsidRDefault="000D2A3D" w:rsidP="000D2A3D">
      <w:r w:rsidRPr="000D2A3D">
        <w:t>From an Eco-Systemic Flourishing perspective, the SSI provides the empirical backbone of a new wellbeing economy but requires further depth in its ecological, cultural, and spiritual dimensions. Future iterations could explicitly integrate regenerative principles, intercultural meaning-making, and developmental growth. In doing so, the SSI would evolve from a semantic synthesis of existing indicators into a living, systemic framework for flourishing—one that not only measures what people value but helps societies become what they aspire to be.</w:t>
      </w:r>
      <w:r>
        <w:br/>
      </w:r>
    </w:p>
    <w:p w14:paraId="5F8B5738" w14:textId="01DEF18E" w:rsidR="000D2A3D" w:rsidRPr="000D2A3D" w:rsidRDefault="000D2A3D" w:rsidP="000D2A3D">
      <w:r w:rsidRPr="000D2A3D">
        <w:rPr>
          <w:b/>
          <w:bCs/>
        </w:rPr>
        <w:t>Endnotes</w:t>
      </w:r>
      <w:r>
        <w:rPr>
          <w:b/>
          <w:bCs/>
        </w:rPr>
        <w:br/>
      </w:r>
    </w:p>
    <w:p w14:paraId="7F9DEBD6" w14:textId="77777777" w:rsidR="000D2A3D" w:rsidRPr="000D2A3D" w:rsidRDefault="000D2A3D" w:rsidP="00950396">
      <w:pPr>
        <w:pStyle w:val="ListParagraph"/>
        <w:numPr>
          <w:ilvl w:val="0"/>
          <w:numId w:val="27"/>
        </w:numPr>
      </w:pPr>
      <w:r w:rsidRPr="000D2A3D">
        <w:t xml:space="preserve">Kubiszewski, I., Costanza, R., Eastoe, J., Lu, T., Mulder, K., Hernández, G-P., Benczúr, P., Dixson-Declève, S., et al. (2025). </w:t>
      </w:r>
      <w:r w:rsidRPr="000D2A3D">
        <w:rPr>
          <w:i/>
          <w:iCs/>
        </w:rPr>
        <w:t>Building consensus on societal wellbeing: A semantic synthesis of indicators to move beyond GDP.</w:t>
      </w:r>
      <w:r w:rsidRPr="000D2A3D">
        <w:t xml:space="preserve"> </w:t>
      </w:r>
      <w:r w:rsidRPr="000D2A3D">
        <w:rPr>
          <w:i/>
          <w:iCs/>
        </w:rPr>
        <w:t>Ecological Indicators,</w:t>
      </w:r>
      <w:r w:rsidRPr="000D2A3D">
        <w:t xml:space="preserve"> 178: 114076. Amsterdam, Netherlands: Elsevier.</w:t>
      </w:r>
    </w:p>
    <w:p w14:paraId="686D718B" w14:textId="77777777" w:rsidR="000D2A3D" w:rsidRPr="000D2A3D" w:rsidRDefault="000D2A3D" w:rsidP="00950396">
      <w:pPr>
        <w:pStyle w:val="ListParagraph"/>
        <w:numPr>
          <w:ilvl w:val="0"/>
          <w:numId w:val="27"/>
        </w:numPr>
      </w:pPr>
      <w:r w:rsidRPr="000D2A3D">
        <w:t xml:space="preserve">MERGE Project. (2025). </w:t>
      </w:r>
      <w:r w:rsidRPr="000D2A3D">
        <w:rPr>
          <w:i/>
          <w:iCs/>
        </w:rPr>
        <w:t>Building consensus on societal wellbeing: A semantic synthesis of indicators to move beyond GDP – Research Summary.</w:t>
      </w:r>
      <w:r w:rsidRPr="000D2A3D">
        <w:t xml:space="preserve"> Demos Helsinki, Brussels, Belgium.</w:t>
      </w:r>
    </w:p>
    <w:p w14:paraId="10E913E1" w14:textId="77777777" w:rsidR="000D2A3D" w:rsidRPr="000D2A3D" w:rsidRDefault="000D2A3D" w:rsidP="00950396">
      <w:pPr>
        <w:pStyle w:val="ListParagraph"/>
        <w:numPr>
          <w:ilvl w:val="0"/>
          <w:numId w:val="27"/>
        </w:numPr>
      </w:pPr>
      <w:r w:rsidRPr="000D2A3D">
        <w:t xml:space="preserve">Ellyatt, W. (2025). </w:t>
      </w:r>
      <w:r w:rsidRPr="000D2A3D">
        <w:rPr>
          <w:i/>
          <w:iCs/>
        </w:rPr>
        <w:t>Eco-Systemic Flourishing: Expanding the Meta-Framework for 21st Century Education.</w:t>
      </w:r>
      <w:r w:rsidRPr="000D2A3D">
        <w:t xml:space="preserve"> </w:t>
      </w:r>
      <w:r w:rsidRPr="000D2A3D">
        <w:rPr>
          <w:i/>
          <w:iCs/>
        </w:rPr>
        <w:t>Challenges,</w:t>
      </w:r>
      <w:r w:rsidRPr="000D2A3D">
        <w:t xml:space="preserve"> 16(2): 21. Basel, Switzerland: MDPI.</w:t>
      </w:r>
    </w:p>
    <w:p w14:paraId="58AC6BD7" w14:textId="77777777" w:rsidR="000D2A3D" w:rsidRPr="000D2A3D" w:rsidRDefault="000D2A3D" w:rsidP="00950396">
      <w:pPr>
        <w:pStyle w:val="ListParagraph"/>
        <w:numPr>
          <w:ilvl w:val="0"/>
          <w:numId w:val="27"/>
        </w:numPr>
      </w:pPr>
      <w:r w:rsidRPr="000D2A3D">
        <w:t xml:space="preserve">OECD. (2020). </w:t>
      </w:r>
      <w:r w:rsidRPr="000D2A3D">
        <w:rPr>
          <w:i/>
          <w:iCs/>
        </w:rPr>
        <w:t>How’s Life? Measuring Wellbeing 2020.</w:t>
      </w:r>
      <w:r w:rsidRPr="000D2A3D">
        <w:t xml:space="preserve"> Paris, France</w:t>
      </w:r>
    </w:p>
    <w:p w14:paraId="5F7B0F81" w14:textId="32E5E6D2" w:rsidR="006620EA" w:rsidRPr="006620EA" w:rsidRDefault="006620EA" w:rsidP="00950396">
      <w:pPr>
        <w:pStyle w:val="ListParagraph"/>
      </w:pPr>
      <w:r>
        <w:br/>
      </w:r>
    </w:p>
    <w:p w14:paraId="56FD6B26" w14:textId="77777777" w:rsidR="002E3C0C" w:rsidRDefault="002E3C0C"/>
    <w:sectPr w:rsidR="002E3C0C" w:rsidSect="00AE5EBE">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7E6F" w14:textId="77777777" w:rsidR="00F54FA9" w:rsidRDefault="00F54FA9" w:rsidP="002E3C0C">
      <w:r>
        <w:separator/>
      </w:r>
    </w:p>
  </w:endnote>
  <w:endnote w:type="continuationSeparator" w:id="0">
    <w:p w14:paraId="6574C1CF" w14:textId="77777777" w:rsidR="00F54FA9" w:rsidRDefault="00F54FA9" w:rsidP="002E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A72F" w14:textId="051CED20" w:rsidR="002E3C0C" w:rsidRDefault="002E3C0C" w:rsidP="002E3C0C">
    <w:pPr>
      <w:pStyle w:val="Footer"/>
      <w:jc w:val="center"/>
    </w:pPr>
    <w:r>
      <w:t>www.flourishproject.net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F09F" w14:textId="77777777" w:rsidR="00F54FA9" w:rsidRDefault="00F54FA9" w:rsidP="002E3C0C">
      <w:r>
        <w:separator/>
      </w:r>
    </w:p>
  </w:footnote>
  <w:footnote w:type="continuationSeparator" w:id="0">
    <w:p w14:paraId="7E59C3D3" w14:textId="77777777" w:rsidR="00F54FA9" w:rsidRDefault="00F54FA9" w:rsidP="002E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771" w14:textId="2CE09238" w:rsidR="002E3C0C" w:rsidRDefault="002E3C0C" w:rsidP="00950396">
    <w:pPr>
      <w:pStyle w:val="Header"/>
      <w:jc w:val="center"/>
    </w:pPr>
    <w:r>
      <w:t>Flourish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001"/>
    <w:multiLevelType w:val="multilevel"/>
    <w:tmpl w:val="8158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0258"/>
    <w:multiLevelType w:val="multilevel"/>
    <w:tmpl w:val="0C5E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D05D4"/>
    <w:multiLevelType w:val="multilevel"/>
    <w:tmpl w:val="748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A61BC"/>
    <w:multiLevelType w:val="multilevel"/>
    <w:tmpl w:val="8F2A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042D6"/>
    <w:multiLevelType w:val="multilevel"/>
    <w:tmpl w:val="9FA2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96402"/>
    <w:multiLevelType w:val="multilevel"/>
    <w:tmpl w:val="D4AA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94463"/>
    <w:multiLevelType w:val="multilevel"/>
    <w:tmpl w:val="B38A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158C7"/>
    <w:multiLevelType w:val="multilevel"/>
    <w:tmpl w:val="3D64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83FBB"/>
    <w:multiLevelType w:val="multilevel"/>
    <w:tmpl w:val="333E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E2F42"/>
    <w:multiLevelType w:val="multilevel"/>
    <w:tmpl w:val="536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F5072"/>
    <w:multiLevelType w:val="multilevel"/>
    <w:tmpl w:val="DC54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E2F9A"/>
    <w:multiLevelType w:val="multilevel"/>
    <w:tmpl w:val="D0BA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47523"/>
    <w:multiLevelType w:val="multilevel"/>
    <w:tmpl w:val="09E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601E4"/>
    <w:multiLevelType w:val="multilevel"/>
    <w:tmpl w:val="66F2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0661D"/>
    <w:multiLevelType w:val="multilevel"/>
    <w:tmpl w:val="69F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F3447"/>
    <w:multiLevelType w:val="multilevel"/>
    <w:tmpl w:val="986E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96CE5"/>
    <w:multiLevelType w:val="hybridMultilevel"/>
    <w:tmpl w:val="A4CA7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B173A3"/>
    <w:multiLevelType w:val="multilevel"/>
    <w:tmpl w:val="266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83DA5"/>
    <w:multiLevelType w:val="hybridMultilevel"/>
    <w:tmpl w:val="76F873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B669A5"/>
    <w:multiLevelType w:val="multilevel"/>
    <w:tmpl w:val="6F46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D43BF"/>
    <w:multiLevelType w:val="multilevel"/>
    <w:tmpl w:val="724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57674D"/>
    <w:multiLevelType w:val="multilevel"/>
    <w:tmpl w:val="A3E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D87307"/>
    <w:multiLevelType w:val="multilevel"/>
    <w:tmpl w:val="6342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6757AA"/>
    <w:multiLevelType w:val="multilevel"/>
    <w:tmpl w:val="A3F2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617BB"/>
    <w:multiLevelType w:val="multilevel"/>
    <w:tmpl w:val="462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0A6C9C"/>
    <w:multiLevelType w:val="multilevel"/>
    <w:tmpl w:val="E024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806E40"/>
    <w:multiLevelType w:val="multilevel"/>
    <w:tmpl w:val="9EBE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355554">
    <w:abstractNumId w:val="5"/>
  </w:num>
  <w:num w:numId="2" w16cid:durableId="2082751094">
    <w:abstractNumId w:val="24"/>
  </w:num>
  <w:num w:numId="3" w16cid:durableId="648749144">
    <w:abstractNumId w:val="26"/>
  </w:num>
  <w:num w:numId="4" w16cid:durableId="1796365468">
    <w:abstractNumId w:val="3"/>
  </w:num>
  <w:num w:numId="5" w16cid:durableId="1587684758">
    <w:abstractNumId w:val="1"/>
  </w:num>
  <w:num w:numId="6" w16cid:durableId="324480631">
    <w:abstractNumId w:val="9"/>
  </w:num>
  <w:num w:numId="7" w16cid:durableId="1351419754">
    <w:abstractNumId w:val="14"/>
  </w:num>
  <w:num w:numId="8" w16cid:durableId="1190141575">
    <w:abstractNumId w:val="6"/>
  </w:num>
  <w:num w:numId="9" w16cid:durableId="1377118287">
    <w:abstractNumId w:val="21"/>
  </w:num>
  <w:num w:numId="10" w16cid:durableId="1987200669">
    <w:abstractNumId w:val="0"/>
  </w:num>
  <w:num w:numId="11" w16cid:durableId="570190745">
    <w:abstractNumId w:val="17"/>
  </w:num>
  <w:num w:numId="12" w16cid:durableId="1419133819">
    <w:abstractNumId w:val="4"/>
  </w:num>
  <w:num w:numId="13" w16cid:durableId="208611046">
    <w:abstractNumId w:val="15"/>
  </w:num>
  <w:num w:numId="14" w16cid:durableId="1619482591">
    <w:abstractNumId w:val="10"/>
  </w:num>
  <w:num w:numId="15" w16cid:durableId="1313675613">
    <w:abstractNumId w:val="20"/>
  </w:num>
  <w:num w:numId="16" w16cid:durableId="1874688564">
    <w:abstractNumId w:val="19"/>
  </w:num>
  <w:num w:numId="17" w16cid:durableId="1051030895">
    <w:abstractNumId w:val="11"/>
  </w:num>
  <w:num w:numId="18" w16cid:durableId="1275476768">
    <w:abstractNumId w:val="12"/>
  </w:num>
  <w:num w:numId="19" w16cid:durableId="262342570">
    <w:abstractNumId w:val="25"/>
  </w:num>
  <w:num w:numId="20" w16cid:durableId="1155606118">
    <w:abstractNumId w:val="7"/>
  </w:num>
  <w:num w:numId="21" w16cid:durableId="1340617866">
    <w:abstractNumId w:val="2"/>
  </w:num>
  <w:num w:numId="22" w16cid:durableId="435056123">
    <w:abstractNumId w:val="22"/>
  </w:num>
  <w:num w:numId="23" w16cid:durableId="199831019">
    <w:abstractNumId w:val="23"/>
  </w:num>
  <w:num w:numId="24" w16cid:durableId="54593497">
    <w:abstractNumId w:val="13"/>
  </w:num>
  <w:num w:numId="25" w16cid:durableId="1213997620">
    <w:abstractNumId w:val="8"/>
  </w:num>
  <w:num w:numId="26" w16cid:durableId="509100971">
    <w:abstractNumId w:val="16"/>
  </w:num>
  <w:num w:numId="27" w16cid:durableId="7406375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0C"/>
    <w:rsid w:val="000D2A3D"/>
    <w:rsid w:val="002E3C0C"/>
    <w:rsid w:val="00395734"/>
    <w:rsid w:val="004A0545"/>
    <w:rsid w:val="005020DE"/>
    <w:rsid w:val="005613B4"/>
    <w:rsid w:val="005B3BC9"/>
    <w:rsid w:val="00606815"/>
    <w:rsid w:val="00646020"/>
    <w:rsid w:val="006620EA"/>
    <w:rsid w:val="007562FE"/>
    <w:rsid w:val="008F5FA5"/>
    <w:rsid w:val="00950396"/>
    <w:rsid w:val="00AE5EBE"/>
    <w:rsid w:val="00BF1A49"/>
    <w:rsid w:val="00C6422C"/>
    <w:rsid w:val="00C8020C"/>
    <w:rsid w:val="00DC228B"/>
    <w:rsid w:val="00EB2AB7"/>
    <w:rsid w:val="00F54FA9"/>
    <w:rsid w:val="00FF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3F80"/>
  <w15:chartTrackingRefBased/>
  <w15:docId w15:val="{4F8922F1-FEBC-D043-8576-58CCE07B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C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C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3C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3C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3C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3C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3C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C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C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3C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3C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3C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3C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3C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3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C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C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3C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C0C"/>
    <w:rPr>
      <w:i/>
      <w:iCs/>
      <w:color w:val="404040" w:themeColor="text1" w:themeTint="BF"/>
    </w:rPr>
  </w:style>
  <w:style w:type="paragraph" w:styleId="ListParagraph">
    <w:name w:val="List Paragraph"/>
    <w:basedOn w:val="Normal"/>
    <w:uiPriority w:val="34"/>
    <w:qFormat/>
    <w:rsid w:val="002E3C0C"/>
    <w:pPr>
      <w:ind w:left="720"/>
      <w:contextualSpacing/>
    </w:pPr>
  </w:style>
  <w:style w:type="character" w:styleId="IntenseEmphasis">
    <w:name w:val="Intense Emphasis"/>
    <w:basedOn w:val="DefaultParagraphFont"/>
    <w:uiPriority w:val="21"/>
    <w:qFormat/>
    <w:rsid w:val="002E3C0C"/>
    <w:rPr>
      <w:i/>
      <w:iCs/>
      <w:color w:val="0F4761" w:themeColor="accent1" w:themeShade="BF"/>
    </w:rPr>
  </w:style>
  <w:style w:type="paragraph" w:styleId="IntenseQuote">
    <w:name w:val="Intense Quote"/>
    <w:basedOn w:val="Normal"/>
    <w:next w:val="Normal"/>
    <w:link w:val="IntenseQuoteChar"/>
    <w:uiPriority w:val="30"/>
    <w:qFormat/>
    <w:rsid w:val="002E3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C0C"/>
    <w:rPr>
      <w:i/>
      <w:iCs/>
      <w:color w:val="0F4761" w:themeColor="accent1" w:themeShade="BF"/>
    </w:rPr>
  </w:style>
  <w:style w:type="character" w:styleId="IntenseReference">
    <w:name w:val="Intense Reference"/>
    <w:basedOn w:val="DefaultParagraphFont"/>
    <w:uiPriority w:val="32"/>
    <w:qFormat/>
    <w:rsid w:val="002E3C0C"/>
    <w:rPr>
      <w:b/>
      <w:bCs/>
      <w:smallCaps/>
      <w:color w:val="0F4761" w:themeColor="accent1" w:themeShade="BF"/>
      <w:spacing w:val="5"/>
    </w:rPr>
  </w:style>
  <w:style w:type="paragraph" w:styleId="Header">
    <w:name w:val="header"/>
    <w:basedOn w:val="Normal"/>
    <w:link w:val="HeaderChar"/>
    <w:uiPriority w:val="99"/>
    <w:unhideWhenUsed/>
    <w:rsid w:val="002E3C0C"/>
    <w:pPr>
      <w:tabs>
        <w:tab w:val="center" w:pos="4513"/>
        <w:tab w:val="right" w:pos="9026"/>
      </w:tabs>
    </w:pPr>
  </w:style>
  <w:style w:type="character" w:customStyle="1" w:styleId="HeaderChar">
    <w:name w:val="Header Char"/>
    <w:basedOn w:val="DefaultParagraphFont"/>
    <w:link w:val="Header"/>
    <w:uiPriority w:val="99"/>
    <w:rsid w:val="002E3C0C"/>
  </w:style>
  <w:style w:type="paragraph" w:styleId="Footer">
    <w:name w:val="footer"/>
    <w:basedOn w:val="Normal"/>
    <w:link w:val="FooterChar"/>
    <w:uiPriority w:val="99"/>
    <w:unhideWhenUsed/>
    <w:rsid w:val="002E3C0C"/>
    <w:pPr>
      <w:tabs>
        <w:tab w:val="center" w:pos="4513"/>
        <w:tab w:val="right" w:pos="9026"/>
      </w:tabs>
    </w:pPr>
  </w:style>
  <w:style w:type="character" w:customStyle="1" w:styleId="FooterChar">
    <w:name w:val="Footer Char"/>
    <w:basedOn w:val="DefaultParagraphFont"/>
    <w:link w:val="Footer"/>
    <w:uiPriority w:val="99"/>
    <w:rsid w:val="002E3C0C"/>
  </w:style>
  <w:style w:type="table" w:styleId="TableGrid">
    <w:name w:val="Table Grid"/>
    <w:basedOn w:val="TableNormal"/>
    <w:uiPriority w:val="39"/>
    <w:rsid w:val="00C8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2A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1132</Words>
  <Characters>7352</Characters>
  <Application>Microsoft Office Word</Application>
  <DocSecurity>0</DocSecurity>
  <Lines>147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Ellyatt</dc:creator>
  <cp:keywords/>
  <dc:description/>
  <cp:lastModifiedBy>Wendy Ellyatt</cp:lastModifiedBy>
  <cp:revision>2</cp:revision>
  <dcterms:created xsi:type="dcterms:W3CDTF">2025-10-10T05:30:00Z</dcterms:created>
  <dcterms:modified xsi:type="dcterms:W3CDTF">2025-10-10T05:30:00Z</dcterms:modified>
</cp:coreProperties>
</file>