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4DCD" w14:textId="7E33240E" w:rsidR="00C6422C" w:rsidRDefault="002E3C0C">
      <w:r>
        <w:rPr>
          <w:noProof/>
          <w:color w:val="0F9ED5" w:themeColor="accent4"/>
          <w:sz w:val="28"/>
          <w:szCs w:val="28"/>
        </w:rPr>
        <mc:AlternateContent>
          <mc:Choice Requires="wps">
            <w:drawing>
              <wp:anchor distT="0" distB="0" distL="114300" distR="114300" simplePos="0" relativeHeight="251659264" behindDoc="0" locked="0" layoutInCell="1" allowOverlap="1" wp14:anchorId="6AC2C53E" wp14:editId="17A95D0B">
                <wp:simplePos x="0" y="0"/>
                <wp:positionH relativeFrom="column">
                  <wp:posOffset>4340860</wp:posOffset>
                </wp:positionH>
                <wp:positionV relativeFrom="paragraph">
                  <wp:posOffset>-715569</wp:posOffset>
                </wp:positionV>
                <wp:extent cx="2130250" cy="932400"/>
                <wp:effectExtent l="0" t="0" r="3810" b="0"/>
                <wp:wrapNone/>
                <wp:docPr id="876036873" name="Text Box 1"/>
                <wp:cNvGraphicFramePr/>
                <a:graphic xmlns:a="http://schemas.openxmlformats.org/drawingml/2006/main">
                  <a:graphicData uri="http://schemas.microsoft.com/office/word/2010/wordprocessingShape">
                    <wps:wsp>
                      <wps:cNvSpPr txBox="1"/>
                      <wps:spPr>
                        <a:xfrm>
                          <a:off x="0" y="0"/>
                          <a:ext cx="2130250" cy="932400"/>
                        </a:xfrm>
                        <a:prstGeom prst="rect">
                          <a:avLst/>
                        </a:prstGeom>
                        <a:solidFill>
                          <a:schemeClr val="lt1"/>
                        </a:solidFill>
                        <a:ln w="6350">
                          <a:noFill/>
                        </a:ln>
                      </wps:spPr>
                      <wps:txbx>
                        <w:txbxContent>
                          <w:p w14:paraId="7713088B" w14:textId="77777777" w:rsidR="002E3C0C" w:rsidRDefault="002E3C0C" w:rsidP="002E3C0C">
                            <w:r w:rsidRPr="00032F4C">
                              <w:rPr>
                                <w:rFonts w:asciiTheme="minorHAnsi" w:eastAsia="Times New Roman" w:hAnsiTheme="minorHAnsi" w:cstheme="minorHAnsi"/>
                                <w:bCs/>
                                <w:noProof/>
                              </w:rPr>
                              <w:drawing>
                                <wp:inline distT="0" distB="0" distL="0" distR="0" wp14:anchorId="7B929580" wp14:editId="417E4357">
                                  <wp:extent cx="1940560" cy="885453"/>
                                  <wp:effectExtent l="0" t="0" r="2540" b="381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40560" cy="8854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2C53E" id="_x0000_t202" coordsize="21600,21600" o:spt="202" path="m,l,21600r21600,l21600,xe">
                <v:stroke joinstyle="miter"/>
                <v:path gradientshapeok="t" o:connecttype="rect"/>
              </v:shapetype>
              <v:shape id="Text Box 1" o:spid="_x0000_s1026" type="#_x0000_t202" style="position:absolute;margin-left:341.8pt;margin-top:-56.35pt;width:167.75pt;height: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" fillcolor="white [3201]" stroked="f" strokeweight=".5pt">
                <v:textbox>
                  <w:txbxContent>
                    <w:p w14:paraId="7713088B" w14:textId="77777777" w:rsidR="002E3C0C" w:rsidRDefault="002E3C0C" w:rsidP="002E3C0C">
                      <w:r w:rsidRPr="00032F4C">
                        <w:rPr>
                          <w:rFonts w:asciiTheme="minorHAnsi" w:eastAsia="Times New Roman" w:hAnsiTheme="minorHAnsi" w:cstheme="minorHAnsi"/>
                          <w:bCs/>
                          <w:noProof/>
                        </w:rPr>
                        <w:drawing>
                          <wp:inline distT="0" distB="0" distL="0" distR="0" wp14:anchorId="7B929580" wp14:editId="417E4357">
                            <wp:extent cx="1940560" cy="885453"/>
                            <wp:effectExtent l="0" t="0" r="2540" b="381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40560" cy="885453"/>
                                    </a:xfrm>
                                    <a:prstGeom prst="rect">
                                      <a:avLst/>
                                    </a:prstGeom>
                                  </pic:spPr>
                                </pic:pic>
                              </a:graphicData>
                            </a:graphic>
                          </wp:inline>
                        </w:drawing>
                      </w:r>
                    </w:p>
                  </w:txbxContent>
                </v:textbox>
              </v:shape>
            </w:pict>
          </mc:Fallback>
        </mc:AlternateContent>
      </w:r>
      <w:r>
        <w:rPr>
          <w:color w:val="0B769F" w:themeColor="accent4" w:themeShade="BF"/>
          <w:sz w:val="24"/>
          <w:szCs w:val="24"/>
        </w:rPr>
        <w:br/>
      </w:r>
      <w:r>
        <w:rPr>
          <w:color w:val="0B769F" w:themeColor="accent4" w:themeShade="BF"/>
          <w:sz w:val="24"/>
          <w:szCs w:val="24"/>
        </w:rPr>
        <w:br/>
      </w:r>
      <w:r w:rsidR="006620EA">
        <w:rPr>
          <w:color w:val="0B769F" w:themeColor="accent4" w:themeShade="BF"/>
          <w:sz w:val="24"/>
          <w:szCs w:val="24"/>
        </w:rPr>
        <w:t>ENGAGE NOVA SCOTIA QUALITY OF LIFE INDICATORS</w:t>
      </w:r>
      <w:r w:rsidRPr="002E3C0C">
        <w:rPr>
          <w:color w:val="0B769F" w:themeColor="accent4" w:themeShade="BF"/>
          <w:sz w:val="24"/>
          <w:szCs w:val="24"/>
        </w:rPr>
        <w:t xml:space="preserve"> EXAMPLE ESF EVALUATION</w:t>
      </w:r>
      <w:r>
        <w:br/>
        <w:t>_______________________________________________________________________________</w:t>
      </w:r>
    </w:p>
    <w:p w14:paraId="68D13262" w14:textId="3DF09A53" w:rsidR="006620EA" w:rsidRPr="006620EA" w:rsidRDefault="006620EA" w:rsidP="006620EA"/>
    <w:p w14:paraId="1C616562" w14:textId="525D4A60" w:rsidR="006620EA" w:rsidRPr="006620EA" w:rsidRDefault="006620EA" w:rsidP="006620EA">
      <w:pPr>
        <w:rPr>
          <w:b/>
          <w:bCs/>
        </w:rPr>
      </w:pPr>
      <w:r w:rsidRPr="006620EA">
        <w:rPr>
          <w:b/>
          <w:bCs/>
          <w:color w:val="0B769F" w:themeColor="accent4" w:themeShade="BF"/>
        </w:rPr>
        <w:t>1) ESF Domain Mapping (what the framework emphasises)</w:t>
      </w:r>
      <w:r>
        <w:rPr>
          <w:b/>
          <w:bCs/>
        </w:rPr>
        <w:br/>
      </w:r>
    </w:p>
    <w:p w14:paraId="5F7B0F81" w14:textId="5BC73377" w:rsidR="006620EA" w:rsidRPr="006620EA" w:rsidRDefault="006620EA" w:rsidP="006620EA">
      <w:r w:rsidRPr="006620EA">
        <w:rPr>
          <w:b/>
          <w:bCs/>
        </w:rPr>
        <w:t>Dominant: Human Capacities &amp; Potential</w:t>
      </w:r>
      <w:r>
        <w:rPr>
          <w:b/>
          <w:bCs/>
        </w:rPr>
        <w:br/>
      </w:r>
      <w:r w:rsidRPr="006620EA">
        <w:br/>
        <w:t>The Engage Nova Scotia survey captures detailed personal and social wellbeing indicators—physical and mental health, education, safety, and personal development—closely aligned with the ESF’s human capacities domain. The structure (adapted from the Canadian Index of Wellbeing) ensures continuity with national standards and includes time use, education, and health as central components.</w:t>
      </w:r>
      <w:r>
        <w:br/>
      </w:r>
    </w:p>
    <w:p w14:paraId="0F0EBCD4" w14:textId="3014E406" w:rsidR="006620EA" w:rsidRPr="006620EA" w:rsidRDefault="006620EA" w:rsidP="006620EA">
      <w:r w:rsidRPr="006620EA">
        <w:rPr>
          <w:b/>
          <w:bCs/>
        </w:rPr>
        <w:t>Strong: Circular &amp; Regenerative Economics</w:t>
      </w:r>
      <w:r>
        <w:rPr>
          <w:b/>
          <w:bCs/>
        </w:rPr>
        <w:br/>
      </w:r>
      <w:r w:rsidRPr="006620EA">
        <w:br/>
        <w:t>Living standards, housing, work, income, and access to services are well-represented. Engage NS explicitly links wellbeing to sustainable economic opportunity, affordability, and access, situating personal flourishing within broader community economics.</w:t>
      </w:r>
      <w:r>
        <w:br/>
      </w:r>
    </w:p>
    <w:p w14:paraId="436ED93F" w14:textId="3F5BF71D" w:rsidR="006620EA" w:rsidRPr="006620EA" w:rsidRDefault="006620EA" w:rsidP="006620EA">
      <w:r w:rsidRPr="006620EA">
        <w:rPr>
          <w:b/>
          <w:bCs/>
        </w:rPr>
        <w:t>Strong–Emerging: Cultural Values &amp; Identity</w:t>
      </w:r>
      <w:r>
        <w:rPr>
          <w:b/>
          <w:bCs/>
        </w:rPr>
        <w:br/>
      </w:r>
      <w:r w:rsidRPr="006620EA">
        <w:br/>
        <w:t xml:space="preserve">Community vitality, democratic engagement, and inclusion measures position culture and belonging near the centre of the framework. The 2025 survey expands this further, explicitly naming </w:t>
      </w:r>
      <w:r w:rsidRPr="006620EA">
        <w:rPr>
          <w:i/>
          <w:iCs/>
        </w:rPr>
        <w:t>trust, discrimination, belonging,</w:t>
      </w:r>
      <w:r w:rsidRPr="006620EA">
        <w:t xml:space="preserve"> and </w:t>
      </w:r>
      <w:r w:rsidRPr="006620EA">
        <w:rPr>
          <w:i/>
          <w:iCs/>
        </w:rPr>
        <w:t>connection to nature</w:t>
      </w:r>
      <w:r w:rsidRPr="006620EA">
        <w:t xml:space="preserve"> as key additions—marking a shift toward deeper relational and intercultural awareness, particularly regarding Mi’kmaq and African Nova Scotian communities.</w:t>
      </w:r>
      <w:r>
        <w:br/>
      </w:r>
    </w:p>
    <w:p w14:paraId="0E9123A0" w14:textId="6ADD92FA" w:rsidR="006620EA" w:rsidRPr="006620EA" w:rsidRDefault="006620EA" w:rsidP="006620EA">
      <w:r w:rsidRPr="006620EA">
        <w:rPr>
          <w:b/>
          <w:bCs/>
        </w:rPr>
        <w:t>Emerging: Natural Environment</w:t>
      </w:r>
      <w:r>
        <w:rPr>
          <w:b/>
          <w:bCs/>
        </w:rPr>
        <w:br/>
      </w:r>
      <w:r w:rsidRPr="006620EA">
        <w:br/>
        <w:t>“Our Environment” is one of the eight domains, but primarily focuses on condition-based measures (air, water, waste, energy). The 2025 version promises to include “connection to nature” and perceptions of environmental stewardship, signalling movement toward the ESF’s ecological consciousness dimension.</w:t>
      </w:r>
      <w:r>
        <w:br/>
      </w:r>
    </w:p>
    <w:p w14:paraId="71106D84" w14:textId="515C6DD7" w:rsidR="006620EA" w:rsidRPr="006620EA" w:rsidRDefault="006620EA" w:rsidP="006620EA">
      <w:r w:rsidRPr="006620EA">
        <w:rPr>
          <w:b/>
          <w:bCs/>
        </w:rPr>
        <w:t>Interpretation:</w:t>
      </w:r>
      <w:r>
        <w:rPr>
          <w:b/>
          <w:bCs/>
        </w:rPr>
        <w:br/>
      </w:r>
      <w:r w:rsidRPr="006620EA">
        <w:br/>
        <w:t xml:space="preserve">Nova Scotia’s framework is maturing from a wellbeing dashboard toward a </w:t>
      </w:r>
      <w:r w:rsidRPr="006620EA">
        <w:rPr>
          <w:b/>
          <w:bCs/>
        </w:rPr>
        <w:t>whole-of-society flourishing platform</w:t>
      </w:r>
      <w:r w:rsidRPr="006620EA">
        <w:t>, steadily incorporating relational, cultural, and ecological perspectives.</w:t>
      </w:r>
    </w:p>
    <w:p w14:paraId="1E464A3B" w14:textId="61EEB608" w:rsidR="006620EA" w:rsidRPr="006620EA" w:rsidRDefault="006620EA" w:rsidP="006620EA"/>
    <w:p w14:paraId="099A74DB" w14:textId="1DCA4473" w:rsidR="006620EA" w:rsidRPr="006620EA" w:rsidRDefault="006620EA" w:rsidP="006620EA">
      <w:pPr>
        <w:rPr>
          <w:b/>
          <w:bCs/>
        </w:rPr>
      </w:pPr>
      <w:r w:rsidRPr="006620EA">
        <w:rPr>
          <w:b/>
          <w:bCs/>
          <w:color w:val="0B769F" w:themeColor="accent4" w:themeShade="BF"/>
        </w:rPr>
        <w:t>2) Seven Levels of Human Motivation (where indicators sit on the flourishing spectrum)</w:t>
      </w:r>
      <w:r>
        <w:rPr>
          <w:b/>
          <w:bCs/>
        </w:rPr>
        <w:br/>
      </w:r>
    </w:p>
    <w:p w14:paraId="0581AA9D" w14:textId="7731BEE0" w:rsidR="006620EA" w:rsidRPr="006620EA" w:rsidRDefault="006620EA" w:rsidP="006620EA">
      <w:r w:rsidRPr="006620EA">
        <w:rPr>
          <w:b/>
          <w:bCs/>
        </w:rPr>
        <w:t>Security (Very strong):</w:t>
      </w:r>
      <w:r w:rsidRPr="006620EA">
        <w:br/>
        <w:t>Comprehensive measures of safety, food and housing security, and access to services.</w:t>
      </w:r>
      <w:r>
        <w:br/>
      </w:r>
    </w:p>
    <w:p w14:paraId="5A7AED39" w14:textId="77777777" w:rsidR="006620EA" w:rsidRPr="006620EA" w:rsidRDefault="006620EA" w:rsidP="006620EA">
      <w:r w:rsidRPr="006620EA">
        <w:rPr>
          <w:b/>
          <w:bCs/>
        </w:rPr>
        <w:t>Relationship (Strong):</w:t>
      </w:r>
      <w:r w:rsidRPr="006620EA">
        <w:br/>
        <w:t>Community vitality and belonging items are embedded throughout; the 2025 survey expands coverage on discrimination, inclusion, and interpersonal trust.</w:t>
      </w:r>
    </w:p>
    <w:p w14:paraId="38EB99A5" w14:textId="4A749D32" w:rsidR="006620EA" w:rsidRPr="006620EA" w:rsidRDefault="006620EA" w:rsidP="006620EA">
      <w:r w:rsidRPr="006620EA">
        <w:rPr>
          <w:b/>
          <w:bCs/>
        </w:rPr>
        <w:t>Independence (Strong):</w:t>
      </w:r>
      <w:r w:rsidRPr="006620EA">
        <w:br/>
        <w:t xml:space="preserve">Education, skills, and life control measures feature strongly; individuals’ sense of agency and future </w:t>
      </w:r>
      <w:r w:rsidRPr="006620EA">
        <w:lastRenderedPageBreak/>
        <w:t>confidence are tracked.</w:t>
      </w:r>
      <w:r>
        <w:br/>
      </w:r>
    </w:p>
    <w:p w14:paraId="41722509" w14:textId="76BF70BC" w:rsidR="006620EA" w:rsidRPr="006620EA" w:rsidRDefault="006620EA" w:rsidP="006620EA">
      <w:r w:rsidRPr="006620EA">
        <w:rPr>
          <w:b/>
          <w:bCs/>
        </w:rPr>
        <w:t>Engagement (Moderate–Strong):</w:t>
      </w:r>
      <w:r w:rsidRPr="006620EA">
        <w:br/>
        <w:t>Participation in cultural, democratic, and civic life is monitored, but engagement in creative or environmental stewardship remains limited.</w:t>
      </w:r>
      <w:r>
        <w:br/>
      </w:r>
    </w:p>
    <w:p w14:paraId="530398CB" w14:textId="2954D9E1" w:rsidR="006620EA" w:rsidRPr="006620EA" w:rsidRDefault="006620EA" w:rsidP="006620EA">
      <w:r w:rsidRPr="006620EA">
        <w:rPr>
          <w:b/>
          <w:bCs/>
        </w:rPr>
        <w:t>Fulfilment (Moderate):</w:t>
      </w:r>
      <w:r w:rsidRPr="006620EA">
        <w:br/>
        <w:t>Life satisfaction and sense of purpose items are present; the new survey introduces wellbeing language that supports higher-level psychological fulfilment.</w:t>
      </w:r>
      <w:r>
        <w:br/>
      </w:r>
    </w:p>
    <w:p w14:paraId="4C098B5F" w14:textId="373750B3" w:rsidR="006620EA" w:rsidRPr="006620EA" w:rsidRDefault="006620EA" w:rsidP="006620EA">
      <w:r w:rsidRPr="006620EA">
        <w:rPr>
          <w:b/>
          <w:bCs/>
        </w:rPr>
        <w:t>Contribution (Moderate–Emerging):</w:t>
      </w:r>
      <w:r w:rsidRPr="006620EA">
        <w:br/>
        <w:t>Volunteering, civic responsibility, and collective efficacy appear in democratic engagement but could evolve toward stewardship and prosocial collaboration.</w:t>
      </w:r>
      <w:r>
        <w:br/>
      </w:r>
    </w:p>
    <w:p w14:paraId="25349D5F" w14:textId="601FB333" w:rsidR="006620EA" w:rsidRPr="006620EA" w:rsidRDefault="006620EA" w:rsidP="006620EA">
      <w:r w:rsidRPr="006620EA">
        <w:rPr>
          <w:b/>
          <w:bCs/>
        </w:rPr>
        <w:t>Growth (Emerging):</w:t>
      </w:r>
      <w:r w:rsidRPr="006620EA">
        <w:br/>
        <w:t>Resilience, adaptability, and learning are being integrated—particularly in the post-pandemic 2025 iteration—but transformational growth is not yet central.</w:t>
      </w:r>
      <w:r>
        <w:br/>
      </w:r>
    </w:p>
    <w:p w14:paraId="6E860187" w14:textId="77777777" w:rsidR="006620EA" w:rsidRPr="006620EA" w:rsidRDefault="006620EA" w:rsidP="006620EA">
      <w:r w:rsidRPr="006620EA">
        <w:rPr>
          <w:b/>
          <w:bCs/>
        </w:rPr>
        <w:t>Interpretation:</w:t>
      </w:r>
      <w:r w:rsidRPr="006620EA">
        <w:br/>
        <w:t xml:space="preserve">The framework covers the full ESF motivational ladder but remains weighted toward </w:t>
      </w:r>
      <w:r w:rsidRPr="006620EA">
        <w:rPr>
          <w:i/>
          <w:iCs/>
        </w:rPr>
        <w:t>Security–Independence–Relationship</w:t>
      </w:r>
      <w:r w:rsidRPr="006620EA">
        <w:t xml:space="preserve">, with emerging movement into </w:t>
      </w:r>
      <w:r w:rsidRPr="006620EA">
        <w:rPr>
          <w:i/>
          <w:iCs/>
        </w:rPr>
        <w:t>Contribution</w:t>
      </w:r>
      <w:r w:rsidRPr="006620EA">
        <w:t xml:space="preserve"> and </w:t>
      </w:r>
      <w:r w:rsidRPr="006620EA">
        <w:rPr>
          <w:i/>
          <w:iCs/>
        </w:rPr>
        <w:t>Growth</w:t>
      </w:r>
      <w:r w:rsidRPr="006620EA">
        <w:t>.</w:t>
      </w:r>
    </w:p>
    <w:p w14:paraId="25F584D7" w14:textId="3B2A9301" w:rsidR="006620EA" w:rsidRPr="006620EA" w:rsidRDefault="006620EA" w:rsidP="006620EA"/>
    <w:p w14:paraId="56F5FC0E" w14:textId="6B566148" w:rsidR="006620EA" w:rsidRPr="006620EA" w:rsidRDefault="006620EA" w:rsidP="006620EA">
      <w:pPr>
        <w:rPr>
          <w:b/>
          <w:bCs/>
          <w:color w:val="0B769F" w:themeColor="accent4" w:themeShade="BF"/>
        </w:rPr>
      </w:pPr>
      <w:r w:rsidRPr="006620EA">
        <w:rPr>
          <w:b/>
          <w:bCs/>
          <w:color w:val="0B769F" w:themeColor="accent4" w:themeShade="BF"/>
        </w:rPr>
        <w:t>3) Integrated Flourishing Analysis (balance, responsiveness, and innovation)</w:t>
      </w:r>
      <w:r>
        <w:rPr>
          <w:b/>
          <w:bCs/>
          <w:color w:val="0B769F" w:themeColor="accent4" w:themeShade="BF"/>
        </w:rPr>
        <w:br/>
      </w:r>
    </w:p>
    <w:p w14:paraId="35D377A8" w14:textId="6BDEF1C7" w:rsidR="006620EA" w:rsidRPr="006620EA" w:rsidRDefault="006620EA" w:rsidP="006620EA">
      <w:r w:rsidRPr="006620EA">
        <w:rPr>
          <w:b/>
          <w:bCs/>
        </w:rPr>
        <w:t>Balance Check</w:t>
      </w:r>
      <w:r>
        <w:rPr>
          <w:b/>
          <w:bCs/>
        </w:rPr>
        <w:br/>
      </w:r>
    </w:p>
    <w:p w14:paraId="0CA24851" w14:textId="77777777" w:rsidR="006620EA" w:rsidRPr="006620EA" w:rsidRDefault="006620EA" w:rsidP="006620EA">
      <w:pPr>
        <w:numPr>
          <w:ilvl w:val="0"/>
          <w:numId w:val="18"/>
        </w:numPr>
      </w:pPr>
      <w:r w:rsidRPr="006620EA">
        <w:rPr>
          <w:b/>
          <w:bCs/>
        </w:rPr>
        <w:t>Human and economic wellbeing:</w:t>
      </w:r>
      <w:r w:rsidRPr="006620EA">
        <w:t xml:space="preserve"> robust and balanced.</w:t>
      </w:r>
    </w:p>
    <w:p w14:paraId="48BD0E90" w14:textId="77777777" w:rsidR="006620EA" w:rsidRPr="006620EA" w:rsidRDefault="006620EA" w:rsidP="006620EA">
      <w:pPr>
        <w:numPr>
          <w:ilvl w:val="0"/>
          <w:numId w:val="18"/>
        </w:numPr>
      </w:pPr>
      <w:r w:rsidRPr="006620EA">
        <w:rPr>
          <w:b/>
          <w:bCs/>
        </w:rPr>
        <w:t>Relational and cultural dimensions:</w:t>
      </w:r>
      <w:r w:rsidRPr="006620EA">
        <w:t xml:space="preserve"> strengthening rapidly.</w:t>
      </w:r>
    </w:p>
    <w:p w14:paraId="17E47A90" w14:textId="77777777" w:rsidR="006620EA" w:rsidRPr="006620EA" w:rsidRDefault="006620EA" w:rsidP="006620EA">
      <w:pPr>
        <w:numPr>
          <w:ilvl w:val="0"/>
          <w:numId w:val="18"/>
        </w:numPr>
      </w:pPr>
      <w:r w:rsidRPr="006620EA">
        <w:rPr>
          <w:b/>
          <w:bCs/>
        </w:rPr>
        <w:t>Ecological integration:</w:t>
      </w:r>
      <w:r w:rsidRPr="006620EA">
        <w:t xml:space="preserve"> shifting from environmental condition toward ecological belonging.</w:t>
      </w:r>
    </w:p>
    <w:p w14:paraId="333EAE65" w14:textId="62EE4B6A" w:rsidR="006620EA" w:rsidRPr="006620EA" w:rsidRDefault="006620EA" w:rsidP="006620EA">
      <w:pPr>
        <w:numPr>
          <w:ilvl w:val="0"/>
          <w:numId w:val="18"/>
        </w:numPr>
      </w:pPr>
      <w:r w:rsidRPr="006620EA">
        <w:rPr>
          <w:b/>
          <w:bCs/>
        </w:rPr>
        <w:t>Transformative and learning capacities:</w:t>
      </w:r>
      <w:r w:rsidRPr="006620EA">
        <w:t xml:space="preserve"> beginning to surface post-pandemic.</w:t>
      </w:r>
      <w:r>
        <w:br/>
      </w:r>
    </w:p>
    <w:p w14:paraId="06B5287E" w14:textId="6ACFFF8A" w:rsidR="006620EA" w:rsidRPr="006620EA" w:rsidRDefault="006620EA" w:rsidP="006620EA">
      <w:r w:rsidRPr="006620EA">
        <w:rPr>
          <w:b/>
          <w:bCs/>
        </w:rPr>
        <w:t>Responsiveness and participation</w:t>
      </w:r>
      <w:r>
        <w:rPr>
          <w:b/>
          <w:bCs/>
        </w:rPr>
        <w:br/>
      </w:r>
    </w:p>
    <w:p w14:paraId="6EDF2E68" w14:textId="77777777" w:rsidR="006620EA" w:rsidRPr="006620EA" w:rsidRDefault="006620EA" w:rsidP="006620EA">
      <w:pPr>
        <w:numPr>
          <w:ilvl w:val="0"/>
          <w:numId w:val="19"/>
        </w:numPr>
      </w:pPr>
      <w:r w:rsidRPr="006620EA">
        <w:t>The 2019 survey engaged 13,000 Nova Scotians, making it one of the largest provincial wellbeing datasets in Canada.</w:t>
      </w:r>
    </w:p>
    <w:p w14:paraId="0304344F" w14:textId="77777777" w:rsidR="006620EA" w:rsidRPr="006620EA" w:rsidRDefault="006620EA" w:rsidP="006620EA">
      <w:pPr>
        <w:numPr>
          <w:ilvl w:val="0"/>
          <w:numId w:val="19"/>
        </w:numPr>
      </w:pPr>
      <w:r w:rsidRPr="006620EA">
        <w:t xml:space="preserve">The 2025 survey represents an </w:t>
      </w:r>
      <w:r w:rsidRPr="006620EA">
        <w:rPr>
          <w:i/>
          <w:iCs/>
        </w:rPr>
        <w:t>iterative, participatory update</w:t>
      </w:r>
      <w:r w:rsidRPr="006620EA">
        <w:t>, co-designed with community partners, outreach teams, and equity-deserving groups.</w:t>
      </w:r>
    </w:p>
    <w:p w14:paraId="53577D29" w14:textId="488B4FC3" w:rsidR="006620EA" w:rsidRPr="006620EA" w:rsidRDefault="006620EA" w:rsidP="006620EA">
      <w:pPr>
        <w:numPr>
          <w:ilvl w:val="0"/>
          <w:numId w:val="19"/>
        </w:numPr>
      </w:pPr>
      <w:r w:rsidRPr="006620EA">
        <w:t>Engage NS employs mapping and analysis tools that allow open public access—an uncommon level of transparency and responsiveness globally.</w:t>
      </w:r>
      <w:r>
        <w:br/>
      </w:r>
    </w:p>
    <w:p w14:paraId="5E696C28" w14:textId="237FC4A2" w:rsidR="006620EA" w:rsidRPr="006620EA" w:rsidRDefault="006620EA" w:rsidP="006620EA">
      <w:r w:rsidRPr="006620EA">
        <w:rPr>
          <w:b/>
          <w:bCs/>
        </w:rPr>
        <w:t>Priority gaps</w:t>
      </w:r>
      <w:r>
        <w:rPr>
          <w:b/>
          <w:bCs/>
        </w:rPr>
        <w:br/>
      </w:r>
    </w:p>
    <w:p w14:paraId="0D671858" w14:textId="77777777" w:rsidR="006620EA" w:rsidRPr="006620EA" w:rsidRDefault="006620EA" w:rsidP="006620EA">
      <w:pPr>
        <w:numPr>
          <w:ilvl w:val="0"/>
          <w:numId w:val="20"/>
        </w:numPr>
      </w:pPr>
      <w:r w:rsidRPr="006620EA">
        <w:rPr>
          <w:b/>
          <w:bCs/>
        </w:rPr>
        <w:t>Ecological consciousness:</w:t>
      </w:r>
      <w:r w:rsidRPr="006620EA">
        <w:t xml:space="preserve"> Strengthen measures of connection with land, coast, and nature.</w:t>
      </w:r>
    </w:p>
    <w:p w14:paraId="471DAB54" w14:textId="77777777" w:rsidR="006620EA" w:rsidRPr="006620EA" w:rsidRDefault="006620EA" w:rsidP="006620EA">
      <w:pPr>
        <w:numPr>
          <w:ilvl w:val="0"/>
          <w:numId w:val="20"/>
        </w:numPr>
      </w:pPr>
      <w:r w:rsidRPr="006620EA">
        <w:rPr>
          <w:b/>
          <w:bCs/>
        </w:rPr>
        <w:t>Intergenerational wellbeing:</w:t>
      </w:r>
      <w:r w:rsidRPr="006620EA">
        <w:t xml:space="preserve"> Introduce indicators of age-friendly communities, youth agency, and elder participation.</w:t>
      </w:r>
    </w:p>
    <w:p w14:paraId="58429AAB" w14:textId="77777777" w:rsidR="006620EA" w:rsidRPr="006620EA" w:rsidRDefault="006620EA" w:rsidP="006620EA">
      <w:pPr>
        <w:numPr>
          <w:ilvl w:val="0"/>
          <w:numId w:val="20"/>
        </w:numPr>
      </w:pPr>
      <w:r w:rsidRPr="006620EA">
        <w:rPr>
          <w:b/>
          <w:bCs/>
        </w:rPr>
        <w:t>Systemic resilience:</w:t>
      </w:r>
      <w:r w:rsidRPr="006620EA">
        <w:t xml:space="preserve"> Integrate local adaptation, innovation, and learning indicators linked to climate and demographic change.</w:t>
      </w:r>
    </w:p>
    <w:p w14:paraId="0E347435" w14:textId="77777777" w:rsidR="006620EA" w:rsidRPr="006620EA" w:rsidRDefault="006620EA" w:rsidP="006620EA">
      <w:pPr>
        <w:numPr>
          <w:ilvl w:val="0"/>
          <w:numId w:val="20"/>
        </w:numPr>
      </w:pPr>
      <w:r w:rsidRPr="006620EA">
        <w:rPr>
          <w:b/>
          <w:bCs/>
        </w:rPr>
        <w:t>Prosocial contribution:</w:t>
      </w:r>
      <w:r w:rsidRPr="006620EA">
        <w:t xml:space="preserve"> Expand civic, volunteering, and community impact measures beyond participation counts.</w:t>
      </w:r>
    </w:p>
    <w:p w14:paraId="0D5ABFD1" w14:textId="77A737B1" w:rsidR="006620EA" w:rsidRPr="006620EA" w:rsidRDefault="006620EA" w:rsidP="006620EA">
      <w:pPr>
        <w:rPr>
          <w:color w:val="0B769F" w:themeColor="accent4" w:themeShade="BF"/>
        </w:rPr>
      </w:pPr>
    </w:p>
    <w:p w14:paraId="6D7D6EFE" w14:textId="65106E05" w:rsidR="006620EA" w:rsidRPr="006620EA" w:rsidRDefault="006620EA" w:rsidP="006620EA">
      <w:pPr>
        <w:rPr>
          <w:b/>
          <w:bCs/>
        </w:rPr>
      </w:pPr>
      <w:r w:rsidRPr="006620EA">
        <w:rPr>
          <w:b/>
          <w:bCs/>
          <w:color w:val="0B769F" w:themeColor="accent4" w:themeShade="BF"/>
        </w:rPr>
        <w:lastRenderedPageBreak/>
        <w:t>4) ESF Alignment Summary</w:t>
      </w:r>
      <w:r>
        <w:rPr>
          <w:b/>
          <w:bCs/>
        </w:rPr>
        <w:br/>
      </w:r>
    </w:p>
    <w:tbl>
      <w:tblPr>
        <w:tblStyle w:val="TableGrid"/>
        <w:tblW w:w="0" w:type="auto"/>
        <w:tblLook w:val="04A0" w:firstRow="1" w:lastRow="0" w:firstColumn="1" w:lastColumn="0" w:noHBand="0" w:noVBand="1"/>
      </w:tblPr>
      <w:tblGrid>
        <w:gridCol w:w="2165"/>
        <w:gridCol w:w="2219"/>
        <w:gridCol w:w="4632"/>
      </w:tblGrid>
      <w:tr w:rsidR="006620EA" w:rsidRPr="006620EA" w14:paraId="286211E6" w14:textId="77777777" w:rsidTr="006620EA">
        <w:tc>
          <w:tcPr>
            <w:tcW w:w="0" w:type="auto"/>
            <w:hideMark/>
          </w:tcPr>
          <w:p w14:paraId="0017FDB7" w14:textId="77777777" w:rsidR="006620EA" w:rsidRPr="006620EA" w:rsidRDefault="006620EA" w:rsidP="006620EA">
            <w:pPr>
              <w:rPr>
                <w:b/>
                <w:bCs/>
              </w:rPr>
            </w:pPr>
            <w:r w:rsidRPr="006620EA">
              <w:rPr>
                <w:b/>
                <w:bCs/>
              </w:rPr>
              <w:t>ESF Domain</w:t>
            </w:r>
          </w:p>
        </w:tc>
        <w:tc>
          <w:tcPr>
            <w:tcW w:w="0" w:type="auto"/>
            <w:hideMark/>
          </w:tcPr>
          <w:p w14:paraId="336CF720" w14:textId="77777777" w:rsidR="006620EA" w:rsidRPr="006620EA" w:rsidRDefault="006620EA" w:rsidP="006620EA">
            <w:pPr>
              <w:rPr>
                <w:b/>
                <w:bCs/>
              </w:rPr>
            </w:pPr>
            <w:r w:rsidRPr="006620EA">
              <w:rPr>
                <w:b/>
                <w:bCs/>
              </w:rPr>
              <w:t>Representation (2025 direction)</w:t>
            </w:r>
          </w:p>
        </w:tc>
        <w:tc>
          <w:tcPr>
            <w:tcW w:w="0" w:type="auto"/>
            <w:hideMark/>
          </w:tcPr>
          <w:p w14:paraId="76514F74" w14:textId="77777777" w:rsidR="006620EA" w:rsidRPr="006620EA" w:rsidRDefault="006620EA" w:rsidP="006620EA">
            <w:pPr>
              <w:rPr>
                <w:b/>
                <w:bCs/>
              </w:rPr>
            </w:pPr>
            <w:r w:rsidRPr="006620EA">
              <w:rPr>
                <w:b/>
                <w:bCs/>
              </w:rPr>
              <w:t>Notes</w:t>
            </w:r>
          </w:p>
        </w:tc>
      </w:tr>
      <w:tr w:rsidR="006620EA" w:rsidRPr="006620EA" w14:paraId="7863C0C4" w14:textId="77777777" w:rsidTr="006620EA">
        <w:tc>
          <w:tcPr>
            <w:tcW w:w="0" w:type="auto"/>
            <w:hideMark/>
          </w:tcPr>
          <w:p w14:paraId="555568AA" w14:textId="77777777" w:rsidR="006620EA" w:rsidRPr="006620EA" w:rsidRDefault="006620EA" w:rsidP="006620EA">
            <w:r w:rsidRPr="006620EA">
              <w:t>Human Capacities &amp; Potential</w:t>
            </w:r>
          </w:p>
        </w:tc>
        <w:tc>
          <w:tcPr>
            <w:tcW w:w="0" w:type="auto"/>
            <w:hideMark/>
          </w:tcPr>
          <w:p w14:paraId="489D1FDE" w14:textId="77777777" w:rsidR="006620EA" w:rsidRPr="006620EA" w:rsidRDefault="006620EA" w:rsidP="006620EA">
            <w:r w:rsidRPr="006620EA">
              <w:t>Very strong</w:t>
            </w:r>
          </w:p>
        </w:tc>
        <w:tc>
          <w:tcPr>
            <w:tcW w:w="0" w:type="auto"/>
            <w:hideMark/>
          </w:tcPr>
          <w:p w14:paraId="4EDC66E2" w14:textId="77777777" w:rsidR="006620EA" w:rsidRPr="006620EA" w:rsidRDefault="006620EA" w:rsidP="006620EA">
            <w:r w:rsidRPr="006620EA">
              <w:t>Physical, mental, educational wellbeing central</w:t>
            </w:r>
          </w:p>
        </w:tc>
      </w:tr>
      <w:tr w:rsidR="006620EA" w:rsidRPr="006620EA" w14:paraId="01F93CE3" w14:textId="77777777" w:rsidTr="006620EA">
        <w:tc>
          <w:tcPr>
            <w:tcW w:w="0" w:type="auto"/>
            <w:hideMark/>
          </w:tcPr>
          <w:p w14:paraId="25E72926" w14:textId="77777777" w:rsidR="006620EA" w:rsidRPr="006620EA" w:rsidRDefault="006620EA" w:rsidP="006620EA">
            <w:r w:rsidRPr="006620EA">
              <w:t>Cultural Values &amp; Identity</w:t>
            </w:r>
          </w:p>
        </w:tc>
        <w:tc>
          <w:tcPr>
            <w:tcW w:w="0" w:type="auto"/>
            <w:hideMark/>
          </w:tcPr>
          <w:p w14:paraId="302259B8" w14:textId="77777777" w:rsidR="006620EA" w:rsidRPr="006620EA" w:rsidRDefault="006620EA" w:rsidP="006620EA">
            <w:r w:rsidRPr="006620EA">
              <w:t>Strong–Emerging</w:t>
            </w:r>
          </w:p>
        </w:tc>
        <w:tc>
          <w:tcPr>
            <w:tcW w:w="0" w:type="auto"/>
            <w:hideMark/>
          </w:tcPr>
          <w:p w14:paraId="30D8A330" w14:textId="77777777" w:rsidR="006620EA" w:rsidRPr="006620EA" w:rsidRDefault="006620EA" w:rsidP="006620EA">
            <w:r w:rsidRPr="006620EA">
              <w:t>Belonging, inclusion, discrimination, Mi’kmaq and African Nova Scotian identity measures expanding</w:t>
            </w:r>
          </w:p>
        </w:tc>
      </w:tr>
      <w:tr w:rsidR="006620EA" w:rsidRPr="006620EA" w14:paraId="4113E164" w14:textId="77777777" w:rsidTr="006620EA">
        <w:tc>
          <w:tcPr>
            <w:tcW w:w="0" w:type="auto"/>
            <w:hideMark/>
          </w:tcPr>
          <w:p w14:paraId="51A178C7" w14:textId="77777777" w:rsidR="006620EA" w:rsidRPr="006620EA" w:rsidRDefault="006620EA" w:rsidP="006620EA">
            <w:r w:rsidRPr="006620EA">
              <w:t>Natural Environment</w:t>
            </w:r>
          </w:p>
        </w:tc>
        <w:tc>
          <w:tcPr>
            <w:tcW w:w="0" w:type="auto"/>
            <w:hideMark/>
          </w:tcPr>
          <w:p w14:paraId="3AA3397F" w14:textId="77777777" w:rsidR="006620EA" w:rsidRPr="006620EA" w:rsidRDefault="006620EA" w:rsidP="006620EA">
            <w:r w:rsidRPr="006620EA">
              <w:t>Moderate–Emerging</w:t>
            </w:r>
          </w:p>
        </w:tc>
        <w:tc>
          <w:tcPr>
            <w:tcW w:w="0" w:type="auto"/>
            <w:hideMark/>
          </w:tcPr>
          <w:p w14:paraId="22E18765" w14:textId="77777777" w:rsidR="006620EA" w:rsidRPr="006620EA" w:rsidRDefault="006620EA" w:rsidP="006620EA">
            <w:r w:rsidRPr="006620EA">
              <w:t>Shift toward “connection to nature” alongside environmental condition</w:t>
            </w:r>
          </w:p>
        </w:tc>
      </w:tr>
      <w:tr w:rsidR="006620EA" w:rsidRPr="006620EA" w14:paraId="17E9F5EA" w14:textId="77777777" w:rsidTr="006620EA">
        <w:tc>
          <w:tcPr>
            <w:tcW w:w="0" w:type="auto"/>
            <w:hideMark/>
          </w:tcPr>
          <w:p w14:paraId="32BA9FE8" w14:textId="77777777" w:rsidR="006620EA" w:rsidRPr="006620EA" w:rsidRDefault="006620EA" w:rsidP="006620EA">
            <w:r w:rsidRPr="006620EA">
              <w:t>Circular &amp; Regenerative Economics</w:t>
            </w:r>
          </w:p>
        </w:tc>
        <w:tc>
          <w:tcPr>
            <w:tcW w:w="0" w:type="auto"/>
            <w:hideMark/>
          </w:tcPr>
          <w:p w14:paraId="3C95544F" w14:textId="77777777" w:rsidR="006620EA" w:rsidRPr="006620EA" w:rsidRDefault="006620EA" w:rsidP="006620EA">
            <w:r w:rsidRPr="006620EA">
              <w:t>Strong</w:t>
            </w:r>
          </w:p>
        </w:tc>
        <w:tc>
          <w:tcPr>
            <w:tcW w:w="0" w:type="auto"/>
            <w:hideMark/>
          </w:tcPr>
          <w:p w14:paraId="47D02A0C" w14:textId="77777777" w:rsidR="006620EA" w:rsidRPr="006620EA" w:rsidRDefault="006620EA" w:rsidP="006620EA">
            <w:r w:rsidRPr="006620EA">
              <w:t>Income, housing, access, sustainability well captured</w:t>
            </w:r>
          </w:p>
        </w:tc>
      </w:tr>
    </w:tbl>
    <w:p w14:paraId="058BC689" w14:textId="085722CC" w:rsidR="006620EA" w:rsidRPr="006620EA" w:rsidRDefault="006620EA" w:rsidP="006620EA">
      <w:pPr>
        <w:rPr>
          <w:vanish/>
        </w:rPr>
      </w:pPr>
      <w:r>
        <w:br/>
      </w:r>
    </w:p>
    <w:tbl>
      <w:tblPr>
        <w:tblStyle w:val="TableGrid"/>
        <w:tblW w:w="9072" w:type="dxa"/>
        <w:tblLook w:val="04A0" w:firstRow="1" w:lastRow="0" w:firstColumn="1" w:lastColumn="0" w:noHBand="0" w:noVBand="1"/>
      </w:tblPr>
      <w:tblGrid>
        <w:gridCol w:w="2110"/>
        <w:gridCol w:w="2268"/>
        <w:gridCol w:w="4694"/>
      </w:tblGrid>
      <w:tr w:rsidR="006620EA" w:rsidRPr="006620EA" w14:paraId="4E313419" w14:textId="77777777" w:rsidTr="006620EA">
        <w:tc>
          <w:tcPr>
            <w:tcW w:w="2082" w:type="dxa"/>
            <w:hideMark/>
          </w:tcPr>
          <w:p w14:paraId="5E4C35E8" w14:textId="77777777" w:rsidR="006620EA" w:rsidRPr="006620EA" w:rsidRDefault="006620EA" w:rsidP="006620EA">
            <w:pPr>
              <w:rPr>
                <w:b/>
                <w:bCs/>
              </w:rPr>
            </w:pPr>
            <w:r w:rsidRPr="006620EA">
              <w:rPr>
                <w:b/>
                <w:bCs/>
              </w:rPr>
              <w:t>Motivation Level</w:t>
            </w:r>
          </w:p>
        </w:tc>
        <w:tc>
          <w:tcPr>
            <w:tcW w:w="2238" w:type="dxa"/>
            <w:hideMark/>
          </w:tcPr>
          <w:p w14:paraId="2CBCF1B4" w14:textId="77777777" w:rsidR="006620EA" w:rsidRPr="006620EA" w:rsidRDefault="006620EA" w:rsidP="006620EA">
            <w:pPr>
              <w:rPr>
                <w:b/>
                <w:bCs/>
              </w:rPr>
            </w:pPr>
            <w:r w:rsidRPr="006620EA">
              <w:rPr>
                <w:b/>
                <w:bCs/>
              </w:rPr>
              <w:t>Representation</w:t>
            </w:r>
          </w:p>
        </w:tc>
        <w:tc>
          <w:tcPr>
            <w:tcW w:w="4632" w:type="dxa"/>
            <w:hideMark/>
          </w:tcPr>
          <w:p w14:paraId="679159DC" w14:textId="77777777" w:rsidR="006620EA" w:rsidRPr="006620EA" w:rsidRDefault="006620EA" w:rsidP="006620EA">
            <w:pPr>
              <w:rPr>
                <w:b/>
                <w:bCs/>
              </w:rPr>
            </w:pPr>
            <w:r w:rsidRPr="006620EA">
              <w:rPr>
                <w:b/>
                <w:bCs/>
              </w:rPr>
              <w:t>Notes</w:t>
            </w:r>
          </w:p>
        </w:tc>
      </w:tr>
      <w:tr w:rsidR="006620EA" w:rsidRPr="006620EA" w14:paraId="5AC32894" w14:textId="77777777" w:rsidTr="006620EA">
        <w:tc>
          <w:tcPr>
            <w:tcW w:w="2082" w:type="dxa"/>
            <w:hideMark/>
          </w:tcPr>
          <w:p w14:paraId="50A8817E" w14:textId="77777777" w:rsidR="006620EA" w:rsidRPr="006620EA" w:rsidRDefault="006620EA" w:rsidP="006620EA">
            <w:r w:rsidRPr="006620EA">
              <w:t>Security</w:t>
            </w:r>
          </w:p>
        </w:tc>
        <w:tc>
          <w:tcPr>
            <w:tcW w:w="2238" w:type="dxa"/>
            <w:hideMark/>
          </w:tcPr>
          <w:p w14:paraId="6B7C9384" w14:textId="77777777" w:rsidR="006620EA" w:rsidRPr="006620EA" w:rsidRDefault="006620EA" w:rsidP="006620EA">
            <w:r w:rsidRPr="006620EA">
              <w:t>Very strong</w:t>
            </w:r>
          </w:p>
        </w:tc>
        <w:tc>
          <w:tcPr>
            <w:tcW w:w="4632" w:type="dxa"/>
            <w:hideMark/>
          </w:tcPr>
          <w:p w14:paraId="25341981" w14:textId="77777777" w:rsidR="006620EA" w:rsidRPr="006620EA" w:rsidRDefault="006620EA" w:rsidP="006620EA">
            <w:r w:rsidRPr="006620EA">
              <w:t>Safety, income, housing, access to care</w:t>
            </w:r>
          </w:p>
        </w:tc>
      </w:tr>
      <w:tr w:rsidR="006620EA" w:rsidRPr="006620EA" w14:paraId="1B0B7514" w14:textId="77777777" w:rsidTr="006620EA">
        <w:tc>
          <w:tcPr>
            <w:tcW w:w="2082" w:type="dxa"/>
            <w:hideMark/>
          </w:tcPr>
          <w:p w14:paraId="0BF890E2" w14:textId="77777777" w:rsidR="006620EA" w:rsidRPr="006620EA" w:rsidRDefault="006620EA" w:rsidP="006620EA">
            <w:r w:rsidRPr="006620EA">
              <w:t>Relationship</w:t>
            </w:r>
          </w:p>
        </w:tc>
        <w:tc>
          <w:tcPr>
            <w:tcW w:w="2238" w:type="dxa"/>
            <w:hideMark/>
          </w:tcPr>
          <w:p w14:paraId="59DADCC8" w14:textId="77777777" w:rsidR="006620EA" w:rsidRPr="006620EA" w:rsidRDefault="006620EA" w:rsidP="006620EA">
            <w:r w:rsidRPr="006620EA">
              <w:t>Strong</w:t>
            </w:r>
          </w:p>
        </w:tc>
        <w:tc>
          <w:tcPr>
            <w:tcW w:w="4632" w:type="dxa"/>
            <w:hideMark/>
          </w:tcPr>
          <w:p w14:paraId="3C54C4B7" w14:textId="77777777" w:rsidR="006620EA" w:rsidRPr="006620EA" w:rsidRDefault="006620EA" w:rsidP="006620EA">
            <w:r w:rsidRPr="006620EA">
              <w:t>Community vitality, trust, inclusion</w:t>
            </w:r>
          </w:p>
        </w:tc>
      </w:tr>
      <w:tr w:rsidR="006620EA" w:rsidRPr="006620EA" w14:paraId="262F45D1" w14:textId="77777777" w:rsidTr="006620EA">
        <w:tc>
          <w:tcPr>
            <w:tcW w:w="2082" w:type="dxa"/>
            <w:hideMark/>
          </w:tcPr>
          <w:p w14:paraId="21973684" w14:textId="77777777" w:rsidR="006620EA" w:rsidRPr="006620EA" w:rsidRDefault="006620EA" w:rsidP="006620EA">
            <w:r w:rsidRPr="006620EA">
              <w:t>Independence</w:t>
            </w:r>
          </w:p>
        </w:tc>
        <w:tc>
          <w:tcPr>
            <w:tcW w:w="2238" w:type="dxa"/>
            <w:hideMark/>
          </w:tcPr>
          <w:p w14:paraId="41132CE9" w14:textId="77777777" w:rsidR="006620EA" w:rsidRPr="006620EA" w:rsidRDefault="006620EA" w:rsidP="006620EA">
            <w:r w:rsidRPr="006620EA">
              <w:t>Strong</w:t>
            </w:r>
          </w:p>
        </w:tc>
        <w:tc>
          <w:tcPr>
            <w:tcW w:w="4632" w:type="dxa"/>
            <w:hideMark/>
          </w:tcPr>
          <w:p w14:paraId="17AEC103" w14:textId="77777777" w:rsidR="006620EA" w:rsidRPr="006620EA" w:rsidRDefault="006620EA" w:rsidP="006620EA">
            <w:r w:rsidRPr="006620EA">
              <w:t>Education, agency, employment</w:t>
            </w:r>
          </w:p>
        </w:tc>
      </w:tr>
      <w:tr w:rsidR="006620EA" w:rsidRPr="006620EA" w14:paraId="6A95EC04" w14:textId="77777777" w:rsidTr="006620EA">
        <w:tc>
          <w:tcPr>
            <w:tcW w:w="2082" w:type="dxa"/>
            <w:hideMark/>
          </w:tcPr>
          <w:p w14:paraId="7E961F77" w14:textId="77777777" w:rsidR="006620EA" w:rsidRPr="006620EA" w:rsidRDefault="006620EA" w:rsidP="006620EA">
            <w:r w:rsidRPr="006620EA">
              <w:t>Engagement</w:t>
            </w:r>
          </w:p>
        </w:tc>
        <w:tc>
          <w:tcPr>
            <w:tcW w:w="2238" w:type="dxa"/>
            <w:hideMark/>
          </w:tcPr>
          <w:p w14:paraId="60420F71" w14:textId="77777777" w:rsidR="006620EA" w:rsidRPr="006620EA" w:rsidRDefault="006620EA" w:rsidP="006620EA">
            <w:r w:rsidRPr="006620EA">
              <w:t>Moderate–Strong</w:t>
            </w:r>
          </w:p>
        </w:tc>
        <w:tc>
          <w:tcPr>
            <w:tcW w:w="4632" w:type="dxa"/>
            <w:hideMark/>
          </w:tcPr>
          <w:p w14:paraId="61573B97" w14:textId="77777777" w:rsidR="006620EA" w:rsidRPr="006620EA" w:rsidRDefault="006620EA" w:rsidP="006620EA">
            <w:r w:rsidRPr="006620EA">
              <w:t>Participation and civic activity</w:t>
            </w:r>
          </w:p>
        </w:tc>
      </w:tr>
      <w:tr w:rsidR="006620EA" w:rsidRPr="006620EA" w14:paraId="0278CB76" w14:textId="77777777" w:rsidTr="006620EA">
        <w:tc>
          <w:tcPr>
            <w:tcW w:w="2082" w:type="dxa"/>
            <w:hideMark/>
          </w:tcPr>
          <w:p w14:paraId="148C3F54" w14:textId="77777777" w:rsidR="006620EA" w:rsidRPr="006620EA" w:rsidRDefault="006620EA" w:rsidP="006620EA">
            <w:r w:rsidRPr="006620EA">
              <w:t>Fulfilment</w:t>
            </w:r>
          </w:p>
        </w:tc>
        <w:tc>
          <w:tcPr>
            <w:tcW w:w="2238" w:type="dxa"/>
            <w:hideMark/>
          </w:tcPr>
          <w:p w14:paraId="6366463E" w14:textId="77777777" w:rsidR="006620EA" w:rsidRPr="006620EA" w:rsidRDefault="006620EA" w:rsidP="006620EA">
            <w:r w:rsidRPr="006620EA">
              <w:t>Moderate</w:t>
            </w:r>
          </w:p>
        </w:tc>
        <w:tc>
          <w:tcPr>
            <w:tcW w:w="4632" w:type="dxa"/>
            <w:hideMark/>
          </w:tcPr>
          <w:p w14:paraId="65A1925C" w14:textId="77777777" w:rsidR="006620EA" w:rsidRPr="006620EA" w:rsidRDefault="006620EA" w:rsidP="006620EA">
            <w:r w:rsidRPr="006620EA">
              <w:t>Life satisfaction, purpose</w:t>
            </w:r>
          </w:p>
        </w:tc>
      </w:tr>
      <w:tr w:rsidR="006620EA" w:rsidRPr="006620EA" w14:paraId="37125988" w14:textId="77777777" w:rsidTr="006620EA">
        <w:tc>
          <w:tcPr>
            <w:tcW w:w="2082" w:type="dxa"/>
            <w:hideMark/>
          </w:tcPr>
          <w:p w14:paraId="6F2220E4" w14:textId="77777777" w:rsidR="006620EA" w:rsidRPr="006620EA" w:rsidRDefault="006620EA" w:rsidP="006620EA">
            <w:r w:rsidRPr="006620EA">
              <w:t>Contribution</w:t>
            </w:r>
          </w:p>
        </w:tc>
        <w:tc>
          <w:tcPr>
            <w:tcW w:w="2238" w:type="dxa"/>
            <w:hideMark/>
          </w:tcPr>
          <w:p w14:paraId="0B54BF6C" w14:textId="77777777" w:rsidR="006620EA" w:rsidRPr="006620EA" w:rsidRDefault="006620EA" w:rsidP="006620EA">
            <w:r w:rsidRPr="006620EA">
              <w:t>Moderate–Emerging</w:t>
            </w:r>
          </w:p>
        </w:tc>
        <w:tc>
          <w:tcPr>
            <w:tcW w:w="4632" w:type="dxa"/>
            <w:hideMark/>
          </w:tcPr>
          <w:p w14:paraId="4D404E8D" w14:textId="77777777" w:rsidR="006620EA" w:rsidRPr="006620EA" w:rsidRDefault="006620EA" w:rsidP="006620EA">
            <w:r w:rsidRPr="006620EA">
              <w:t>Civic action, volunteering</w:t>
            </w:r>
          </w:p>
        </w:tc>
      </w:tr>
      <w:tr w:rsidR="006620EA" w:rsidRPr="006620EA" w14:paraId="0BE4FD76" w14:textId="77777777" w:rsidTr="006620EA">
        <w:tc>
          <w:tcPr>
            <w:tcW w:w="2082" w:type="dxa"/>
            <w:hideMark/>
          </w:tcPr>
          <w:p w14:paraId="560175DF" w14:textId="77777777" w:rsidR="006620EA" w:rsidRPr="006620EA" w:rsidRDefault="006620EA" w:rsidP="006620EA">
            <w:r w:rsidRPr="006620EA">
              <w:t>Growth</w:t>
            </w:r>
          </w:p>
        </w:tc>
        <w:tc>
          <w:tcPr>
            <w:tcW w:w="2238" w:type="dxa"/>
            <w:hideMark/>
          </w:tcPr>
          <w:p w14:paraId="1113C016" w14:textId="77777777" w:rsidR="006620EA" w:rsidRPr="006620EA" w:rsidRDefault="006620EA" w:rsidP="006620EA">
            <w:r w:rsidRPr="006620EA">
              <w:t>Emerging</w:t>
            </w:r>
          </w:p>
        </w:tc>
        <w:tc>
          <w:tcPr>
            <w:tcW w:w="4632" w:type="dxa"/>
            <w:hideMark/>
          </w:tcPr>
          <w:p w14:paraId="3DBCB7D3" w14:textId="77777777" w:rsidR="006620EA" w:rsidRPr="006620EA" w:rsidRDefault="006620EA" w:rsidP="006620EA">
            <w:r w:rsidRPr="006620EA">
              <w:t>Resilience, adaptability, learning capacities</w:t>
            </w:r>
          </w:p>
        </w:tc>
      </w:tr>
    </w:tbl>
    <w:p w14:paraId="6ADC493E" w14:textId="1138DFCD" w:rsidR="006620EA" w:rsidRPr="006620EA" w:rsidRDefault="006620EA" w:rsidP="006620EA"/>
    <w:p w14:paraId="1FF2C444" w14:textId="4DEE7039" w:rsidR="006620EA" w:rsidRPr="006620EA" w:rsidRDefault="006620EA" w:rsidP="006620EA">
      <w:pPr>
        <w:rPr>
          <w:b/>
          <w:bCs/>
        </w:rPr>
      </w:pPr>
      <w:r w:rsidRPr="006620EA">
        <w:rPr>
          <w:b/>
          <w:bCs/>
          <w:color w:val="0B769F" w:themeColor="accent4" w:themeShade="BF"/>
        </w:rPr>
        <w:t>5) Overall ESF Interpretation</w:t>
      </w:r>
      <w:r>
        <w:rPr>
          <w:b/>
          <w:bCs/>
        </w:rPr>
        <w:br/>
      </w:r>
    </w:p>
    <w:p w14:paraId="3F601808" w14:textId="4F540FC0" w:rsidR="006620EA" w:rsidRPr="006620EA" w:rsidRDefault="006620EA" w:rsidP="006620EA">
      <w:r w:rsidRPr="006620EA">
        <w:t xml:space="preserve">The </w:t>
      </w:r>
      <w:r w:rsidRPr="006620EA">
        <w:rPr>
          <w:b/>
          <w:bCs/>
        </w:rPr>
        <w:t>Nova Scotia Community Wellbeing Initiative</w:t>
      </w:r>
      <w:r w:rsidRPr="006620EA">
        <w:t xml:space="preserve"> now stands as a </w:t>
      </w:r>
      <w:r w:rsidRPr="006620EA">
        <w:rPr>
          <w:b/>
          <w:bCs/>
        </w:rPr>
        <w:t>global exemplar of participatory and responsive wellbeing measurement</w:t>
      </w:r>
      <w:r w:rsidRPr="006620EA">
        <w:t>.</w:t>
      </w:r>
      <w:r>
        <w:br/>
      </w:r>
      <w:r w:rsidRPr="006620EA">
        <w:br/>
        <w:t xml:space="preserve">Unlike many top-down indices, Engage Nova Scotia operates as a </w:t>
      </w:r>
      <w:r w:rsidRPr="006620EA">
        <w:rPr>
          <w:b/>
          <w:bCs/>
        </w:rPr>
        <w:t>civic infrastructure for collective learning</w:t>
      </w:r>
      <w:r w:rsidRPr="006620EA">
        <w:t xml:space="preserve">—one that measures wellbeing </w:t>
      </w:r>
      <w:r w:rsidRPr="006620EA">
        <w:rPr>
          <w:i/>
          <w:iCs/>
        </w:rPr>
        <w:t>with</w:t>
      </w:r>
      <w:r w:rsidRPr="006620EA">
        <w:t xml:space="preserve"> people, not </w:t>
      </w:r>
      <w:r w:rsidRPr="006620EA">
        <w:rPr>
          <w:i/>
          <w:iCs/>
        </w:rPr>
        <w:t>about</w:t>
      </w:r>
      <w:r w:rsidRPr="006620EA">
        <w:t xml:space="preserve"> them.</w:t>
      </w:r>
    </w:p>
    <w:p w14:paraId="6486AEA4" w14:textId="66ED18CE" w:rsidR="006620EA" w:rsidRPr="006620EA" w:rsidRDefault="006620EA" w:rsidP="006620EA">
      <w:r w:rsidRPr="006620EA">
        <w:t xml:space="preserve">Its evolution from the 2019 Quality of Life Survey to the forthcoming 2025 Community Wellbeing Survey shows clear movement toward an </w:t>
      </w:r>
      <w:r w:rsidRPr="006620EA">
        <w:rPr>
          <w:b/>
          <w:bCs/>
        </w:rPr>
        <w:t>Eco-Systemic Flourishing model</w:t>
      </w:r>
      <w:r w:rsidRPr="006620EA">
        <w:t>:</w:t>
      </w:r>
      <w:r>
        <w:br/>
      </w:r>
    </w:p>
    <w:p w14:paraId="1DE6AB36" w14:textId="77777777" w:rsidR="006620EA" w:rsidRPr="006620EA" w:rsidRDefault="006620EA" w:rsidP="006620EA">
      <w:pPr>
        <w:numPr>
          <w:ilvl w:val="0"/>
          <w:numId w:val="21"/>
        </w:numPr>
      </w:pPr>
      <w:r w:rsidRPr="006620EA">
        <w:t>expanding beyond health and economics into relationships, culture, and environment;</w:t>
      </w:r>
    </w:p>
    <w:p w14:paraId="35430418" w14:textId="77777777" w:rsidR="006620EA" w:rsidRPr="006620EA" w:rsidRDefault="006620EA" w:rsidP="006620EA">
      <w:pPr>
        <w:numPr>
          <w:ilvl w:val="0"/>
          <w:numId w:val="21"/>
        </w:numPr>
      </w:pPr>
      <w:r w:rsidRPr="006620EA">
        <w:t>integrating Indigenous and equity perspectives;</w:t>
      </w:r>
    </w:p>
    <w:p w14:paraId="6700DF83" w14:textId="30DD91CB" w:rsidR="006620EA" w:rsidRPr="006620EA" w:rsidRDefault="006620EA" w:rsidP="006620EA">
      <w:pPr>
        <w:numPr>
          <w:ilvl w:val="0"/>
          <w:numId w:val="21"/>
        </w:numPr>
      </w:pPr>
      <w:r w:rsidRPr="006620EA">
        <w:t>embedding responsiveness through outreach, mapping tools, and open data.</w:t>
      </w:r>
      <w:r>
        <w:br/>
      </w:r>
    </w:p>
    <w:p w14:paraId="278B99C8" w14:textId="77777777" w:rsidR="006620EA" w:rsidRPr="006620EA" w:rsidRDefault="006620EA" w:rsidP="006620EA">
      <w:r w:rsidRPr="006620EA">
        <w:t xml:space="preserve">To reach full ESF maturity, the framework could next integrate </w:t>
      </w:r>
      <w:r w:rsidRPr="006620EA">
        <w:rPr>
          <w:b/>
          <w:bCs/>
        </w:rPr>
        <w:t>ecological reciprocity</w:t>
      </w:r>
      <w:r w:rsidRPr="006620EA">
        <w:t xml:space="preserve"> and </w:t>
      </w:r>
      <w:r w:rsidRPr="006620EA">
        <w:rPr>
          <w:b/>
          <w:bCs/>
        </w:rPr>
        <w:t>transformative learning</w:t>
      </w:r>
      <w:r w:rsidRPr="006620EA">
        <w:t xml:space="preserve">, measuring not only how well people live but </w:t>
      </w:r>
      <w:r w:rsidRPr="006620EA">
        <w:rPr>
          <w:b/>
          <w:bCs/>
        </w:rPr>
        <w:t>how they sustain the living systems that sustain them</w:t>
      </w:r>
      <w:r w:rsidRPr="006620EA">
        <w:t>.</w:t>
      </w:r>
    </w:p>
    <w:p w14:paraId="3197446E" w14:textId="77777777" w:rsidR="006620EA" w:rsidRPr="006620EA" w:rsidRDefault="00EB2AB7" w:rsidP="006620EA">
      <w:r w:rsidRPr="006620EA">
        <w:rPr>
          <w:noProof/>
        </w:rPr>
        <w:pict w14:anchorId="406B20AC">
          <v:rect id="_x0000_i1025" alt="" style="width:451.3pt;height:.05pt;mso-width-percent:0;mso-height-percent:0;mso-width-percent:0;mso-height-percent:0" o:hralign="center" o:hrstd="t" o:hr="t" fillcolor="#a0a0a0" stroked="f"/>
        </w:pict>
      </w:r>
    </w:p>
    <w:p w14:paraId="13290156" w14:textId="76E11099" w:rsidR="006620EA" w:rsidRPr="006620EA" w:rsidRDefault="006620EA" w:rsidP="006620EA">
      <w:pPr>
        <w:rPr>
          <w:b/>
          <w:bCs/>
        </w:rPr>
      </w:pPr>
      <w:r>
        <w:rPr>
          <w:b/>
          <w:bCs/>
        </w:rPr>
        <w:br/>
      </w:r>
      <w:r w:rsidRPr="006620EA">
        <w:rPr>
          <w:b/>
          <w:bCs/>
        </w:rPr>
        <w:t xml:space="preserve">Endnotes </w:t>
      </w:r>
      <w:r>
        <w:rPr>
          <w:b/>
          <w:bCs/>
        </w:rPr>
        <w:br/>
      </w:r>
    </w:p>
    <w:p w14:paraId="2724FDC3" w14:textId="77777777" w:rsidR="006620EA" w:rsidRPr="006620EA" w:rsidRDefault="006620EA" w:rsidP="006620EA">
      <w:pPr>
        <w:numPr>
          <w:ilvl w:val="0"/>
          <w:numId w:val="22"/>
        </w:numPr>
      </w:pPr>
      <w:r w:rsidRPr="006620EA">
        <w:t xml:space="preserve">Engage Nova Scotia. (2019). </w:t>
      </w:r>
      <w:r w:rsidRPr="006620EA">
        <w:rPr>
          <w:i/>
          <w:iCs/>
        </w:rPr>
        <w:t>Nova Scotia Quality of Life Survey: Summary Results.</w:t>
      </w:r>
      <w:r w:rsidRPr="006620EA">
        <w:t xml:space="preserve"> Halifax, Canada.</w:t>
      </w:r>
    </w:p>
    <w:p w14:paraId="5127DA2F" w14:textId="77777777" w:rsidR="006620EA" w:rsidRPr="006620EA" w:rsidRDefault="006620EA" w:rsidP="006620EA">
      <w:pPr>
        <w:numPr>
          <w:ilvl w:val="0"/>
          <w:numId w:val="22"/>
        </w:numPr>
      </w:pPr>
      <w:r w:rsidRPr="006620EA">
        <w:t xml:space="preserve">Engage Nova Scotia. (2024). </w:t>
      </w:r>
      <w:r w:rsidRPr="006620EA">
        <w:rPr>
          <w:i/>
          <w:iCs/>
        </w:rPr>
        <w:t>Preparing for the Nova Scotia 2025 Community Wellbeing Survey.</w:t>
      </w:r>
      <w:r w:rsidRPr="006620EA">
        <w:t xml:space="preserve"> Halifax, Canada.</w:t>
      </w:r>
    </w:p>
    <w:p w14:paraId="00EA2DB2" w14:textId="77777777" w:rsidR="006620EA" w:rsidRPr="006620EA" w:rsidRDefault="006620EA" w:rsidP="006620EA">
      <w:pPr>
        <w:numPr>
          <w:ilvl w:val="0"/>
          <w:numId w:val="22"/>
        </w:numPr>
      </w:pPr>
      <w:r w:rsidRPr="006620EA">
        <w:t xml:space="preserve">Canadian Index of Wellbeing. (2020). </w:t>
      </w:r>
      <w:r w:rsidRPr="006620EA">
        <w:rPr>
          <w:i/>
          <w:iCs/>
        </w:rPr>
        <w:t>Eight Domains Framework.</w:t>
      </w:r>
      <w:r w:rsidRPr="006620EA">
        <w:t xml:space="preserve"> Waterloo, Ontario.</w:t>
      </w:r>
    </w:p>
    <w:p w14:paraId="32E7B95E" w14:textId="77777777" w:rsidR="006620EA" w:rsidRPr="006620EA" w:rsidRDefault="006620EA" w:rsidP="006620EA">
      <w:pPr>
        <w:numPr>
          <w:ilvl w:val="0"/>
          <w:numId w:val="22"/>
        </w:numPr>
      </w:pPr>
      <w:r w:rsidRPr="006620EA">
        <w:lastRenderedPageBreak/>
        <w:t xml:space="preserve">Eco-Systemic Flourishing (ESF) Framework. (2025). </w:t>
      </w:r>
      <w:r w:rsidRPr="006620EA">
        <w:rPr>
          <w:i/>
          <w:iCs/>
        </w:rPr>
        <w:t>Working model of domains and motivational levels.</w:t>
      </w:r>
      <w:r w:rsidRPr="006620EA">
        <w:t xml:space="preserve"> The Flourish Project, London, UK.</w:t>
      </w:r>
    </w:p>
    <w:p w14:paraId="7EBF0B5C" w14:textId="77777777" w:rsidR="006620EA" w:rsidRPr="006620EA" w:rsidRDefault="006620EA" w:rsidP="006620EA">
      <w:pPr>
        <w:numPr>
          <w:ilvl w:val="0"/>
          <w:numId w:val="22"/>
        </w:numPr>
      </w:pPr>
      <w:r w:rsidRPr="006620EA">
        <w:t xml:space="preserve">World Health Organization. (2022). </w:t>
      </w:r>
      <w:r w:rsidRPr="006620EA">
        <w:rPr>
          <w:i/>
          <w:iCs/>
        </w:rPr>
        <w:t>The WHO Council on the Economics of Health for All.</w:t>
      </w:r>
      <w:r w:rsidRPr="006620EA">
        <w:t xml:space="preserve"> Geneva, Switzerland.</w:t>
      </w:r>
    </w:p>
    <w:p w14:paraId="56FD6B26" w14:textId="77777777" w:rsidR="002E3C0C" w:rsidRDefault="002E3C0C"/>
    <w:sectPr w:rsidR="002E3C0C" w:rsidSect="00AE5EBE">
      <w:headerReference w:type="default"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6F09" w14:textId="77777777" w:rsidR="00EB2AB7" w:rsidRDefault="00EB2AB7" w:rsidP="002E3C0C">
      <w:r>
        <w:separator/>
      </w:r>
    </w:p>
  </w:endnote>
  <w:endnote w:type="continuationSeparator" w:id="0">
    <w:p w14:paraId="1D601039" w14:textId="77777777" w:rsidR="00EB2AB7" w:rsidRDefault="00EB2AB7" w:rsidP="002E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A72F" w14:textId="051CED20" w:rsidR="002E3C0C" w:rsidRDefault="002E3C0C" w:rsidP="002E3C0C">
    <w:pPr>
      <w:pStyle w:val="Footer"/>
      <w:jc w:val="center"/>
    </w:pPr>
    <w:r>
      <w:t>www.flourishproject.net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C886" w14:textId="77777777" w:rsidR="00EB2AB7" w:rsidRDefault="00EB2AB7" w:rsidP="002E3C0C">
      <w:r>
        <w:separator/>
      </w:r>
    </w:p>
  </w:footnote>
  <w:footnote w:type="continuationSeparator" w:id="0">
    <w:p w14:paraId="10F7040E" w14:textId="77777777" w:rsidR="00EB2AB7" w:rsidRDefault="00EB2AB7" w:rsidP="002E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771" w14:textId="2CE09238" w:rsidR="002E3C0C" w:rsidRDefault="002E3C0C">
    <w:pPr>
      <w:pStyle w:val="Header"/>
    </w:pPr>
    <w:r>
      <w:t>Flourish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001"/>
    <w:multiLevelType w:val="multilevel"/>
    <w:tmpl w:val="815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0258"/>
    <w:multiLevelType w:val="multilevel"/>
    <w:tmpl w:val="0C5E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D05D4"/>
    <w:multiLevelType w:val="multilevel"/>
    <w:tmpl w:val="748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A61BC"/>
    <w:multiLevelType w:val="multilevel"/>
    <w:tmpl w:val="8F2A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042D6"/>
    <w:multiLevelType w:val="multilevel"/>
    <w:tmpl w:val="9FA2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96402"/>
    <w:multiLevelType w:val="multilevel"/>
    <w:tmpl w:val="D4AA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94463"/>
    <w:multiLevelType w:val="multilevel"/>
    <w:tmpl w:val="B38A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158C7"/>
    <w:multiLevelType w:val="multilevel"/>
    <w:tmpl w:val="3D64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E2F42"/>
    <w:multiLevelType w:val="multilevel"/>
    <w:tmpl w:val="536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F5072"/>
    <w:multiLevelType w:val="multilevel"/>
    <w:tmpl w:val="DC54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E2F9A"/>
    <w:multiLevelType w:val="multilevel"/>
    <w:tmpl w:val="D0B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B47523"/>
    <w:multiLevelType w:val="multilevel"/>
    <w:tmpl w:val="09E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0661D"/>
    <w:multiLevelType w:val="multilevel"/>
    <w:tmpl w:val="69F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F3447"/>
    <w:multiLevelType w:val="multilevel"/>
    <w:tmpl w:val="986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173A3"/>
    <w:multiLevelType w:val="multilevel"/>
    <w:tmpl w:val="266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669A5"/>
    <w:multiLevelType w:val="multilevel"/>
    <w:tmpl w:val="6F4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AD43BF"/>
    <w:multiLevelType w:val="multilevel"/>
    <w:tmpl w:val="724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57674D"/>
    <w:multiLevelType w:val="multilevel"/>
    <w:tmpl w:val="A3E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87307"/>
    <w:multiLevelType w:val="multilevel"/>
    <w:tmpl w:val="6342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F617BB"/>
    <w:multiLevelType w:val="multilevel"/>
    <w:tmpl w:val="462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0A6C9C"/>
    <w:multiLevelType w:val="multilevel"/>
    <w:tmpl w:val="E024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06E40"/>
    <w:multiLevelType w:val="multilevel"/>
    <w:tmpl w:val="9EB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355554">
    <w:abstractNumId w:val="5"/>
  </w:num>
  <w:num w:numId="2" w16cid:durableId="2082751094">
    <w:abstractNumId w:val="19"/>
  </w:num>
  <w:num w:numId="3" w16cid:durableId="648749144">
    <w:abstractNumId w:val="21"/>
  </w:num>
  <w:num w:numId="4" w16cid:durableId="1796365468">
    <w:abstractNumId w:val="3"/>
  </w:num>
  <w:num w:numId="5" w16cid:durableId="1587684758">
    <w:abstractNumId w:val="1"/>
  </w:num>
  <w:num w:numId="6" w16cid:durableId="324480631">
    <w:abstractNumId w:val="8"/>
  </w:num>
  <w:num w:numId="7" w16cid:durableId="1351419754">
    <w:abstractNumId w:val="12"/>
  </w:num>
  <w:num w:numId="8" w16cid:durableId="1190141575">
    <w:abstractNumId w:val="6"/>
  </w:num>
  <w:num w:numId="9" w16cid:durableId="1377118287">
    <w:abstractNumId w:val="17"/>
  </w:num>
  <w:num w:numId="10" w16cid:durableId="1987200669">
    <w:abstractNumId w:val="0"/>
  </w:num>
  <w:num w:numId="11" w16cid:durableId="570190745">
    <w:abstractNumId w:val="14"/>
  </w:num>
  <w:num w:numId="12" w16cid:durableId="1419133819">
    <w:abstractNumId w:val="4"/>
  </w:num>
  <w:num w:numId="13" w16cid:durableId="208611046">
    <w:abstractNumId w:val="13"/>
  </w:num>
  <w:num w:numId="14" w16cid:durableId="1619482591">
    <w:abstractNumId w:val="9"/>
  </w:num>
  <w:num w:numId="15" w16cid:durableId="1313675613">
    <w:abstractNumId w:val="16"/>
  </w:num>
  <w:num w:numId="16" w16cid:durableId="1874688564">
    <w:abstractNumId w:val="15"/>
  </w:num>
  <w:num w:numId="17" w16cid:durableId="1051030895">
    <w:abstractNumId w:val="10"/>
  </w:num>
  <w:num w:numId="18" w16cid:durableId="1275476768">
    <w:abstractNumId w:val="11"/>
  </w:num>
  <w:num w:numId="19" w16cid:durableId="262342570">
    <w:abstractNumId w:val="20"/>
  </w:num>
  <w:num w:numId="20" w16cid:durableId="1155606118">
    <w:abstractNumId w:val="7"/>
  </w:num>
  <w:num w:numId="21" w16cid:durableId="1340617866">
    <w:abstractNumId w:val="2"/>
  </w:num>
  <w:num w:numId="22" w16cid:durableId="4350561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0C"/>
    <w:rsid w:val="002E3C0C"/>
    <w:rsid w:val="00395734"/>
    <w:rsid w:val="004A0545"/>
    <w:rsid w:val="005020DE"/>
    <w:rsid w:val="005613B4"/>
    <w:rsid w:val="005B3BC9"/>
    <w:rsid w:val="00606815"/>
    <w:rsid w:val="00646020"/>
    <w:rsid w:val="006620EA"/>
    <w:rsid w:val="007562FE"/>
    <w:rsid w:val="008F5FA5"/>
    <w:rsid w:val="00AE5EBE"/>
    <w:rsid w:val="00BF1A49"/>
    <w:rsid w:val="00C6422C"/>
    <w:rsid w:val="00C8020C"/>
    <w:rsid w:val="00DC228B"/>
    <w:rsid w:val="00EB2AB7"/>
    <w:rsid w:val="00FF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3F80"/>
  <w15:chartTrackingRefBased/>
  <w15:docId w15:val="{4F8922F1-FEBC-D043-8576-58CCE07B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3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3C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C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C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C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C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C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3C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3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C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C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C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3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C0C"/>
    <w:rPr>
      <w:i/>
      <w:iCs/>
      <w:color w:val="404040" w:themeColor="text1" w:themeTint="BF"/>
    </w:rPr>
  </w:style>
  <w:style w:type="paragraph" w:styleId="ListParagraph">
    <w:name w:val="List Paragraph"/>
    <w:basedOn w:val="Normal"/>
    <w:uiPriority w:val="34"/>
    <w:qFormat/>
    <w:rsid w:val="002E3C0C"/>
    <w:pPr>
      <w:ind w:left="720"/>
      <w:contextualSpacing/>
    </w:pPr>
  </w:style>
  <w:style w:type="character" w:styleId="IntenseEmphasis">
    <w:name w:val="Intense Emphasis"/>
    <w:basedOn w:val="DefaultParagraphFont"/>
    <w:uiPriority w:val="21"/>
    <w:qFormat/>
    <w:rsid w:val="002E3C0C"/>
    <w:rPr>
      <w:i/>
      <w:iCs/>
      <w:color w:val="0F4761" w:themeColor="accent1" w:themeShade="BF"/>
    </w:rPr>
  </w:style>
  <w:style w:type="paragraph" w:styleId="IntenseQuote">
    <w:name w:val="Intense Quote"/>
    <w:basedOn w:val="Normal"/>
    <w:next w:val="Normal"/>
    <w:link w:val="IntenseQuoteChar"/>
    <w:uiPriority w:val="30"/>
    <w:qFormat/>
    <w:rsid w:val="002E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C0C"/>
    <w:rPr>
      <w:i/>
      <w:iCs/>
      <w:color w:val="0F4761" w:themeColor="accent1" w:themeShade="BF"/>
    </w:rPr>
  </w:style>
  <w:style w:type="character" w:styleId="IntenseReference">
    <w:name w:val="Intense Reference"/>
    <w:basedOn w:val="DefaultParagraphFont"/>
    <w:uiPriority w:val="32"/>
    <w:qFormat/>
    <w:rsid w:val="002E3C0C"/>
    <w:rPr>
      <w:b/>
      <w:bCs/>
      <w:smallCaps/>
      <w:color w:val="0F4761" w:themeColor="accent1" w:themeShade="BF"/>
      <w:spacing w:val="5"/>
    </w:rPr>
  </w:style>
  <w:style w:type="paragraph" w:styleId="Header">
    <w:name w:val="header"/>
    <w:basedOn w:val="Normal"/>
    <w:link w:val="HeaderChar"/>
    <w:uiPriority w:val="99"/>
    <w:unhideWhenUsed/>
    <w:rsid w:val="002E3C0C"/>
    <w:pPr>
      <w:tabs>
        <w:tab w:val="center" w:pos="4513"/>
        <w:tab w:val="right" w:pos="9026"/>
      </w:tabs>
    </w:pPr>
  </w:style>
  <w:style w:type="character" w:customStyle="1" w:styleId="HeaderChar">
    <w:name w:val="Header Char"/>
    <w:basedOn w:val="DefaultParagraphFont"/>
    <w:link w:val="Header"/>
    <w:uiPriority w:val="99"/>
    <w:rsid w:val="002E3C0C"/>
  </w:style>
  <w:style w:type="paragraph" w:styleId="Footer">
    <w:name w:val="footer"/>
    <w:basedOn w:val="Normal"/>
    <w:link w:val="FooterChar"/>
    <w:uiPriority w:val="99"/>
    <w:unhideWhenUsed/>
    <w:rsid w:val="002E3C0C"/>
    <w:pPr>
      <w:tabs>
        <w:tab w:val="center" w:pos="4513"/>
        <w:tab w:val="right" w:pos="9026"/>
      </w:tabs>
    </w:pPr>
  </w:style>
  <w:style w:type="character" w:customStyle="1" w:styleId="FooterChar">
    <w:name w:val="Footer Char"/>
    <w:basedOn w:val="DefaultParagraphFont"/>
    <w:link w:val="Footer"/>
    <w:uiPriority w:val="99"/>
    <w:rsid w:val="002E3C0C"/>
  </w:style>
  <w:style w:type="table" w:styleId="TableGrid">
    <w:name w:val="Table Grid"/>
    <w:basedOn w:val="TableNormal"/>
    <w:uiPriority w:val="39"/>
    <w:rsid w:val="00C8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940</Words>
  <Characters>6103</Characters>
  <Application>Microsoft Office Word</Application>
  <DocSecurity>0</DocSecurity>
  <Lines>122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Ellyatt</dc:creator>
  <cp:keywords/>
  <dc:description/>
  <cp:lastModifiedBy>Wendy Ellyatt</cp:lastModifiedBy>
  <cp:revision>2</cp:revision>
  <dcterms:created xsi:type="dcterms:W3CDTF">2025-10-09T09:50:00Z</dcterms:created>
  <dcterms:modified xsi:type="dcterms:W3CDTF">2025-10-09T09:50:00Z</dcterms:modified>
</cp:coreProperties>
</file>