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4DCD" w14:textId="23EA3367" w:rsidR="00C6422C" w:rsidRDefault="002E3C0C">
      <w:r>
        <w:rPr>
          <w:noProof/>
          <w:color w:val="0F9ED5" w:themeColor="accent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2C53E" wp14:editId="17A95D0B">
                <wp:simplePos x="0" y="0"/>
                <wp:positionH relativeFrom="column">
                  <wp:posOffset>4340860</wp:posOffset>
                </wp:positionH>
                <wp:positionV relativeFrom="paragraph">
                  <wp:posOffset>-715569</wp:posOffset>
                </wp:positionV>
                <wp:extent cx="2130250" cy="932400"/>
                <wp:effectExtent l="0" t="0" r="3810" b="0"/>
                <wp:wrapNone/>
                <wp:docPr id="8760368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250" cy="93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13088B" w14:textId="77777777" w:rsidR="002E3C0C" w:rsidRDefault="002E3C0C" w:rsidP="002E3C0C">
                            <w:r w:rsidRPr="00032F4C">
                              <w:rPr>
                                <w:rFonts w:asciiTheme="minorHAnsi" w:eastAsia="Times New Roman" w:hAnsiTheme="minorHAnsi" w:cstheme="minorHAnsi"/>
                                <w:bCs/>
                                <w:noProof/>
                              </w:rPr>
                              <w:drawing>
                                <wp:inline distT="0" distB="0" distL="0" distR="0" wp14:anchorId="7B929580" wp14:editId="417E4357">
                                  <wp:extent cx="1940560" cy="885453"/>
                                  <wp:effectExtent l="0" t="0" r="2540" b="3810"/>
                                  <wp:docPr id="2" name="Picture 2" descr="A logo for a compan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logo for a compan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0560" cy="885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2C5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1.8pt;margin-top:-56.35pt;width:167.75pt;height:7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" fillcolor="white [3201]" stroked="f" strokeweight=".5pt">
                <v:textbox>
                  <w:txbxContent>
                    <w:p w14:paraId="7713088B" w14:textId="77777777" w:rsidR="002E3C0C" w:rsidRDefault="002E3C0C" w:rsidP="002E3C0C">
                      <w:r w:rsidRPr="00032F4C">
                        <w:rPr>
                          <w:rFonts w:asciiTheme="minorHAnsi" w:eastAsia="Times New Roman" w:hAnsiTheme="minorHAnsi" w:cstheme="minorHAnsi"/>
                          <w:bCs/>
                          <w:noProof/>
                        </w:rPr>
                        <w:drawing>
                          <wp:inline distT="0" distB="0" distL="0" distR="0" wp14:anchorId="7B929580" wp14:editId="417E4357">
                            <wp:extent cx="1940560" cy="885453"/>
                            <wp:effectExtent l="0" t="0" r="2540" b="3810"/>
                            <wp:docPr id="2" name="Picture 2" descr="A logo for a compan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logo for a company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0560" cy="885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769F" w:themeColor="accent4" w:themeShade="BF"/>
          <w:sz w:val="24"/>
          <w:szCs w:val="24"/>
        </w:rPr>
        <w:br/>
      </w:r>
      <w:r>
        <w:rPr>
          <w:color w:val="0B769F" w:themeColor="accent4" w:themeShade="BF"/>
          <w:sz w:val="24"/>
          <w:szCs w:val="24"/>
        </w:rPr>
        <w:br/>
      </w:r>
      <w:r w:rsidRPr="002E3C0C">
        <w:rPr>
          <w:color w:val="0B769F" w:themeColor="accent4" w:themeShade="BF"/>
          <w:sz w:val="24"/>
          <w:szCs w:val="24"/>
        </w:rPr>
        <w:t>BRITISH COLUMBIA HEALTH INDICATORS EXAMPLE ESF EVALUATION</w:t>
      </w:r>
      <w:r>
        <w:br/>
        <w:t>_______________________________________________________________________________</w:t>
      </w:r>
    </w:p>
    <w:p w14:paraId="56FD6B26" w14:textId="77777777" w:rsidR="002E3C0C" w:rsidRDefault="002E3C0C"/>
    <w:p w14:paraId="4A38DA47" w14:textId="04C43820" w:rsidR="002E3C0C" w:rsidRPr="002E3C0C" w:rsidRDefault="002E3C0C" w:rsidP="002E3C0C">
      <w:pPr>
        <w:rPr>
          <w:b/>
          <w:bCs/>
        </w:rPr>
      </w:pPr>
      <w:r w:rsidRPr="002E3C0C">
        <w:rPr>
          <w:b/>
          <w:bCs/>
          <w:color w:val="0B769F" w:themeColor="accent4" w:themeShade="BF"/>
        </w:rPr>
        <w:t>1) ESF Domain Mapping (what the indicator set emphasises)</w:t>
      </w:r>
      <w:r>
        <w:rPr>
          <w:b/>
          <w:bCs/>
        </w:rPr>
        <w:br/>
      </w:r>
    </w:p>
    <w:p w14:paraId="021AA3A6" w14:textId="48071B13" w:rsidR="002E3C0C" w:rsidRPr="002E3C0C" w:rsidRDefault="002E3C0C" w:rsidP="002E3C0C">
      <w:pPr>
        <w:numPr>
          <w:ilvl w:val="0"/>
          <w:numId w:val="1"/>
        </w:numPr>
      </w:pPr>
      <w:r w:rsidRPr="002E3C0C">
        <w:t xml:space="preserve">Dominant: </w:t>
      </w:r>
      <w:r w:rsidRPr="002E3C0C">
        <w:rPr>
          <w:b/>
          <w:bCs/>
        </w:rPr>
        <w:t>Human Capacities &amp; Potential</w:t>
      </w:r>
      <w:r w:rsidRPr="002E3C0C">
        <w:t xml:space="preserve"> — unsurprisingly, most health indicators sit here (clinical outcomes, risk behaviours, mental health, maternal/child health, etc.).</w:t>
      </w:r>
      <w:r>
        <w:br/>
      </w:r>
    </w:p>
    <w:p w14:paraId="5304C037" w14:textId="53A6827D" w:rsidR="002E3C0C" w:rsidRPr="002E3C0C" w:rsidRDefault="002E3C0C" w:rsidP="002E3C0C">
      <w:pPr>
        <w:numPr>
          <w:ilvl w:val="0"/>
          <w:numId w:val="1"/>
        </w:numPr>
      </w:pPr>
      <w:r w:rsidRPr="002E3C0C">
        <w:t xml:space="preserve">Moderate: </w:t>
      </w:r>
      <w:r w:rsidRPr="002E3C0C">
        <w:rPr>
          <w:b/>
          <w:bCs/>
        </w:rPr>
        <w:t>Circular &amp; Regenerative Economics</w:t>
      </w:r>
      <w:r w:rsidRPr="002E3C0C">
        <w:t xml:space="preserve"> — present where indicators reference income, poverty, housing, access/coverage, wait times, transport.</w:t>
      </w:r>
      <w:r>
        <w:br/>
      </w:r>
    </w:p>
    <w:p w14:paraId="784EDE90" w14:textId="35E8E667" w:rsidR="002E3C0C" w:rsidRPr="002E3C0C" w:rsidRDefault="002E3C0C" w:rsidP="002E3C0C">
      <w:pPr>
        <w:numPr>
          <w:ilvl w:val="0"/>
          <w:numId w:val="1"/>
        </w:numPr>
      </w:pPr>
      <w:r w:rsidRPr="002E3C0C">
        <w:t xml:space="preserve">Sparse: </w:t>
      </w:r>
      <w:r w:rsidRPr="002E3C0C">
        <w:rPr>
          <w:b/>
          <w:bCs/>
        </w:rPr>
        <w:t>Cultural Values &amp; Identity</w:t>
      </w:r>
      <w:r w:rsidRPr="002E3C0C">
        <w:t xml:space="preserve"> — appears where indicators touch community, belonging, Indigenous identity/First Nations, social support, inclusion.</w:t>
      </w:r>
      <w:r>
        <w:br/>
      </w:r>
    </w:p>
    <w:p w14:paraId="04BD3054" w14:textId="42DBD3F6" w:rsidR="002E3C0C" w:rsidRPr="002E3C0C" w:rsidRDefault="002E3C0C" w:rsidP="002E3C0C">
      <w:pPr>
        <w:numPr>
          <w:ilvl w:val="0"/>
          <w:numId w:val="1"/>
        </w:numPr>
      </w:pPr>
      <w:r w:rsidRPr="002E3C0C">
        <w:t xml:space="preserve">Under-represented: </w:t>
      </w:r>
      <w:r w:rsidRPr="002E3C0C">
        <w:rPr>
          <w:b/>
          <w:bCs/>
        </w:rPr>
        <w:t>Natural Environment</w:t>
      </w:r>
      <w:r w:rsidRPr="002E3C0C">
        <w:t xml:space="preserve"> — relatively few indicators explicitly reference air/water quality, climate/heat/wildfire, green/blue space, or the built environment’s health affordances.</w:t>
      </w:r>
      <w:r>
        <w:br/>
      </w:r>
    </w:p>
    <w:p w14:paraId="68F3BD49" w14:textId="065F5658" w:rsidR="002E3C0C" w:rsidRPr="002E3C0C" w:rsidRDefault="002E3C0C" w:rsidP="002E3C0C">
      <w:r w:rsidRPr="002E3C0C">
        <w:rPr>
          <w:i/>
          <w:iCs/>
        </w:rPr>
        <w:t>Interpretation: This is a clinically-weighted portfolio. It detects and treats well; it less often tracks the cultural-relational and ecological determinants that shape why health patterns arise and persist</w:t>
      </w:r>
      <w:r w:rsidRPr="002E3C0C">
        <w:t>.</w:t>
      </w:r>
      <w:r>
        <w:br/>
      </w:r>
    </w:p>
    <w:p w14:paraId="69B19141" w14:textId="12801682" w:rsidR="002E3C0C" w:rsidRPr="002E3C0C" w:rsidRDefault="002E3C0C" w:rsidP="002E3C0C">
      <w:pPr>
        <w:rPr>
          <w:b/>
          <w:bCs/>
        </w:rPr>
      </w:pPr>
      <w:r w:rsidRPr="002E3C0C">
        <w:rPr>
          <w:b/>
          <w:bCs/>
          <w:color w:val="0B769F" w:themeColor="accent4" w:themeShade="BF"/>
        </w:rPr>
        <w:t>2) Seven Levels of Human Motivation (where indicators land on the human journey)</w:t>
      </w:r>
      <w:r>
        <w:rPr>
          <w:b/>
          <w:bCs/>
        </w:rPr>
        <w:br/>
      </w:r>
    </w:p>
    <w:p w14:paraId="5C1E4E7E" w14:textId="56EC36F7" w:rsidR="002E3C0C" w:rsidRPr="002E3C0C" w:rsidRDefault="002E3C0C" w:rsidP="002E3C0C">
      <w:pPr>
        <w:numPr>
          <w:ilvl w:val="0"/>
          <w:numId w:val="2"/>
        </w:numPr>
      </w:pPr>
      <w:r w:rsidRPr="002E3C0C">
        <w:t xml:space="preserve">Heavy tilt to </w:t>
      </w:r>
      <w:r w:rsidRPr="002E3C0C">
        <w:rPr>
          <w:b/>
          <w:bCs/>
        </w:rPr>
        <w:t>Security</w:t>
      </w:r>
      <w:r w:rsidRPr="002E3C0C">
        <w:t xml:space="preserve"> — mortality, morbidity, injury, safety, access/coverage, food security, housing.</w:t>
      </w:r>
      <w:r>
        <w:br/>
      </w:r>
    </w:p>
    <w:p w14:paraId="11B6167C" w14:textId="3F059558" w:rsidR="002E3C0C" w:rsidRPr="002E3C0C" w:rsidRDefault="002E3C0C" w:rsidP="002E3C0C">
      <w:pPr>
        <w:numPr>
          <w:ilvl w:val="0"/>
          <w:numId w:val="2"/>
        </w:numPr>
      </w:pPr>
      <w:r w:rsidRPr="002E3C0C">
        <w:t xml:space="preserve">Some presence of </w:t>
      </w:r>
      <w:r w:rsidRPr="002E3C0C">
        <w:rPr>
          <w:b/>
          <w:bCs/>
        </w:rPr>
        <w:t>Independence</w:t>
      </w:r>
      <w:r w:rsidRPr="002E3C0C">
        <w:t xml:space="preserve"> and </w:t>
      </w:r>
      <w:r w:rsidRPr="002E3C0C">
        <w:rPr>
          <w:b/>
          <w:bCs/>
        </w:rPr>
        <w:t>Engagement</w:t>
      </w:r>
      <w:r w:rsidRPr="002E3C0C">
        <w:t xml:space="preserve"> — education attainment, employment, participation, physical activity.</w:t>
      </w:r>
      <w:r>
        <w:br/>
      </w:r>
    </w:p>
    <w:p w14:paraId="11895D4E" w14:textId="543F3539" w:rsidR="002E3C0C" w:rsidRPr="002E3C0C" w:rsidRDefault="002E3C0C" w:rsidP="002E3C0C">
      <w:pPr>
        <w:numPr>
          <w:ilvl w:val="0"/>
          <w:numId w:val="2"/>
        </w:numPr>
      </w:pPr>
      <w:r w:rsidRPr="002E3C0C">
        <w:t xml:space="preserve">Thin coverage for </w:t>
      </w:r>
      <w:r w:rsidRPr="002E3C0C">
        <w:rPr>
          <w:b/>
          <w:bCs/>
        </w:rPr>
        <w:t>Relationship</w:t>
      </w:r>
      <w:r w:rsidRPr="002E3C0C">
        <w:t xml:space="preserve"> — pockets where social support, loneliness, belonging, or caregiving are explicit.</w:t>
      </w:r>
      <w:r>
        <w:br/>
      </w:r>
    </w:p>
    <w:p w14:paraId="5DCD2D09" w14:textId="17E9A6E6" w:rsidR="002E3C0C" w:rsidRPr="002E3C0C" w:rsidRDefault="002E3C0C" w:rsidP="002E3C0C">
      <w:pPr>
        <w:numPr>
          <w:ilvl w:val="0"/>
          <w:numId w:val="2"/>
        </w:numPr>
      </w:pPr>
      <w:r w:rsidRPr="002E3C0C">
        <w:t xml:space="preserve">Very thin for </w:t>
      </w:r>
      <w:r w:rsidRPr="002E3C0C">
        <w:rPr>
          <w:b/>
          <w:bCs/>
        </w:rPr>
        <w:t>Fulfilment</w:t>
      </w:r>
      <w:r w:rsidRPr="002E3C0C">
        <w:t xml:space="preserve"> (life satisfaction/meaning), </w:t>
      </w:r>
      <w:r w:rsidRPr="002E3C0C">
        <w:rPr>
          <w:b/>
          <w:bCs/>
        </w:rPr>
        <w:t>Contribution</w:t>
      </w:r>
      <w:r w:rsidRPr="002E3C0C">
        <w:t xml:space="preserve"> (volunteering/civic contribution), and </w:t>
      </w:r>
      <w:r w:rsidRPr="002E3C0C">
        <w:rPr>
          <w:b/>
          <w:bCs/>
        </w:rPr>
        <w:t>Growth</w:t>
      </w:r>
      <w:r w:rsidRPr="002E3C0C">
        <w:t xml:space="preserve"> (learning/innovation/resilience as ongoing development).</w:t>
      </w:r>
      <w:r>
        <w:br/>
      </w:r>
    </w:p>
    <w:p w14:paraId="234598D9" w14:textId="79B47B33" w:rsidR="002E3C0C" w:rsidRPr="002E3C0C" w:rsidRDefault="002E3C0C" w:rsidP="002E3C0C">
      <w:pPr>
        <w:rPr>
          <w:i/>
          <w:iCs/>
        </w:rPr>
      </w:pPr>
      <w:r w:rsidRPr="002E3C0C">
        <w:rPr>
          <w:i/>
          <w:iCs/>
        </w:rPr>
        <w:t>Interpretation: We track threats and basics well; we rarely measure the conditions that help people belong, contribute, and grow. In short: lots of “Are you safe?” and far less “Are you thriving, connected, and evolving?”</w:t>
      </w:r>
      <w:r w:rsidRPr="002E3C0C">
        <w:rPr>
          <w:i/>
          <w:iCs/>
        </w:rPr>
        <w:br/>
      </w:r>
    </w:p>
    <w:p w14:paraId="400589DC" w14:textId="1BE755D5" w:rsidR="002E3C0C" w:rsidRPr="002E3C0C" w:rsidRDefault="002E3C0C" w:rsidP="002E3C0C">
      <w:pPr>
        <w:rPr>
          <w:b/>
          <w:bCs/>
        </w:rPr>
      </w:pPr>
      <w:r w:rsidRPr="002E3C0C">
        <w:rPr>
          <w:b/>
          <w:bCs/>
          <w:color w:val="0B769F" w:themeColor="accent4" w:themeShade="BF"/>
        </w:rPr>
        <w:t>3) Integrated Flourishing Analysis (balance, gaps, and quick wins)</w:t>
      </w:r>
      <w:r>
        <w:rPr>
          <w:b/>
          <w:bCs/>
        </w:rPr>
        <w:br/>
      </w:r>
    </w:p>
    <w:p w14:paraId="2F868C46" w14:textId="14D47B10" w:rsidR="002E3C0C" w:rsidRPr="007E5A83" w:rsidRDefault="002E3C0C" w:rsidP="002E3C0C">
      <w:pPr>
        <w:rPr>
          <w:b/>
          <w:bCs/>
        </w:rPr>
      </w:pPr>
      <w:r w:rsidRPr="007E5A83">
        <w:rPr>
          <w:b/>
          <w:bCs/>
        </w:rPr>
        <w:t>Balance check</w:t>
      </w:r>
      <w:r w:rsidRPr="007E5A83">
        <w:rPr>
          <w:b/>
          <w:bCs/>
        </w:rPr>
        <w:br/>
      </w:r>
    </w:p>
    <w:p w14:paraId="57C01A9E" w14:textId="0A2E4163" w:rsidR="002E3C0C" w:rsidRPr="002E3C0C" w:rsidRDefault="002E3C0C" w:rsidP="002E3C0C">
      <w:pPr>
        <w:numPr>
          <w:ilvl w:val="0"/>
          <w:numId w:val="3"/>
        </w:numPr>
      </w:pPr>
      <w:r w:rsidRPr="002E3C0C">
        <w:rPr>
          <w:b/>
          <w:bCs/>
        </w:rPr>
        <w:t>Biomedical &amp; service access</w:t>
      </w:r>
      <w:r w:rsidRPr="002E3C0C">
        <w:t>: strong.</w:t>
      </w:r>
      <w:r w:rsidR="009D0F5D">
        <w:br/>
      </w:r>
    </w:p>
    <w:p w14:paraId="7FC9FA48" w14:textId="2B8F26E4" w:rsidR="002E3C0C" w:rsidRPr="002E3C0C" w:rsidRDefault="002E3C0C" w:rsidP="002E3C0C">
      <w:pPr>
        <w:numPr>
          <w:ilvl w:val="0"/>
          <w:numId w:val="3"/>
        </w:numPr>
      </w:pPr>
      <w:r w:rsidRPr="002E3C0C">
        <w:rPr>
          <w:b/>
          <w:bCs/>
        </w:rPr>
        <w:t>Socio-cultural fabric</w:t>
      </w:r>
      <w:r w:rsidRPr="002E3C0C">
        <w:t xml:space="preserve"> (belonging, cohesion, discrimination/inclusion, Indigenous cultural vitality): comparatively light.</w:t>
      </w:r>
      <w:r w:rsidR="009D0F5D">
        <w:br/>
      </w:r>
    </w:p>
    <w:p w14:paraId="0293A907" w14:textId="2DD3CDF3" w:rsidR="002E3C0C" w:rsidRPr="002E3C0C" w:rsidRDefault="002E3C0C" w:rsidP="002E3C0C">
      <w:pPr>
        <w:numPr>
          <w:ilvl w:val="0"/>
          <w:numId w:val="3"/>
        </w:numPr>
      </w:pPr>
      <w:r w:rsidRPr="002E3C0C">
        <w:rPr>
          <w:b/>
          <w:bCs/>
        </w:rPr>
        <w:lastRenderedPageBreak/>
        <w:t>Eco-context</w:t>
      </w:r>
      <w:r w:rsidRPr="002E3C0C">
        <w:t xml:space="preserve"> (air/heat/smoke, nature access, walkability, flood/fire risk): under-specified relative to BC’s climate realities.</w:t>
      </w:r>
      <w:r w:rsidR="009D0F5D">
        <w:br/>
      </w:r>
    </w:p>
    <w:p w14:paraId="75C8113C" w14:textId="77777777" w:rsidR="002E3C0C" w:rsidRDefault="002E3C0C" w:rsidP="002E3C0C">
      <w:pPr>
        <w:numPr>
          <w:ilvl w:val="0"/>
          <w:numId w:val="3"/>
        </w:numPr>
      </w:pPr>
      <w:r w:rsidRPr="002E3C0C">
        <w:rPr>
          <w:b/>
          <w:bCs/>
        </w:rPr>
        <w:t>Higher-order flourishing</w:t>
      </w:r>
      <w:r w:rsidRPr="002E3C0C">
        <w:t xml:space="preserve"> (Fulfilment, Contribution, Growth): seldom measured.</w:t>
      </w:r>
    </w:p>
    <w:p w14:paraId="2CDC25D2" w14:textId="77777777" w:rsidR="002E3C0C" w:rsidRPr="002E3C0C" w:rsidRDefault="002E3C0C" w:rsidP="002E3C0C">
      <w:pPr>
        <w:ind w:left="720"/>
      </w:pPr>
    </w:p>
    <w:p w14:paraId="174A24A3" w14:textId="6C41597A" w:rsidR="002E3C0C" w:rsidRPr="002E3C0C" w:rsidRDefault="002E3C0C" w:rsidP="002E3C0C">
      <w:r w:rsidRPr="007E5A83">
        <w:rPr>
          <w:color w:val="000000" w:themeColor="text1"/>
        </w:rPr>
        <w:t>Priority gaps (actionable)</w:t>
      </w:r>
      <w:r>
        <w:br/>
      </w:r>
    </w:p>
    <w:p w14:paraId="126C3298" w14:textId="69A7F216" w:rsidR="002E3C0C" w:rsidRPr="002E3C0C" w:rsidRDefault="002E3C0C" w:rsidP="002E3C0C">
      <w:pPr>
        <w:numPr>
          <w:ilvl w:val="0"/>
          <w:numId w:val="4"/>
        </w:numPr>
      </w:pPr>
      <w:r w:rsidRPr="002E3C0C">
        <w:rPr>
          <w:b/>
          <w:bCs/>
        </w:rPr>
        <w:t>Cultural &amp; Relational</w:t>
      </w:r>
      <w:r w:rsidRPr="002E3C0C">
        <w:t xml:space="preserve">: add indicators for social cohesion, loneliness, sense of belonging (esp. youth/older adults), caregiving load, discrimination experiences, Indigenous </w:t>
      </w:r>
      <w:r>
        <w:br/>
      </w:r>
      <w:r w:rsidRPr="002E3C0C">
        <w:t>language/cultural participation, trust in local institutions.</w:t>
      </w:r>
      <w:r>
        <w:br/>
      </w:r>
    </w:p>
    <w:p w14:paraId="5BDDBF98" w14:textId="6AFF2110" w:rsidR="002E3C0C" w:rsidRPr="002E3C0C" w:rsidRDefault="002E3C0C" w:rsidP="002E3C0C">
      <w:pPr>
        <w:numPr>
          <w:ilvl w:val="0"/>
          <w:numId w:val="4"/>
        </w:numPr>
      </w:pPr>
      <w:r w:rsidRPr="002E3C0C">
        <w:rPr>
          <w:b/>
          <w:bCs/>
        </w:rPr>
        <w:t>Natural Environment</w:t>
      </w:r>
      <w:r w:rsidRPr="002E3C0C">
        <w:t>: add localised exposure metrics (PM2.5/NO2/ozone), heatwave/wildfire smoke days, nature/greenspace proximity and usage, blue space access, active-transport friendliness, noise.</w:t>
      </w:r>
      <w:r>
        <w:br/>
      </w:r>
    </w:p>
    <w:p w14:paraId="650C03E8" w14:textId="58A4524E" w:rsidR="002E3C0C" w:rsidRPr="002E3C0C" w:rsidRDefault="002E3C0C" w:rsidP="002E3C0C">
      <w:pPr>
        <w:numPr>
          <w:ilvl w:val="0"/>
          <w:numId w:val="4"/>
        </w:numPr>
      </w:pPr>
      <w:r w:rsidRPr="002E3C0C">
        <w:rPr>
          <w:b/>
          <w:bCs/>
        </w:rPr>
        <w:t>Higher-order wellbeing</w:t>
      </w:r>
      <w:r w:rsidRPr="002E3C0C">
        <w:t>: include life satisfaction/meaning/purpose, volunteering and civic participation rates, intergenerational engagement, and resilience/learning indicators (e.g., adult learning, skills upgrade, community emergency preparedness).</w:t>
      </w:r>
      <w:r>
        <w:br/>
      </w:r>
    </w:p>
    <w:p w14:paraId="18FEC562" w14:textId="6842AB4E" w:rsidR="002E3C0C" w:rsidRPr="002E3C0C" w:rsidRDefault="002E3C0C" w:rsidP="002E3C0C">
      <w:pPr>
        <w:rPr>
          <w:b/>
          <w:bCs/>
        </w:rPr>
      </w:pPr>
      <w:r w:rsidRPr="007E5A83">
        <w:rPr>
          <w:b/>
          <w:bCs/>
          <w:color w:val="000000" w:themeColor="text1"/>
        </w:rPr>
        <w:t>Design principles (to upgrade the set)</w:t>
      </w:r>
      <w:r w:rsidRPr="002E3C0C">
        <w:rPr>
          <w:b/>
          <w:bCs/>
        </w:rPr>
        <w:br/>
      </w:r>
    </w:p>
    <w:p w14:paraId="00E6FBE0" w14:textId="30A60166" w:rsidR="002E3C0C" w:rsidRPr="002E3C0C" w:rsidRDefault="002E3C0C" w:rsidP="002E3C0C">
      <w:pPr>
        <w:numPr>
          <w:ilvl w:val="0"/>
          <w:numId w:val="5"/>
        </w:numPr>
      </w:pPr>
      <w:r w:rsidRPr="002E3C0C">
        <w:rPr>
          <w:b/>
          <w:bCs/>
        </w:rPr>
        <w:t>Pair every risk with a resource</w:t>
      </w:r>
      <w:r w:rsidRPr="002E3C0C">
        <w:t>: If we track depression, also track belonging and access to prosocial activities.</w:t>
      </w:r>
      <w:r>
        <w:br/>
      </w:r>
    </w:p>
    <w:p w14:paraId="3859677D" w14:textId="6B906D76" w:rsidR="002E3C0C" w:rsidRPr="002E3C0C" w:rsidRDefault="002E3C0C" w:rsidP="002E3C0C">
      <w:pPr>
        <w:numPr>
          <w:ilvl w:val="0"/>
          <w:numId w:val="5"/>
        </w:numPr>
      </w:pPr>
      <w:r w:rsidRPr="002E3C0C">
        <w:rPr>
          <w:b/>
          <w:bCs/>
        </w:rPr>
        <w:t>Track place, not just people</w:t>
      </w:r>
      <w:r w:rsidRPr="002E3C0C">
        <w:t>: Add environmental affordances (green space, transit, walkability) alongside clinical metrics.</w:t>
      </w:r>
      <w:r>
        <w:br/>
      </w:r>
    </w:p>
    <w:p w14:paraId="58E3F935" w14:textId="1EC425AE" w:rsidR="002E3C0C" w:rsidRPr="002E3C0C" w:rsidRDefault="002E3C0C" w:rsidP="002E3C0C">
      <w:pPr>
        <w:numPr>
          <w:ilvl w:val="0"/>
          <w:numId w:val="5"/>
        </w:numPr>
      </w:pPr>
      <w:r w:rsidRPr="002E3C0C">
        <w:rPr>
          <w:b/>
          <w:bCs/>
        </w:rPr>
        <w:t>Equity-first disaggregation</w:t>
      </w:r>
      <w:r w:rsidRPr="002E3C0C">
        <w:t>: Ensure Indigenous identity, income, geography, disability, and age breakdowns wherever sample sizes allow.</w:t>
      </w:r>
      <w:r>
        <w:br/>
      </w:r>
    </w:p>
    <w:p w14:paraId="3B80E2A1" w14:textId="1BABCE87" w:rsidR="00435D9E" w:rsidRDefault="002E3C0C" w:rsidP="002E3C0C">
      <w:pPr>
        <w:numPr>
          <w:ilvl w:val="0"/>
          <w:numId w:val="5"/>
        </w:numPr>
      </w:pPr>
      <w:r w:rsidRPr="002E3C0C">
        <w:rPr>
          <w:b/>
          <w:bCs/>
        </w:rPr>
        <w:t>Relational leading indicators</w:t>
      </w:r>
      <w:r w:rsidRPr="002E3C0C">
        <w:t>: Include social support and community participation as predictors in dashboards, not just as “soft” context.</w:t>
      </w:r>
      <w:r w:rsidR="00435D9E">
        <w:br/>
      </w:r>
    </w:p>
    <w:p w14:paraId="4411B560" w14:textId="291EE185" w:rsidR="00435D9E" w:rsidRPr="00435D9E" w:rsidRDefault="00435D9E" w:rsidP="00435D9E">
      <w:pPr>
        <w:rPr>
          <w:b/>
          <w:bCs/>
        </w:rPr>
      </w:pPr>
      <w:r w:rsidRPr="00435D9E">
        <w:rPr>
          <w:b/>
          <w:bCs/>
          <w:color w:val="0B769F" w:themeColor="accent4" w:themeShade="BF"/>
        </w:rPr>
        <w:t>4) ESF Alignment Summary</w:t>
      </w:r>
      <w:r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1798"/>
        <w:gridCol w:w="5327"/>
      </w:tblGrid>
      <w:tr w:rsidR="00435D9E" w:rsidRPr="00435D9E" w14:paraId="373C4A34" w14:textId="77777777" w:rsidTr="00435D9E">
        <w:tc>
          <w:tcPr>
            <w:tcW w:w="0" w:type="auto"/>
            <w:hideMark/>
          </w:tcPr>
          <w:p w14:paraId="7667FE76" w14:textId="77777777" w:rsidR="00435D9E" w:rsidRPr="00435D9E" w:rsidRDefault="00435D9E" w:rsidP="00435D9E">
            <w:pPr>
              <w:rPr>
                <w:b/>
                <w:bCs/>
              </w:rPr>
            </w:pPr>
            <w:r w:rsidRPr="00435D9E">
              <w:rPr>
                <w:b/>
                <w:bCs/>
              </w:rPr>
              <w:t>ESF Domain</w:t>
            </w:r>
          </w:p>
        </w:tc>
        <w:tc>
          <w:tcPr>
            <w:tcW w:w="0" w:type="auto"/>
            <w:hideMark/>
          </w:tcPr>
          <w:p w14:paraId="0E99E5DD" w14:textId="77777777" w:rsidR="00435D9E" w:rsidRPr="00435D9E" w:rsidRDefault="00435D9E" w:rsidP="00435D9E">
            <w:pPr>
              <w:rPr>
                <w:b/>
                <w:bCs/>
              </w:rPr>
            </w:pPr>
            <w:r w:rsidRPr="00435D9E">
              <w:rPr>
                <w:b/>
                <w:bCs/>
              </w:rPr>
              <w:t>Level of Representation</w:t>
            </w:r>
          </w:p>
        </w:tc>
        <w:tc>
          <w:tcPr>
            <w:tcW w:w="0" w:type="auto"/>
            <w:hideMark/>
          </w:tcPr>
          <w:p w14:paraId="4113FF77" w14:textId="77777777" w:rsidR="00435D9E" w:rsidRPr="00435D9E" w:rsidRDefault="00435D9E" w:rsidP="00435D9E">
            <w:pPr>
              <w:rPr>
                <w:b/>
                <w:bCs/>
              </w:rPr>
            </w:pPr>
            <w:r w:rsidRPr="00435D9E">
              <w:rPr>
                <w:b/>
                <w:bCs/>
              </w:rPr>
              <w:t>Notes</w:t>
            </w:r>
          </w:p>
        </w:tc>
      </w:tr>
      <w:tr w:rsidR="00435D9E" w:rsidRPr="00435D9E" w14:paraId="40E037A6" w14:textId="77777777" w:rsidTr="00435D9E">
        <w:tc>
          <w:tcPr>
            <w:tcW w:w="0" w:type="auto"/>
            <w:hideMark/>
          </w:tcPr>
          <w:p w14:paraId="1EF77BCB" w14:textId="77777777" w:rsidR="00435D9E" w:rsidRPr="00435D9E" w:rsidRDefault="00435D9E" w:rsidP="00435D9E">
            <w:r w:rsidRPr="00435D9E">
              <w:rPr>
                <w:b/>
                <w:bCs/>
              </w:rPr>
              <w:t>Human Capacities &amp; Potential</w:t>
            </w:r>
          </w:p>
        </w:tc>
        <w:tc>
          <w:tcPr>
            <w:tcW w:w="0" w:type="auto"/>
            <w:hideMark/>
          </w:tcPr>
          <w:p w14:paraId="1754D87D" w14:textId="77777777" w:rsidR="00435D9E" w:rsidRPr="00435D9E" w:rsidRDefault="00435D9E" w:rsidP="00435D9E">
            <w:r w:rsidRPr="00435D9E">
              <w:rPr>
                <w:b/>
                <w:bCs/>
              </w:rPr>
              <w:t>Very strong</w:t>
            </w:r>
          </w:p>
        </w:tc>
        <w:tc>
          <w:tcPr>
            <w:tcW w:w="0" w:type="auto"/>
            <w:hideMark/>
          </w:tcPr>
          <w:p w14:paraId="2D0200AA" w14:textId="77777777" w:rsidR="00435D9E" w:rsidRPr="00435D9E" w:rsidRDefault="00435D9E" w:rsidP="00435D9E">
            <w:r w:rsidRPr="00435D9E">
              <w:t>Extensive physical and mental health indicators, including morbidity, mortality, risk factors, and health behaviours, reflect a robust biomedical and psychosocial foundation.</w:t>
            </w:r>
          </w:p>
        </w:tc>
      </w:tr>
      <w:tr w:rsidR="00435D9E" w:rsidRPr="00435D9E" w14:paraId="486150F9" w14:textId="77777777" w:rsidTr="00435D9E">
        <w:tc>
          <w:tcPr>
            <w:tcW w:w="0" w:type="auto"/>
            <w:hideMark/>
          </w:tcPr>
          <w:p w14:paraId="74C3B67D" w14:textId="77777777" w:rsidR="00435D9E" w:rsidRPr="00435D9E" w:rsidRDefault="00435D9E" w:rsidP="00435D9E">
            <w:r w:rsidRPr="00435D9E">
              <w:rPr>
                <w:b/>
                <w:bCs/>
              </w:rPr>
              <w:t>Cultural Values &amp; Identity</w:t>
            </w:r>
          </w:p>
        </w:tc>
        <w:tc>
          <w:tcPr>
            <w:tcW w:w="0" w:type="auto"/>
            <w:hideMark/>
          </w:tcPr>
          <w:p w14:paraId="133CDBCA" w14:textId="77777777" w:rsidR="00435D9E" w:rsidRPr="00435D9E" w:rsidRDefault="00435D9E" w:rsidP="00435D9E">
            <w:r w:rsidRPr="00435D9E">
              <w:rPr>
                <w:b/>
                <w:bCs/>
              </w:rPr>
              <w:t>Weak–moderate</w:t>
            </w:r>
          </w:p>
        </w:tc>
        <w:tc>
          <w:tcPr>
            <w:tcW w:w="0" w:type="auto"/>
            <w:hideMark/>
          </w:tcPr>
          <w:p w14:paraId="20C889F5" w14:textId="77777777" w:rsidR="00435D9E" w:rsidRPr="00435D9E" w:rsidRDefault="00435D9E" w:rsidP="00435D9E">
            <w:r w:rsidRPr="00435D9E">
              <w:t>Limited coverage of belonging, Indigenous identity, cultural safety, and community trust; relational and intercultural wellbeing remain under-measured.</w:t>
            </w:r>
          </w:p>
        </w:tc>
      </w:tr>
      <w:tr w:rsidR="00435D9E" w:rsidRPr="00435D9E" w14:paraId="197E9D0F" w14:textId="77777777" w:rsidTr="00435D9E">
        <w:tc>
          <w:tcPr>
            <w:tcW w:w="0" w:type="auto"/>
            <w:hideMark/>
          </w:tcPr>
          <w:p w14:paraId="586C398C" w14:textId="77777777" w:rsidR="00435D9E" w:rsidRPr="00435D9E" w:rsidRDefault="00435D9E" w:rsidP="00435D9E">
            <w:r w:rsidRPr="00435D9E">
              <w:rPr>
                <w:b/>
                <w:bCs/>
              </w:rPr>
              <w:t>Natural Environment</w:t>
            </w:r>
          </w:p>
        </w:tc>
        <w:tc>
          <w:tcPr>
            <w:tcW w:w="0" w:type="auto"/>
            <w:hideMark/>
          </w:tcPr>
          <w:p w14:paraId="4AE88893" w14:textId="77777777" w:rsidR="00435D9E" w:rsidRPr="00435D9E" w:rsidRDefault="00435D9E" w:rsidP="00435D9E">
            <w:r w:rsidRPr="00435D9E">
              <w:rPr>
                <w:b/>
                <w:bCs/>
              </w:rPr>
              <w:t>Weak</w:t>
            </w:r>
          </w:p>
        </w:tc>
        <w:tc>
          <w:tcPr>
            <w:tcW w:w="0" w:type="auto"/>
            <w:hideMark/>
          </w:tcPr>
          <w:p w14:paraId="55CC4BA3" w14:textId="77777777" w:rsidR="00435D9E" w:rsidRPr="00435D9E" w:rsidRDefault="00435D9E" w:rsidP="00435D9E">
            <w:r w:rsidRPr="00435D9E">
              <w:t>Few indicators connect human health to environmental quality, climate impacts, or access to green and blue spaces. Ecological determinants of wellbeing are underrepresented.</w:t>
            </w:r>
          </w:p>
        </w:tc>
      </w:tr>
      <w:tr w:rsidR="00435D9E" w:rsidRPr="00435D9E" w14:paraId="6431A868" w14:textId="77777777" w:rsidTr="00435D9E">
        <w:tc>
          <w:tcPr>
            <w:tcW w:w="0" w:type="auto"/>
            <w:hideMark/>
          </w:tcPr>
          <w:p w14:paraId="295C110E" w14:textId="77777777" w:rsidR="00435D9E" w:rsidRPr="00435D9E" w:rsidRDefault="00435D9E" w:rsidP="00435D9E">
            <w:r w:rsidRPr="00435D9E">
              <w:rPr>
                <w:b/>
                <w:bCs/>
              </w:rPr>
              <w:t>Circular &amp; Regenerative Economics</w:t>
            </w:r>
          </w:p>
        </w:tc>
        <w:tc>
          <w:tcPr>
            <w:tcW w:w="0" w:type="auto"/>
            <w:hideMark/>
          </w:tcPr>
          <w:p w14:paraId="4C07204D" w14:textId="77777777" w:rsidR="00435D9E" w:rsidRPr="00435D9E" w:rsidRDefault="00435D9E" w:rsidP="00435D9E">
            <w:r w:rsidRPr="00435D9E">
              <w:rPr>
                <w:b/>
                <w:bCs/>
              </w:rPr>
              <w:t>Strong</w:t>
            </w:r>
          </w:p>
        </w:tc>
        <w:tc>
          <w:tcPr>
            <w:tcW w:w="0" w:type="auto"/>
            <w:hideMark/>
          </w:tcPr>
          <w:p w14:paraId="486EF81F" w14:textId="77777777" w:rsidR="00435D9E" w:rsidRPr="00435D9E" w:rsidRDefault="00435D9E" w:rsidP="00435D9E">
            <w:r w:rsidRPr="00435D9E">
              <w:t xml:space="preserve">Economic and social determinants—income, employment, housing, healthcare access—are well </w:t>
            </w:r>
            <w:r w:rsidRPr="00435D9E">
              <w:lastRenderedPageBreak/>
              <w:t>covered and structurally integrated within public health reporting.</w:t>
            </w:r>
          </w:p>
        </w:tc>
      </w:tr>
    </w:tbl>
    <w:p w14:paraId="6016943E" w14:textId="77777777" w:rsidR="00435D9E" w:rsidRPr="00435D9E" w:rsidRDefault="00435D9E" w:rsidP="00435D9E">
      <w:pPr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8"/>
        <w:gridCol w:w="1613"/>
        <w:gridCol w:w="5805"/>
      </w:tblGrid>
      <w:tr w:rsidR="00435D9E" w:rsidRPr="00435D9E" w14:paraId="2C2E4F77" w14:textId="77777777" w:rsidTr="00435D9E">
        <w:tc>
          <w:tcPr>
            <w:tcW w:w="0" w:type="auto"/>
            <w:hideMark/>
          </w:tcPr>
          <w:p w14:paraId="5D41EF08" w14:textId="77777777" w:rsidR="00435D9E" w:rsidRPr="00435D9E" w:rsidRDefault="00435D9E" w:rsidP="00435D9E">
            <w:pPr>
              <w:rPr>
                <w:b/>
                <w:bCs/>
              </w:rPr>
            </w:pPr>
            <w:r w:rsidRPr="00435D9E">
              <w:rPr>
                <w:b/>
                <w:bCs/>
              </w:rPr>
              <w:t>Motivation Level</w:t>
            </w:r>
          </w:p>
        </w:tc>
        <w:tc>
          <w:tcPr>
            <w:tcW w:w="0" w:type="auto"/>
            <w:hideMark/>
          </w:tcPr>
          <w:p w14:paraId="457BDDF2" w14:textId="77777777" w:rsidR="00435D9E" w:rsidRPr="00435D9E" w:rsidRDefault="00435D9E" w:rsidP="00435D9E">
            <w:pPr>
              <w:rPr>
                <w:b/>
                <w:bCs/>
              </w:rPr>
            </w:pPr>
            <w:r w:rsidRPr="00435D9E">
              <w:rPr>
                <w:b/>
                <w:bCs/>
              </w:rPr>
              <w:t>Representation</w:t>
            </w:r>
          </w:p>
        </w:tc>
        <w:tc>
          <w:tcPr>
            <w:tcW w:w="0" w:type="auto"/>
            <w:hideMark/>
          </w:tcPr>
          <w:p w14:paraId="3BFE772A" w14:textId="77777777" w:rsidR="00435D9E" w:rsidRPr="00435D9E" w:rsidRDefault="00435D9E" w:rsidP="00435D9E">
            <w:pPr>
              <w:rPr>
                <w:b/>
                <w:bCs/>
              </w:rPr>
            </w:pPr>
            <w:r w:rsidRPr="00435D9E">
              <w:rPr>
                <w:b/>
                <w:bCs/>
              </w:rPr>
              <w:t>Notes</w:t>
            </w:r>
          </w:p>
        </w:tc>
      </w:tr>
      <w:tr w:rsidR="00435D9E" w:rsidRPr="00435D9E" w14:paraId="03000E32" w14:textId="77777777" w:rsidTr="00435D9E">
        <w:tc>
          <w:tcPr>
            <w:tcW w:w="0" w:type="auto"/>
            <w:hideMark/>
          </w:tcPr>
          <w:p w14:paraId="07AB4D78" w14:textId="77777777" w:rsidR="00435D9E" w:rsidRPr="00435D9E" w:rsidRDefault="00435D9E" w:rsidP="00435D9E">
            <w:r w:rsidRPr="00435D9E">
              <w:rPr>
                <w:b/>
                <w:bCs/>
              </w:rPr>
              <w:t>Security</w:t>
            </w:r>
          </w:p>
        </w:tc>
        <w:tc>
          <w:tcPr>
            <w:tcW w:w="0" w:type="auto"/>
            <w:hideMark/>
          </w:tcPr>
          <w:p w14:paraId="51C7A1C6" w14:textId="77777777" w:rsidR="00435D9E" w:rsidRPr="00435D9E" w:rsidRDefault="00435D9E" w:rsidP="00435D9E">
            <w:r w:rsidRPr="00435D9E">
              <w:rPr>
                <w:b/>
                <w:bCs/>
              </w:rPr>
              <w:t>Very strong</w:t>
            </w:r>
          </w:p>
        </w:tc>
        <w:tc>
          <w:tcPr>
            <w:tcW w:w="0" w:type="auto"/>
            <w:hideMark/>
          </w:tcPr>
          <w:p w14:paraId="72961712" w14:textId="77777777" w:rsidR="00435D9E" w:rsidRPr="00435D9E" w:rsidRDefault="00435D9E" w:rsidP="00435D9E">
            <w:r w:rsidRPr="00435D9E">
              <w:t>High-quality data on safety, morbidity, mortality, housing, access to care, and food security.</w:t>
            </w:r>
          </w:p>
        </w:tc>
      </w:tr>
      <w:tr w:rsidR="00435D9E" w:rsidRPr="00435D9E" w14:paraId="2E2ACD88" w14:textId="77777777" w:rsidTr="00435D9E">
        <w:tc>
          <w:tcPr>
            <w:tcW w:w="0" w:type="auto"/>
            <w:hideMark/>
          </w:tcPr>
          <w:p w14:paraId="342D42FF" w14:textId="77777777" w:rsidR="00435D9E" w:rsidRPr="00435D9E" w:rsidRDefault="00435D9E" w:rsidP="00435D9E">
            <w:r w:rsidRPr="00435D9E">
              <w:rPr>
                <w:b/>
                <w:bCs/>
              </w:rPr>
              <w:t>Relationship</w:t>
            </w:r>
          </w:p>
        </w:tc>
        <w:tc>
          <w:tcPr>
            <w:tcW w:w="0" w:type="auto"/>
            <w:hideMark/>
          </w:tcPr>
          <w:p w14:paraId="476FF845" w14:textId="77777777" w:rsidR="00435D9E" w:rsidRPr="00435D9E" w:rsidRDefault="00435D9E" w:rsidP="00435D9E">
            <w:r w:rsidRPr="00435D9E">
              <w:rPr>
                <w:b/>
                <w:bCs/>
              </w:rPr>
              <w:t>Moderate</w:t>
            </w:r>
          </w:p>
        </w:tc>
        <w:tc>
          <w:tcPr>
            <w:tcW w:w="0" w:type="auto"/>
            <w:hideMark/>
          </w:tcPr>
          <w:p w14:paraId="2D94526C" w14:textId="77777777" w:rsidR="00435D9E" w:rsidRPr="00435D9E" w:rsidRDefault="00435D9E" w:rsidP="00435D9E">
            <w:r w:rsidRPr="00435D9E">
              <w:t>Some coverage through social support, caregiving, and family stability indicators, but little attention to belonging, trust, or collective wellbeing.</w:t>
            </w:r>
          </w:p>
        </w:tc>
      </w:tr>
      <w:tr w:rsidR="00435D9E" w:rsidRPr="00435D9E" w14:paraId="559904E7" w14:textId="77777777" w:rsidTr="00435D9E">
        <w:tc>
          <w:tcPr>
            <w:tcW w:w="0" w:type="auto"/>
            <w:hideMark/>
          </w:tcPr>
          <w:p w14:paraId="3B1B9B25" w14:textId="77777777" w:rsidR="00435D9E" w:rsidRPr="00435D9E" w:rsidRDefault="00435D9E" w:rsidP="00435D9E">
            <w:r w:rsidRPr="00435D9E">
              <w:rPr>
                <w:b/>
                <w:bCs/>
              </w:rPr>
              <w:t>Independence</w:t>
            </w:r>
          </w:p>
        </w:tc>
        <w:tc>
          <w:tcPr>
            <w:tcW w:w="0" w:type="auto"/>
            <w:hideMark/>
          </w:tcPr>
          <w:p w14:paraId="2D1BB1E2" w14:textId="77777777" w:rsidR="00435D9E" w:rsidRPr="00435D9E" w:rsidRDefault="00435D9E" w:rsidP="00435D9E">
            <w:r w:rsidRPr="00435D9E">
              <w:rPr>
                <w:b/>
                <w:bCs/>
              </w:rPr>
              <w:t>Strong</w:t>
            </w:r>
          </w:p>
        </w:tc>
        <w:tc>
          <w:tcPr>
            <w:tcW w:w="0" w:type="auto"/>
            <w:hideMark/>
          </w:tcPr>
          <w:p w14:paraId="1A8403F8" w14:textId="77777777" w:rsidR="00435D9E" w:rsidRPr="00435D9E" w:rsidRDefault="00435D9E" w:rsidP="00435D9E">
            <w:r w:rsidRPr="00435D9E">
              <w:t>Education, employment, and capacity-building metrics align with self-efficacy and agency.</w:t>
            </w:r>
          </w:p>
        </w:tc>
      </w:tr>
      <w:tr w:rsidR="00435D9E" w:rsidRPr="00435D9E" w14:paraId="3CD21E56" w14:textId="77777777" w:rsidTr="00435D9E">
        <w:tc>
          <w:tcPr>
            <w:tcW w:w="0" w:type="auto"/>
            <w:hideMark/>
          </w:tcPr>
          <w:p w14:paraId="6A5DFA84" w14:textId="77777777" w:rsidR="00435D9E" w:rsidRPr="00435D9E" w:rsidRDefault="00435D9E" w:rsidP="00435D9E">
            <w:r w:rsidRPr="00435D9E">
              <w:rPr>
                <w:b/>
                <w:bCs/>
              </w:rPr>
              <w:t>Engagement</w:t>
            </w:r>
          </w:p>
        </w:tc>
        <w:tc>
          <w:tcPr>
            <w:tcW w:w="0" w:type="auto"/>
            <w:hideMark/>
          </w:tcPr>
          <w:p w14:paraId="326089AC" w14:textId="77777777" w:rsidR="00435D9E" w:rsidRPr="00435D9E" w:rsidRDefault="00435D9E" w:rsidP="00435D9E">
            <w:r w:rsidRPr="00435D9E">
              <w:rPr>
                <w:b/>
                <w:bCs/>
              </w:rPr>
              <w:t>Moderate</w:t>
            </w:r>
          </w:p>
        </w:tc>
        <w:tc>
          <w:tcPr>
            <w:tcW w:w="0" w:type="auto"/>
            <w:hideMark/>
          </w:tcPr>
          <w:p w14:paraId="3C8E5EA8" w14:textId="77777777" w:rsidR="00435D9E" w:rsidRPr="00435D9E" w:rsidRDefault="00435D9E" w:rsidP="00435D9E">
            <w:r w:rsidRPr="00435D9E">
              <w:t>Indicators on physical activity, community participation, and health behaviour engagement appear but are not systematically linked to wellbeing outcomes.</w:t>
            </w:r>
          </w:p>
        </w:tc>
      </w:tr>
      <w:tr w:rsidR="00435D9E" w:rsidRPr="00435D9E" w14:paraId="4575742C" w14:textId="77777777" w:rsidTr="00435D9E">
        <w:tc>
          <w:tcPr>
            <w:tcW w:w="0" w:type="auto"/>
            <w:hideMark/>
          </w:tcPr>
          <w:p w14:paraId="63E291C5" w14:textId="77777777" w:rsidR="00435D9E" w:rsidRPr="00435D9E" w:rsidRDefault="00435D9E" w:rsidP="00435D9E">
            <w:r w:rsidRPr="00435D9E">
              <w:rPr>
                <w:b/>
                <w:bCs/>
              </w:rPr>
              <w:t>Fulfilment</w:t>
            </w:r>
          </w:p>
        </w:tc>
        <w:tc>
          <w:tcPr>
            <w:tcW w:w="0" w:type="auto"/>
            <w:hideMark/>
          </w:tcPr>
          <w:p w14:paraId="05FF2C2E" w14:textId="77777777" w:rsidR="00435D9E" w:rsidRPr="00435D9E" w:rsidRDefault="00435D9E" w:rsidP="00435D9E">
            <w:r w:rsidRPr="00435D9E">
              <w:rPr>
                <w:b/>
                <w:bCs/>
              </w:rPr>
              <w:t>Weak</w:t>
            </w:r>
          </w:p>
        </w:tc>
        <w:tc>
          <w:tcPr>
            <w:tcW w:w="0" w:type="auto"/>
            <w:hideMark/>
          </w:tcPr>
          <w:p w14:paraId="294E8C9F" w14:textId="77777777" w:rsidR="00435D9E" w:rsidRPr="00435D9E" w:rsidRDefault="00435D9E" w:rsidP="00435D9E">
            <w:r w:rsidRPr="00435D9E">
              <w:t>Life satisfaction, meaning, and purpose are not yet core metrics in provincial reporting.</w:t>
            </w:r>
          </w:p>
        </w:tc>
      </w:tr>
      <w:tr w:rsidR="00435D9E" w:rsidRPr="00435D9E" w14:paraId="2835FFE5" w14:textId="77777777" w:rsidTr="00435D9E">
        <w:tc>
          <w:tcPr>
            <w:tcW w:w="0" w:type="auto"/>
            <w:hideMark/>
          </w:tcPr>
          <w:p w14:paraId="45F68F9B" w14:textId="77777777" w:rsidR="00435D9E" w:rsidRPr="00435D9E" w:rsidRDefault="00435D9E" w:rsidP="00435D9E">
            <w:r w:rsidRPr="00435D9E">
              <w:rPr>
                <w:b/>
                <w:bCs/>
              </w:rPr>
              <w:t>Contribution</w:t>
            </w:r>
          </w:p>
        </w:tc>
        <w:tc>
          <w:tcPr>
            <w:tcW w:w="0" w:type="auto"/>
            <w:hideMark/>
          </w:tcPr>
          <w:p w14:paraId="1EEFFC10" w14:textId="77777777" w:rsidR="00435D9E" w:rsidRPr="00435D9E" w:rsidRDefault="00435D9E" w:rsidP="00435D9E">
            <w:r w:rsidRPr="00435D9E">
              <w:rPr>
                <w:b/>
                <w:bCs/>
              </w:rPr>
              <w:t>Weak</w:t>
            </w:r>
          </w:p>
        </w:tc>
        <w:tc>
          <w:tcPr>
            <w:tcW w:w="0" w:type="auto"/>
            <w:hideMark/>
          </w:tcPr>
          <w:p w14:paraId="77A5A19D" w14:textId="77777777" w:rsidR="00435D9E" w:rsidRPr="00435D9E" w:rsidRDefault="00435D9E" w:rsidP="00435D9E">
            <w:r w:rsidRPr="00435D9E">
              <w:t>Volunteering, prosocial activity, and civic engagement measures are limited or absent.</w:t>
            </w:r>
          </w:p>
        </w:tc>
      </w:tr>
      <w:tr w:rsidR="00435D9E" w:rsidRPr="00435D9E" w14:paraId="111DD44E" w14:textId="77777777" w:rsidTr="00435D9E">
        <w:tc>
          <w:tcPr>
            <w:tcW w:w="0" w:type="auto"/>
            <w:hideMark/>
          </w:tcPr>
          <w:p w14:paraId="3AA6B169" w14:textId="77777777" w:rsidR="00435D9E" w:rsidRPr="00435D9E" w:rsidRDefault="00435D9E" w:rsidP="00435D9E">
            <w:r w:rsidRPr="00435D9E">
              <w:rPr>
                <w:b/>
                <w:bCs/>
              </w:rPr>
              <w:t>Growth</w:t>
            </w:r>
          </w:p>
        </w:tc>
        <w:tc>
          <w:tcPr>
            <w:tcW w:w="0" w:type="auto"/>
            <w:hideMark/>
          </w:tcPr>
          <w:p w14:paraId="27F0CBFB" w14:textId="77777777" w:rsidR="00435D9E" w:rsidRPr="00435D9E" w:rsidRDefault="00435D9E" w:rsidP="00435D9E">
            <w:r w:rsidRPr="00435D9E">
              <w:rPr>
                <w:b/>
                <w:bCs/>
              </w:rPr>
              <w:t>Emerging</w:t>
            </w:r>
          </w:p>
        </w:tc>
        <w:tc>
          <w:tcPr>
            <w:tcW w:w="0" w:type="auto"/>
            <w:hideMark/>
          </w:tcPr>
          <w:p w14:paraId="5BCE36EC" w14:textId="77777777" w:rsidR="00435D9E" w:rsidRPr="00435D9E" w:rsidRDefault="00435D9E" w:rsidP="00435D9E">
            <w:r w:rsidRPr="00435D9E">
              <w:t>Adaptive capacity, innovation, and wellbeing literacy indicators remain nascent but could evolve within learning health systems.</w:t>
            </w:r>
          </w:p>
        </w:tc>
      </w:tr>
    </w:tbl>
    <w:p w14:paraId="40665C46" w14:textId="2BF18196" w:rsidR="00435D9E" w:rsidRPr="00435D9E" w:rsidRDefault="00435D9E" w:rsidP="00435D9E"/>
    <w:p w14:paraId="31EEBC27" w14:textId="6B05318E" w:rsidR="00435D9E" w:rsidRPr="00435D9E" w:rsidRDefault="00435D9E" w:rsidP="00435D9E">
      <w:pPr>
        <w:rPr>
          <w:b/>
          <w:bCs/>
        </w:rPr>
      </w:pPr>
      <w:r w:rsidRPr="00435D9E">
        <w:rPr>
          <w:b/>
          <w:bCs/>
          <w:color w:val="0B769F" w:themeColor="accent4" w:themeShade="BF"/>
        </w:rPr>
        <w:t>5) Overall ESF Interpretation</w:t>
      </w:r>
      <w:r>
        <w:rPr>
          <w:b/>
          <w:bCs/>
        </w:rPr>
        <w:br/>
      </w:r>
    </w:p>
    <w:p w14:paraId="2EB4EC07" w14:textId="7492475B" w:rsidR="00435D9E" w:rsidRPr="00435D9E" w:rsidRDefault="00435D9E" w:rsidP="00435D9E">
      <w:r w:rsidRPr="00435D9E">
        <w:t xml:space="preserve">The </w:t>
      </w:r>
      <w:r w:rsidRPr="00435D9E">
        <w:rPr>
          <w:b/>
          <w:bCs/>
        </w:rPr>
        <w:t>British Columbia Health Indicator framework</w:t>
      </w:r>
      <w:r w:rsidRPr="00435D9E">
        <w:t xml:space="preserve"> provides a comprehensive foundation for tracking population health and healthcare access but, viewed through an </w:t>
      </w:r>
      <w:r w:rsidRPr="00435D9E">
        <w:rPr>
          <w:b/>
          <w:bCs/>
        </w:rPr>
        <w:t>Eco-Systemic Flourishing (ESF)</w:t>
      </w:r>
      <w:r w:rsidRPr="00435D9E">
        <w:t xml:space="preserve"> lens, it remains </w:t>
      </w:r>
      <w:r w:rsidRPr="00435D9E">
        <w:rPr>
          <w:b/>
          <w:bCs/>
        </w:rPr>
        <w:t>anchored in a biomedical and service-oriented paradigm</w:t>
      </w:r>
      <w:r w:rsidRPr="00435D9E">
        <w:t>.</w:t>
      </w:r>
      <w:r>
        <w:br/>
      </w:r>
      <w:r w:rsidRPr="00435D9E">
        <w:br/>
        <w:t xml:space="preserve">It excels at diagnosing disease and monitoring survival conditions, yet gives limited attention to the </w:t>
      </w:r>
      <w:r w:rsidRPr="00435D9E">
        <w:rPr>
          <w:b/>
          <w:bCs/>
        </w:rPr>
        <w:t>relational, cultural, ecological, and developmental dimensions</w:t>
      </w:r>
      <w:r w:rsidRPr="00435D9E">
        <w:t xml:space="preserve"> that enable human and planetary flourishing.</w:t>
      </w:r>
      <w:r>
        <w:br/>
      </w:r>
    </w:p>
    <w:p w14:paraId="6DCF836F" w14:textId="2AC86ABE" w:rsidR="00435D9E" w:rsidRPr="00435D9E" w:rsidRDefault="00435D9E" w:rsidP="00435D9E">
      <w:r w:rsidRPr="00435D9E">
        <w:t xml:space="preserve">The system answers </w:t>
      </w:r>
      <w:r w:rsidRPr="00435D9E">
        <w:rPr>
          <w:i/>
          <w:iCs/>
        </w:rPr>
        <w:t>“Are we safe and surviving?”</w:t>
      </w:r>
      <w:r w:rsidRPr="00435D9E">
        <w:t xml:space="preserve"> with impressive precision, but not yet </w:t>
      </w:r>
      <w:r w:rsidRPr="00435D9E">
        <w:rPr>
          <w:i/>
          <w:iCs/>
        </w:rPr>
        <w:t>“Are we connected, contributing, and evolving within a thriving living system?”</w:t>
      </w:r>
      <w:r>
        <w:rPr>
          <w:i/>
          <w:iCs/>
        </w:rPr>
        <w:br/>
      </w:r>
    </w:p>
    <w:p w14:paraId="4CF230AF" w14:textId="65B3B817" w:rsidR="00435D9E" w:rsidRPr="00435D9E" w:rsidRDefault="00435D9E" w:rsidP="00435D9E">
      <w:r w:rsidRPr="00435D9E">
        <w:t xml:space="preserve">From an </w:t>
      </w:r>
      <w:r w:rsidRPr="00435D9E">
        <w:rPr>
          <w:b/>
          <w:bCs/>
        </w:rPr>
        <w:t>ecosystemic perspective</w:t>
      </w:r>
      <w:r w:rsidRPr="00435D9E">
        <w:t xml:space="preserve">, British Columbia could advance toward a </w:t>
      </w:r>
      <w:r w:rsidRPr="00435D9E">
        <w:rPr>
          <w:b/>
          <w:bCs/>
        </w:rPr>
        <w:t>flourishing-based health model</w:t>
      </w:r>
      <w:r w:rsidRPr="00435D9E">
        <w:t xml:space="preserve"> that integrates prevention, culture, and ecology as co-determinants of wellbeing.</w:t>
      </w:r>
      <w:r>
        <w:br/>
      </w:r>
    </w:p>
    <w:p w14:paraId="0242910E" w14:textId="3AAA259E" w:rsidR="00435D9E" w:rsidRPr="00435D9E" w:rsidRDefault="00435D9E" w:rsidP="00435D9E">
      <w:r w:rsidRPr="00435D9E">
        <w:rPr>
          <w:b/>
          <w:bCs/>
        </w:rPr>
        <w:t>Future integration priorities include:</w:t>
      </w:r>
      <w:r>
        <w:rPr>
          <w:b/>
          <w:bCs/>
        </w:rPr>
        <w:br/>
      </w:r>
    </w:p>
    <w:p w14:paraId="4EC373A4" w14:textId="2C720161" w:rsidR="00435D9E" w:rsidRPr="00435D9E" w:rsidRDefault="00435D9E" w:rsidP="00435D9E">
      <w:pPr>
        <w:numPr>
          <w:ilvl w:val="0"/>
          <w:numId w:val="10"/>
        </w:numPr>
      </w:pPr>
      <w:r w:rsidRPr="00435D9E">
        <w:rPr>
          <w:b/>
          <w:bCs/>
        </w:rPr>
        <w:t>Relational wellbeing:</w:t>
      </w:r>
      <w:r w:rsidRPr="00435D9E">
        <w:t xml:space="preserve"> Expand indicators of social trust, belonging, and Indigenous cultural continuity as determinants of health.</w:t>
      </w:r>
      <w:r>
        <w:br/>
      </w:r>
    </w:p>
    <w:p w14:paraId="3B384534" w14:textId="2CABBE0E" w:rsidR="00435D9E" w:rsidRPr="00435D9E" w:rsidRDefault="00435D9E" w:rsidP="00435D9E">
      <w:pPr>
        <w:numPr>
          <w:ilvl w:val="0"/>
          <w:numId w:val="10"/>
        </w:numPr>
      </w:pPr>
      <w:r w:rsidRPr="00435D9E">
        <w:rPr>
          <w:b/>
          <w:bCs/>
        </w:rPr>
        <w:t>Ecological wellbeing:</w:t>
      </w:r>
      <w:r w:rsidRPr="00435D9E">
        <w:t xml:space="preserve"> Connect environmental indicators (air, water, green space, biodiversity) to physical and mental health outcomes.</w:t>
      </w:r>
      <w:r>
        <w:br/>
      </w:r>
    </w:p>
    <w:p w14:paraId="78C3B893" w14:textId="53A6F46E" w:rsidR="00435D9E" w:rsidRPr="00435D9E" w:rsidRDefault="00435D9E" w:rsidP="00435D9E">
      <w:pPr>
        <w:numPr>
          <w:ilvl w:val="0"/>
          <w:numId w:val="10"/>
        </w:numPr>
      </w:pPr>
      <w:r w:rsidRPr="00435D9E">
        <w:rPr>
          <w:b/>
          <w:bCs/>
        </w:rPr>
        <w:t>Systemic resilience:</w:t>
      </w:r>
      <w:r w:rsidRPr="00435D9E">
        <w:t xml:space="preserve"> Incorporate adaptive, regenerative, and learning indicators reflecting communities’ capacity to respond to ecological and social change.</w:t>
      </w:r>
      <w:r>
        <w:br/>
      </w:r>
    </w:p>
    <w:p w14:paraId="078CD3B2" w14:textId="46FBF587" w:rsidR="00435D9E" w:rsidRPr="00435D9E" w:rsidRDefault="00435D9E" w:rsidP="00435D9E">
      <w:pPr>
        <w:numPr>
          <w:ilvl w:val="0"/>
          <w:numId w:val="10"/>
        </w:numPr>
      </w:pPr>
      <w:r w:rsidRPr="00435D9E">
        <w:rPr>
          <w:b/>
          <w:bCs/>
        </w:rPr>
        <w:lastRenderedPageBreak/>
        <w:t>Flourishing equity:</w:t>
      </w:r>
      <w:r w:rsidRPr="00435D9E">
        <w:t xml:space="preserve"> Shift from surveillance of deficits to cultivation of capacities—ensuring all groups have access to the conditions for meaning, participation, and growth.</w:t>
      </w:r>
      <w:r>
        <w:br/>
      </w:r>
    </w:p>
    <w:p w14:paraId="40A2038B" w14:textId="4B072684" w:rsidR="00435D9E" w:rsidRPr="00435D9E" w:rsidRDefault="00435D9E" w:rsidP="00435D9E">
      <w:r w:rsidRPr="00435D9E">
        <w:t xml:space="preserve">In essence, British Columbia’s health monitoring system is </w:t>
      </w:r>
      <w:r w:rsidRPr="00435D9E">
        <w:rPr>
          <w:b/>
          <w:bCs/>
        </w:rPr>
        <w:t>highly functional but not yet fully alive</w:t>
      </w:r>
      <w:r w:rsidRPr="00435D9E">
        <w:t xml:space="preserve">: it measures </w:t>
      </w:r>
      <w:r w:rsidRPr="00435D9E">
        <w:rPr>
          <w:i/>
          <w:iCs/>
        </w:rPr>
        <w:t>what keeps people alive</w:t>
      </w:r>
      <w:r w:rsidRPr="00435D9E">
        <w:t xml:space="preserve">, but not yet </w:t>
      </w:r>
      <w:r w:rsidRPr="00435D9E">
        <w:rPr>
          <w:i/>
          <w:iCs/>
        </w:rPr>
        <w:t>what allows life itself to flourish</w:t>
      </w:r>
      <w:r w:rsidRPr="00435D9E">
        <w:t>.</w:t>
      </w:r>
      <w:r>
        <w:br/>
      </w:r>
      <w:r w:rsidRPr="00435D9E">
        <w:br/>
        <w:t xml:space="preserve">An ESF-informed evolution would realign health measurement with the deeper patterns of </w:t>
      </w:r>
      <w:r w:rsidRPr="00435D9E">
        <w:rPr>
          <w:b/>
          <w:bCs/>
        </w:rPr>
        <w:t>relational ecology</w:t>
      </w:r>
      <w:r w:rsidRPr="00435D9E">
        <w:t>, positioning wellbeing as a co-created property of healthy people, healthy places, and a healthy planet.</w:t>
      </w:r>
    </w:p>
    <w:p w14:paraId="226EC7F6" w14:textId="77777777" w:rsidR="00435D9E" w:rsidRPr="00435D9E" w:rsidRDefault="00C14F6B" w:rsidP="00435D9E">
      <w:r w:rsidRPr="00435D9E">
        <w:rPr>
          <w:noProof/>
        </w:rPr>
        <w:pict w14:anchorId="2A135E3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EF9E164" w14:textId="53DCC61A" w:rsidR="00435D9E" w:rsidRPr="00435D9E" w:rsidRDefault="00435D9E" w:rsidP="00435D9E">
      <w:pPr>
        <w:rPr>
          <w:b/>
          <w:bCs/>
        </w:rPr>
      </w:pPr>
      <w:r>
        <w:rPr>
          <w:b/>
          <w:bCs/>
        </w:rPr>
        <w:br/>
      </w:r>
      <w:r w:rsidRPr="00435D9E">
        <w:rPr>
          <w:b/>
          <w:bCs/>
        </w:rPr>
        <w:t xml:space="preserve">Endnotes </w:t>
      </w:r>
      <w:r>
        <w:rPr>
          <w:b/>
          <w:bCs/>
        </w:rPr>
        <w:br/>
      </w:r>
    </w:p>
    <w:p w14:paraId="23487593" w14:textId="77777777" w:rsidR="00435D9E" w:rsidRPr="00435D9E" w:rsidRDefault="00435D9E" w:rsidP="00435D9E">
      <w:pPr>
        <w:numPr>
          <w:ilvl w:val="0"/>
          <w:numId w:val="11"/>
        </w:numPr>
      </w:pPr>
      <w:r w:rsidRPr="00435D9E">
        <w:t xml:space="preserve">Canadian Institute for Health Information (CIHI). (2018). </w:t>
      </w:r>
      <w:r w:rsidRPr="00435D9E">
        <w:rPr>
          <w:i/>
          <w:iCs/>
        </w:rPr>
        <w:t>Canadian Health Indicators Framework.</w:t>
      </w:r>
      <w:r w:rsidRPr="00435D9E">
        <w:t xml:space="preserve"> Toronto, Canada.</w:t>
      </w:r>
    </w:p>
    <w:p w14:paraId="2DD33D61" w14:textId="77777777" w:rsidR="00435D9E" w:rsidRPr="00435D9E" w:rsidRDefault="00435D9E" w:rsidP="00435D9E">
      <w:pPr>
        <w:numPr>
          <w:ilvl w:val="0"/>
          <w:numId w:val="11"/>
        </w:numPr>
      </w:pPr>
      <w:r w:rsidRPr="00435D9E">
        <w:t xml:space="preserve">Eco-Systemic Flourishing (ESF) Framework. (2025). </w:t>
      </w:r>
      <w:r w:rsidRPr="00435D9E">
        <w:rPr>
          <w:i/>
          <w:iCs/>
        </w:rPr>
        <w:t>Working model of domains and motivational levels.</w:t>
      </w:r>
      <w:r w:rsidRPr="00435D9E">
        <w:t xml:space="preserve"> The Flourish Project, London, UK.</w:t>
      </w:r>
    </w:p>
    <w:p w14:paraId="1BE675D3" w14:textId="77777777" w:rsidR="00435D9E" w:rsidRPr="00435D9E" w:rsidRDefault="00435D9E" w:rsidP="00435D9E">
      <w:pPr>
        <w:numPr>
          <w:ilvl w:val="0"/>
          <w:numId w:val="11"/>
        </w:numPr>
      </w:pPr>
      <w:r w:rsidRPr="00435D9E">
        <w:t xml:space="preserve">OECD. (2018). </w:t>
      </w:r>
      <w:r w:rsidRPr="00435D9E">
        <w:rPr>
          <w:i/>
          <w:iCs/>
        </w:rPr>
        <w:t>The Future of Education and Skills 2030.</w:t>
      </w:r>
      <w:r w:rsidRPr="00435D9E">
        <w:t xml:space="preserve"> Paris, France.</w:t>
      </w:r>
    </w:p>
    <w:p w14:paraId="7342F358" w14:textId="77777777" w:rsidR="00435D9E" w:rsidRPr="00435D9E" w:rsidRDefault="00435D9E" w:rsidP="00435D9E">
      <w:pPr>
        <w:numPr>
          <w:ilvl w:val="0"/>
          <w:numId w:val="11"/>
        </w:numPr>
      </w:pPr>
      <w:r w:rsidRPr="00435D9E">
        <w:t xml:space="preserve">World Health Organization. (2022). </w:t>
      </w:r>
      <w:r w:rsidRPr="00435D9E">
        <w:rPr>
          <w:i/>
          <w:iCs/>
        </w:rPr>
        <w:t>The WHO Council on the Economics of Health for All: Manifesto for a health economics that serves people and planet.</w:t>
      </w:r>
      <w:r w:rsidRPr="00435D9E">
        <w:t xml:space="preserve"> Geneva, Switzerland.</w:t>
      </w:r>
    </w:p>
    <w:p w14:paraId="6A7E730C" w14:textId="77777777" w:rsidR="00435D9E" w:rsidRPr="00435D9E" w:rsidRDefault="00435D9E" w:rsidP="00435D9E">
      <w:pPr>
        <w:numPr>
          <w:ilvl w:val="0"/>
          <w:numId w:val="11"/>
        </w:numPr>
      </w:pPr>
      <w:r w:rsidRPr="00435D9E">
        <w:t xml:space="preserve">Zulueta, F., &amp; WHO Regional Office for Europe. (2021). </w:t>
      </w:r>
      <w:r w:rsidRPr="00435D9E">
        <w:rPr>
          <w:i/>
          <w:iCs/>
        </w:rPr>
        <w:t>The Social Determinants of Mental Health.</w:t>
      </w:r>
      <w:r w:rsidRPr="00435D9E">
        <w:t xml:space="preserve"> Copenhagen, Denmark.</w:t>
      </w:r>
    </w:p>
    <w:p w14:paraId="3CDC408B" w14:textId="7ED48F0D" w:rsidR="002E3C0C" w:rsidRDefault="002E3C0C" w:rsidP="00435D9E">
      <w:r>
        <w:br/>
      </w:r>
    </w:p>
    <w:p w14:paraId="335124F2" w14:textId="5BDEF553" w:rsidR="002E3C0C" w:rsidRPr="002E3C0C" w:rsidRDefault="002E3C0C" w:rsidP="002E3C0C">
      <w:r>
        <w:t>__________________________________________________________________________________</w:t>
      </w:r>
    </w:p>
    <w:p w14:paraId="1C38309E" w14:textId="22128A58" w:rsidR="002E3C0C" w:rsidRPr="002E3C0C" w:rsidRDefault="002E3C0C" w:rsidP="002E3C0C">
      <w:pPr>
        <w:rPr>
          <w:b/>
          <w:bCs/>
        </w:rPr>
      </w:pPr>
      <w:r>
        <w:rPr>
          <w:b/>
          <w:bCs/>
        </w:rPr>
        <w:br/>
      </w:r>
      <w:r w:rsidRPr="002E3C0C">
        <w:rPr>
          <w:b/>
          <w:bCs/>
        </w:rPr>
        <w:t xml:space="preserve">Endnotes </w:t>
      </w:r>
      <w:r w:rsidRPr="002E3C0C">
        <w:rPr>
          <w:b/>
          <w:bCs/>
        </w:rPr>
        <w:br/>
      </w:r>
    </w:p>
    <w:p w14:paraId="32ADD4FF" w14:textId="77777777" w:rsidR="002E3C0C" w:rsidRPr="002E3C0C" w:rsidRDefault="002E3C0C" w:rsidP="002E3C0C">
      <w:pPr>
        <w:numPr>
          <w:ilvl w:val="0"/>
          <w:numId w:val="9"/>
        </w:numPr>
      </w:pPr>
      <w:r w:rsidRPr="002E3C0C">
        <w:t>Canadian Institute for Health Information (CIHI). 2018. Toronto, Canada.</w:t>
      </w:r>
    </w:p>
    <w:p w14:paraId="51D10BEF" w14:textId="77777777" w:rsidR="002E3C0C" w:rsidRPr="002E3C0C" w:rsidRDefault="002E3C0C" w:rsidP="002E3C0C">
      <w:pPr>
        <w:numPr>
          <w:ilvl w:val="0"/>
          <w:numId w:val="9"/>
        </w:numPr>
      </w:pPr>
      <w:r w:rsidRPr="002E3C0C">
        <w:t>OECD. 2018. The Future of Education and Skills 2030. Paris, France.</w:t>
      </w:r>
    </w:p>
    <w:p w14:paraId="5BC3ACBC" w14:textId="77777777" w:rsidR="002E3C0C" w:rsidRPr="002E3C0C" w:rsidRDefault="002E3C0C" w:rsidP="002E3C0C">
      <w:pPr>
        <w:numPr>
          <w:ilvl w:val="0"/>
          <w:numId w:val="9"/>
        </w:numPr>
      </w:pPr>
      <w:r w:rsidRPr="002E3C0C">
        <w:t>World Health Organization. 2022. The WHO Council on the Economics of Health for All: Manifesto for a health economics that serves people and planet. Geneva, Switzerland.</w:t>
      </w:r>
    </w:p>
    <w:p w14:paraId="7CC68B20" w14:textId="77777777" w:rsidR="002E3C0C" w:rsidRPr="002E3C0C" w:rsidRDefault="002E3C0C" w:rsidP="002E3C0C">
      <w:pPr>
        <w:numPr>
          <w:ilvl w:val="0"/>
          <w:numId w:val="9"/>
        </w:numPr>
      </w:pPr>
      <w:r w:rsidRPr="002E3C0C">
        <w:t>Zulueta, F. &amp; WHO Regional Office for Europe. 2021. The social determinants of mental health. Copenhagen, Denmark.</w:t>
      </w:r>
    </w:p>
    <w:p w14:paraId="67D43ADE" w14:textId="77777777" w:rsidR="002E3C0C" w:rsidRPr="002E3C0C" w:rsidRDefault="002E3C0C" w:rsidP="002E3C0C">
      <w:pPr>
        <w:numPr>
          <w:ilvl w:val="0"/>
          <w:numId w:val="9"/>
        </w:numPr>
      </w:pPr>
      <w:r w:rsidRPr="002E3C0C">
        <w:t>Eco-Systemic Flourishing (ESF) Framework – internal working sources compiled by Wendy &amp; collaborators. London, UK.</w:t>
      </w:r>
    </w:p>
    <w:p w14:paraId="6C2885DA" w14:textId="77777777" w:rsidR="002E3C0C" w:rsidRDefault="002E3C0C"/>
    <w:sectPr w:rsidR="002E3C0C" w:rsidSect="00AE5EBE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5C88" w14:textId="77777777" w:rsidR="00C14F6B" w:rsidRDefault="00C14F6B" w:rsidP="002E3C0C">
      <w:r>
        <w:separator/>
      </w:r>
    </w:p>
  </w:endnote>
  <w:endnote w:type="continuationSeparator" w:id="0">
    <w:p w14:paraId="333963BB" w14:textId="77777777" w:rsidR="00C14F6B" w:rsidRDefault="00C14F6B" w:rsidP="002E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A72F" w14:textId="051CED20" w:rsidR="002E3C0C" w:rsidRDefault="002E3C0C" w:rsidP="002E3C0C">
    <w:pPr>
      <w:pStyle w:val="Footer"/>
      <w:jc w:val="center"/>
    </w:pPr>
    <w:r>
      <w:t>www.flourishproject.net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3BA9" w14:textId="77777777" w:rsidR="00C14F6B" w:rsidRDefault="00C14F6B" w:rsidP="002E3C0C">
      <w:r>
        <w:separator/>
      </w:r>
    </w:p>
  </w:footnote>
  <w:footnote w:type="continuationSeparator" w:id="0">
    <w:p w14:paraId="2448AC19" w14:textId="77777777" w:rsidR="00C14F6B" w:rsidRDefault="00C14F6B" w:rsidP="002E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6771" w14:textId="2CE09238" w:rsidR="002E3C0C" w:rsidRDefault="002E3C0C">
    <w:pPr>
      <w:pStyle w:val="Header"/>
    </w:pPr>
    <w:r>
      <w:t>Flourish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0258"/>
    <w:multiLevelType w:val="multilevel"/>
    <w:tmpl w:val="0C5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A61BC"/>
    <w:multiLevelType w:val="multilevel"/>
    <w:tmpl w:val="8F2A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96402"/>
    <w:multiLevelType w:val="multilevel"/>
    <w:tmpl w:val="D4AA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94463"/>
    <w:multiLevelType w:val="multilevel"/>
    <w:tmpl w:val="B38A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E2F42"/>
    <w:multiLevelType w:val="multilevel"/>
    <w:tmpl w:val="536E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E1C32"/>
    <w:multiLevelType w:val="multilevel"/>
    <w:tmpl w:val="D6B0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0661D"/>
    <w:multiLevelType w:val="multilevel"/>
    <w:tmpl w:val="69F6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7674D"/>
    <w:multiLevelType w:val="multilevel"/>
    <w:tmpl w:val="A3E4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15401"/>
    <w:multiLevelType w:val="multilevel"/>
    <w:tmpl w:val="C2B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617BB"/>
    <w:multiLevelType w:val="multilevel"/>
    <w:tmpl w:val="4624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806E40"/>
    <w:multiLevelType w:val="multilevel"/>
    <w:tmpl w:val="9EBE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355554">
    <w:abstractNumId w:val="2"/>
  </w:num>
  <w:num w:numId="2" w16cid:durableId="2082751094">
    <w:abstractNumId w:val="9"/>
  </w:num>
  <w:num w:numId="3" w16cid:durableId="648749144">
    <w:abstractNumId w:val="10"/>
  </w:num>
  <w:num w:numId="4" w16cid:durableId="1796365468">
    <w:abstractNumId w:val="1"/>
  </w:num>
  <w:num w:numId="5" w16cid:durableId="1587684758">
    <w:abstractNumId w:val="0"/>
  </w:num>
  <w:num w:numId="6" w16cid:durableId="324480631">
    <w:abstractNumId w:val="4"/>
  </w:num>
  <w:num w:numId="7" w16cid:durableId="1351419754">
    <w:abstractNumId w:val="6"/>
  </w:num>
  <w:num w:numId="8" w16cid:durableId="1190141575">
    <w:abstractNumId w:val="3"/>
  </w:num>
  <w:num w:numId="9" w16cid:durableId="1377118287">
    <w:abstractNumId w:val="7"/>
  </w:num>
  <w:num w:numId="10" w16cid:durableId="26496126">
    <w:abstractNumId w:val="8"/>
  </w:num>
  <w:num w:numId="11" w16cid:durableId="482937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0C"/>
    <w:rsid w:val="002E3C0C"/>
    <w:rsid w:val="00395734"/>
    <w:rsid w:val="00435D9E"/>
    <w:rsid w:val="004A0545"/>
    <w:rsid w:val="005020DE"/>
    <w:rsid w:val="005613B4"/>
    <w:rsid w:val="005B3BC9"/>
    <w:rsid w:val="00606815"/>
    <w:rsid w:val="007562FE"/>
    <w:rsid w:val="007E5A83"/>
    <w:rsid w:val="009D0F5D"/>
    <w:rsid w:val="00AE5EBE"/>
    <w:rsid w:val="00C14F6B"/>
    <w:rsid w:val="00C6422C"/>
    <w:rsid w:val="00CC0743"/>
    <w:rsid w:val="00DC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3F80"/>
  <w15:chartTrackingRefBased/>
  <w15:docId w15:val="{4F8922F1-FEBC-D043-8576-58CCE07B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C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C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C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C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C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C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C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C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C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C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C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C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C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C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C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C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C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C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3C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C0C"/>
  </w:style>
  <w:style w:type="paragraph" w:styleId="Footer">
    <w:name w:val="footer"/>
    <w:basedOn w:val="Normal"/>
    <w:link w:val="FooterChar"/>
    <w:uiPriority w:val="99"/>
    <w:unhideWhenUsed/>
    <w:rsid w:val="002E3C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C0C"/>
  </w:style>
  <w:style w:type="table" w:styleId="TableGrid">
    <w:name w:val="Table Grid"/>
    <w:basedOn w:val="TableNormal"/>
    <w:uiPriority w:val="39"/>
    <w:rsid w:val="00435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1152</Words>
  <Characters>7480</Characters>
  <Application>Microsoft Office Word</Application>
  <DocSecurity>0</DocSecurity>
  <Lines>149</Lines>
  <Paragraphs>46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Ellyatt</dc:creator>
  <cp:keywords/>
  <dc:description/>
  <cp:lastModifiedBy>Wendy Ellyatt</cp:lastModifiedBy>
  <cp:revision>4</cp:revision>
  <dcterms:created xsi:type="dcterms:W3CDTF">2025-10-09T08:25:00Z</dcterms:created>
  <dcterms:modified xsi:type="dcterms:W3CDTF">2025-10-09T09:24:00Z</dcterms:modified>
</cp:coreProperties>
</file>