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Wow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Rez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Digi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legs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Whoa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Rez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Digi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shoes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weird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Rez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Digi,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shoes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phrase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empathy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Empathy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superpower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actions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screen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Rez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Exactly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mistakes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accidentally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else's</w:t>
      </w:r>
      <w:r w:rsidR="00000000" w:rsidRPr="00000000" w:rsidDel="00000000">
        <w:rPr>
          <w:rtl w:val="0"/>
        </w:rPr>
        <w:t xml:space="preserve"> feelings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mistakes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badge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empathy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spaces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connected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right. Thanks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Rez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