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1935E" w14:textId="77777777" w:rsidR="00C31D71" w:rsidRPr="000B27B1" w:rsidRDefault="00DD0C53" w:rsidP="00DD0C53">
      <w:pPr>
        <w:jc w:val="center"/>
        <w:rPr>
          <w:rFonts w:ascii="Arial" w:hAnsi="Arial" w:cs="Arial"/>
          <w:b/>
          <w:bCs/>
          <w:sz w:val="20"/>
          <w:szCs w:val="20"/>
        </w:rPr>
      </w:pPr>
      <w:r w:rsidRPr="000B27B1">
        <w:rPr>
          <w:rFonts w:ascii="Arial" w:hAnsi="Arial" w:cs="Arial"/>
          <w:b/>
          <w:bCs/>
          <w:sz w:val="20"/>
          <w:szCs w:val="20"/>
        </w:rPr>
        <w:t>Service Summary</w:t>
      </w:r>
    </w:p>
    <w:p w14:paraId="3D63A5AB" w14:textId="77777777" w:rsidR="00DD0C53" w:rsidRPr="00DD0C53" w:rsidRDefault="00DD0C53">
      <w:pPr>
        <w:rPr>
          <w:rFonts w:ascii="Arial" w:hAnsi="Arial" w:cs="Arial"/>
          <w:sz w:val="20"/>
          <w:szCs w:val="20"/>
        </w:rPr>
      </w:pPr>
    </w:p>
    <w:p w14:paraId="32D755AE" w14:textId="265E0352" w:rsidR="00DD0C53" w:rsidRPr="00DD0C53" w:rsidRDefault="00DD0C53" w:rsidP="000B27B1">
      <w:pPr>
        <w:jc w:val="both"/>
        <w:rPr>
          <w:rFonts w:ascii="Arial" w:hAnsi="Arial" w:cs="Arial"/>
          <w:sz w:val="20"/>
          <w:szCs w:val="20"/>
        </w:rPr>
      </w:pPr>
      <w:r w:rsidRPr="00DD0C53">
        <w:rPr>
          <w:rFonts w:ascii="Arial" w:hAnsi="Arial" w:cs="Arial"/>
          <w:sz w:val="20"/>
          <w:szCs w:val="20"/>
        </w:rPr>
        <w:t xml:space="preserve">Claim-Smart Limited is a Claims Management Company.  We at Claim-Smart Ltd understand that the documents are long, but we have tried to make these as simple to understand as possible. However, if you have any questions about the documents (or the claim more generally), please </w:t>
      </w:r>
      <w:r w:rsidR="000B27B1">
        <w:rPr>
          <w:rFonts w:ascii="Arial" w:hAnsi="Arial" w:cs="Arial"/>
          <w:sz w:val="20"/>
          <w:szCs w:val="20"/>
        </w:rPr>
        <w:t>phone</w:t>
      </w:r>
      <w:r w:rsidRPr="00DD0C53">
        <w:rPr>
          <w:rFonts w:ascii="Arial" w:hAnsi="Arial" w:cs="Arial"/>
          <w:sz w:val="20"/>
          <w:szCs w:val="20"/>
        </w:rPr>
        <w:t xml:space="preserve"> us </w:t>
      </w:r>
      <w:r w:rsidR="00225C93" w:rsidRPr="00DD0C53">
        <w:rPr>
          <w:rFonts w:ascii="Arial" w:hAnsi="Arial" w:cs="Arial"/>
          <w:sz w:val="20"/>
          <w:szCs w:val="20"/>
        </w:rPr>
        <w:t>on</w:t>
      </w:r>
      <w:r w:rsidRPr="00DD0C53">
        <w:rPr>
          <w:rFonts w:ascii="Arial" w:hAnsi="Arial" w:cs="Arial"/>
          <w:sz w:val="20"/>
          <w:szCs w:val="20"/>
        </w:rPr>
        <w:t xml:space="preserve"> </w:t>
      </w:r>
      <w:r w:rsidR="000B27B1" w:rsidRPr="000B27B1">
        <w:rPr>
          <w:rFonts w:ascii="Arial" w:hAnsi="Arial" w:cs="Arial"/>
          <w:sz w:val="20"/>
          <w:szCs w:val="20"/>
        </w:rPr>
        <w:t>020 3307 5218</w:t>
      </w:r>
      <w:r w:rsidR="000B27B1">
        <w:rPr>
          <w:rFonts w:ascii="Arial" w:hAnsi="Arial" w:cs="Arial"/>
          <w:sz w:val="20"/>
          <w:szCs w:val="20"/>
        </w:rPr>
        <w:t>.</w:t>
      </w:r>
    </w:p>
    <w:p w14:paraId="09FED5C5" w14:textId="77777777" w:rsidR="00DD0C53" w:rsidRDefault="00DD0C53"/>
    <w:p w14:paraId="105BAD14" w14:textId="74B7ABB8" w:rsidR="00DD0C53" w:rsidRPr="00DD0C53" w:rsidRDefault="000B27B1">
      <w:pPr>
        <w:rPr>
          <w:rFonts w:ascii="Arial" w:hAnsi="Arial" w:cs="Arial"/>
          <w:b/>
          <w:bCs/>
          <w:sz w:val="20"/>
          <w:szCs w:val="20"/>
        </w:rPr>
      </w:pPr>
      <w:r>
        <w:rPr>
          <w:rFonts w:ascii="Arial" w:hAnsi="Arial" w:cs="Arial"/>
          <w:b/>
          <w:bCs/>
          <w:sz w:val="20"/>
          <w:szCs w:val="20"/>
        </w:rPr>
        <w:t>Our Services</w:t>
      </w:r>
    </w:p>
    <w:p w14:paraId="280B88D2" w14:textId="77777777" w:rsidR="00DD0C53" w:rsidRDefault="00DD0C53"/>
    <w:p w14:paraId="5D8CAEBD" w14:textId="77777777" w:rsidR="00DD0C53" w:rsidRPr="00DD0C53" w:rsidRDefault="00DD0C53" w:rsidP="000B27B1">
      <w:pPr>
        <w:jc w:val="both"/>
        <w:rPr>
          <w:rFonts w:ascii="Arial" w:hAnsi="Arial" w:cs="Arial"/>
          <w:sz w:val="20"/>
          <w:szCs w:val="20"/>
        </w:rPr>
      </w:pPr>
      <w:r w:rsidRPr="00DD0C53">
        <w:rPr>
          <w:rFonts w:ascii="Arial" w:hAnsi="Arial" w:cs="Arial"/>
          <w:sz w:val="20"/>
          <w:szCs w:val="20"/>
        </w:rPr>
        <w:t xml:space="preserve">Car Finance Claim.  We will advise, investigate and represent you against relevant third parties for a potential mis-sold car finance claim. We will take steps to establish that you had a relationship with the finance provider, obtain relevant information to investigate the merits of the claim(s) and, where merit is established, submit a letter of claim to the relevant finance provider. They are allowed 8 weeks to respond to the request, but due to the ongoing investigation being carried out by the Financial Conduct Authority they may not respond until after the 24 September 2024, at the earliest. We will process your claim, liaising with the finance provider until a conclusion is reached. This could involve escalating the complaint to the Financial Ombudsman Service. We will keep you informed of any material developments by either email and/or telephone. </w:t>
      </w:r>
    </w:p>
    <w:p w14:paraId="79186951" w14:textId="77777777" w:rsidR="00DD0C53" w:rsidRDefault="00DD0C53"/>
    <w:p w14:paraId="388D2E67" w14:textId="7A949D79" w:rsidR="00DD0C53" w:rsidRDefault="00EF26C7" w:rsidP="00DD0C53">
      <w:pPr>
        <w:rPr>
          <w:rFonts w:ascii="Arial" w:hAnsi="Arial" w:cs="Arial"/>
          <w:b/>
          <w:bCs/>
          <w:sz w:val="20"/>
          <w:szCs w:val="20"/>
        </w:rPr>
      </w:pPr>
      <w:r>
        <w:rPr>
          <w:rFonts w:ascii="Arial" w:hAnsi="Arial" w:cs="Arial"/>
          <w:b/>
          <w:bCs/>
          <w:sz w:val="20"/>
          <w:szCs w:val="20"/>
        </w:rPr>
        <w:t>Our</w:t>
      </w:r>
      <w:r w:rsidR="00DD0C53" w:rsidRPr="003A4EB1">
        <w:rPr>
          <w:rFonts w:ascii="Arial" w:hAnsi="Arial" w:cs="Arial"/>
          <w:b/>
          <w:bCs/>
          <w:sz w:val="20"/>
          <w:szCs w:val="20"/>
        </w:rPr>
        <w:t xml:space="preserve"> Fees</w:t>
      </w:r>
    </w:p>
    <w:p w14:paraId="0D1D0DA6" w14:textId="77777777" w:rsidR="00EF26C7" w:rsidRPr="003A4EB1" w:rsidRDefault="00EF26C7" w:rsidP="00DD0C53">
      <w:pPr>
        <w:rPr>
          <w:rFonts w:ascii="Arial" w:hAnsi="Arial" w:cs="Arial"/>
          <w:b/>
          <w:bCs/>
          <w:sz w:val="20"/>
          <w:szCs w:val="20"/>
        </w:rPr>
      </w:pPr>
    </w:p>
    <w:p w14:paraId="1B3A0780" w14:textId="7FD29488" w:rsidR="00DD0C53" w:rsidRPr="003A4EB1" w:rsidRDefault="00E65D88" w:rsidP="00EF26C7">
      <w:pPr>
        <w:jc w:val="both"/>
        <w:rPr>
          <w:rFonts w:ascii="Arial" w:hAnsi="Arial" w:cs="Arial"/>
          <w:sz w:val="20"/>
          <w:szCs w:val="20"/>
        </w:rPr>
      </w:pPr>
      <w:r w:rsidRPr="003A4EB1">
        <w:rPr>
          <w:rFonts w:ascii="Arial" w:hAnsi="Arial" w:cs="Arial"/>
          <w:sz w:val="20"/>
          <w:szCs w:val="20"/>
        </w:rPr>
        <w:t>No Win, No Fee Guarantee.  We act on a “no win, no fee’ arrangement.  This means that you don't have to pay money up front for us to pursue your claim and if we are unsuccessful, you do not pay us a penny.  If your claim is successful, we will charge you a fee that is line with the FCA Fee Cap</w:t>
      </w:r>
      <w:r w:rsidR="003E6A54">
        <w:rPr>
          <w:rFonts w:ascii="Arial" w:hAnsi="Arial" w:cs="Arial"/>
          <w:sz w:val="20"/>
          <w:szCs w:val="20"/>
        </w:rPr>
        <w:t xml:space="preserve">.  </w:t>
      </w:r>
      <w:r w:rsidR="003E6A54" w:rsidRPr="003E6A54">
        <w:rPr>
          <w:rFonts w:ascii="Arial" w:hAnsi="Arial" w:cs="Arial"/>
          <w:sz w:val="20"/>
          <w:szCs w:val="20"/>
        </w:rPr>
        <w:t>The amount you pay will be dependent on the level of redress you receive. VAT is chargeable on each service</w:t>
      </w:r>
      <w:r w:rsidR="00EF26C7">
        <w:rPr>
          <w:rFonts w:ascii="Arial" w:hAnsi="Arial" w:cs="Arial"/>
          <w:sz w:val="20"/>
          <w:szCs w:val="20"/>
        </w:rPr>
        <w:t xml:space="preserve"> fee</w:t>
      </w:r>
      <w:r w:rsidR="003E6A54" w:rsidRPr="003E6A54">
        <w:rPr>
          <w:rFonts w:ascii="Arial" w:hAnsi="Arial" w:cs="Arial"/>
          <w:sz w:val="20"/>
          <w:szCs w:val="20"/>
        </w:rPr>
        <w:t xml:space="preserve"> (the current rate of VAT is 20%). Below </w:t>
      </w:r>
      <w:r w:rsidR="00EF26C7">
        <w:rPr>
          <w:rFonts w:ascii="Arial" w:hAnsi="Arial" w:cs="Arial"/>
          <w:sz w:val="20"/>
          <w:szCs w:val="20"/>
        </w:rPr>
        <w:t xml:space="preserve">our fee table and </w:t>
      </w:r>
      <w:r w:rsidR="003E6A54" w:rsidRPr="003E6A54">
        <w:rPr>
          <w:rFonts w:ascii="Arial" w:hAnsi="Arial" w:cs="Arial"/>
          <w:sz w:val="20"/>
          <w:szCs w:val="20"/>
        </w:rPr>
        <w:t xml:space="preserve">several worked examples that illustrate how our service fee is applied for any offer of settlement offered. </w:t>
      </w:r>
      <w:r w:rsidR="00EF26C7">
        <w:rPr>
          <w:rFonts w:ascii="Arial" w:hAnsi="Arial" w:cs="Arial"/>
          <w:sz w:val="20"/>
          <w:szCs w:val="20"/>
        </w:rPr>
        <w:t xml:space="preserve"> </w:t>
      </w:r>
      <w:r w:rsidR="003E6A54" w:rsidRPr="003E6A54">
        <w:rPr>
          <w:rFonts w:ascii="Arial" w:hAnsi="Arial" w:cs="Arial"/>
          <w:sz w:val="20"/>
          <w:szCs w:val="20"/>
        </w:rPr>
        <w:t xml:space="preserve">Our service fee(s) will reduce the amount of cash in hand compensation you will retain. If you have any outstanding liabilities with the firm whom the claim is to be </w:t>
      </w:r>
      <w:proofErr w:type="gramStart"/>
      <w:r w:rsidR="003E6A54" w:rsidRPr="003E6A54">
        <w:rPr>
          <w:rFonts w:ascii="Arial" w:hAnsi="Arial" w:cs="Arial"/>
          <w:sz w:val="20"/>
          <w:szCs w:val="20"/>
        </w:rPr>
        <w:t>made</w:t>
      </w:r>
      <w:proofErr w:type="gramEnd"/>
      <w:r w:rsidR="003E6A54" w:rsidRPr="003E6A54">
        <w:rPr>
          <w:rFonts w:ascii="Arial" w:hAnsi="Arial" w:cs="Arial"/>
          <w:sz w:val="20"/>
          <w:szCs w:val="20"/>
        </w:rPr>
        <w:t xml:space="preserve"> then in certain circumstances your redress may be off set against those outstanding liabilities and you will where necessary need to pay our fees from your own funds.</w:t>
      </w:r>
      <w:r w:rsidR="003E6A54" w:rsidRPr="003A4EB1">
        <w:rPr>
          <w:rFonts w:ascii="Arial" w:hAnsi="Arial" w:cs="Arial"/>
          <w:sz w:val="20"/>
          <w:szCs w:val="20"/>
        </w:rPr>
        <w:t xml:space="preserve"> </w:t>
      </w:r>
    </w:p>
    <w:p w14:paraId="265131AB" w14:textId="77777777" w:rsidR="003E6A54" w:rsidRDefault="003E6A54" w:rsidP="003E6A54">
      <w:pPr>
        <w:pStyle w:val="Default"/>
      </w:pPr>
    </w:p>
    <w:tbl>
      <w:tblPr>
        <w:tblStyle w:val="TableGrid"/>
        <w:tblW w:w="0" w:type="auto"/>
        <w:tblLook w:val="04A0" w:firstRow="1" w:lastRow="0" w:firstColumn="1" w:lastColumn="0" w:noHBand="0" w:noVBand="1"/>
      </w:tblPr>
      <w:tblGrid>
        <w:gridCol w:w="1067"/>
        <w:gridCol w:w="1071"/>
        <w:gridCol w:w="1245"/>
        <w:gridCol w:w="1432"/>
        <w:gridCol w:w="1614"/>
        <w:gridCol w:w="1265"/>
        <w:gridCol w:w="1188"/>
        <w:gridCol w:w="1188"/>
      </w:tblGrid>
      <w:tr w:rsidR="00BA23BD" w14:paraId="6F33C95C" w14:textId="1AB9A8DF" w:rsidTr="00847DD2">
        <w:tc>
          <w:tcPr>
            <w:tcW w:w="2138" w:type="dxa"/>
            <w:gridSpan w:val="2"/>
          </w:tcPr>
          <w:p w14:paraId="13EB3E32" w14:textId="77777777" w:rsidR="00BA23BD" w:rsidRDefault="00BA23BD" w:rsidP="003E6A54">
            <w:pPr>
              <w:jc w:val="center"/>
              <w:rPr>
                <w:rFonts w:ascii="Arial" w:hAnsi="Arial" w:cs="Arial"/>
                <w:sz w:val="20"/>
                <w:szCs w:val="20"/>
              </w:rPr>
            </w:pPr>
            <w:r>
              <w:rPr>
                <w:rFonts w:ascii="Arial" w:hAnsi="Arial" w:cs="Arial"/>
                <w:sz w:val="20"/>
                <w:szCs w:val="20"/>
              </w:rPr>
              <w:t>Redress Amount</w:t>
            </w:r>
          </w:p>
        </w:tc>
        <w:tc>
          <w:tcPr>
            <w:tcW w:w="1245" w:type="dxa"/>
          </w:tcPr>
          <w:p w14:paraId="42BDCC2C" w14:textId="74BC6112" w:rsidR="00BA23BD" w:rsidRDefault="00BA23BD" w:rsidP="00A46E1B">
            <w:pPr>
              <w:jc w:val="center"/>
              <w:rPr>
                <w:rFonts w:ascii="Arial" w:hAnsi="Arial" w:cs="Arial"/>
                <w:sz w:val="20"/>
                <w:szCs w:val="20"/>
              </w:rPr>
            </w:pPr>
            <w:r>
              <w:rPr>
                <w:rFonts w:ascii="Arial" w:hAnsi="Arial" w:cs="Arial"/>
                <w:sz w:val="20"/>
                <w:szCs w:val="20"/>
              </w:rPr>
              <w:t>Service Fee</w:t>
            </w:r>
          </w:p>
        </w:tc>
        <w:tc>
          <w:tcPr>
            <w:tcW w:w="6687" w:type="dxa"/>
            <w:gridSpan w:val="5"/>
          </w:tcPr>
          <w:p w14:paraId="5F9040DC" w14:textId="464EEE3C" w:rsidR="00BA23BD" w:rsidRDefault="00BA23BD" w:rsidP="00BA23BD">
            <w:pPr>
              <w:jc w:val="center"/>
              <w:rPr>
                <w:rFonts w:ascii="Arial" w:hAnsi="Arial" w:cs="Arial"/>
                <w:sz w:val="20"/>
                <w:szCs w:val="20"/>
              </w:rPr>
            </w:pPr>
            <w:r>
              <w:rPr>
                <w:rFonts w:ascii="Arial" w:hAnsi="Arial" w:cs="Arial"/>
                <w:sz w:val="20"/>
                <w:szCs w:val="20"/>
              </w:rPr>
              <w:t>Examples</w:t>
            </w:r>
          </w:p>
        </w:tc>
      </w:tr>
      <w:tr w:rsidR="00BA23BD" w14:paraId="74B81162" w14:textId="3C152D8F" w:rsidTr="00BA23BD">
        <w:tc>
          <w:tcPr>
            <w:tcW w:w="1067" w:type="dxa"/>
          </w:tcPr>
          <w:p w14:paraId="30C0BAB2" w14:textId="32C5BAB2" w:rsidR="00BA23BD" w:rsidRDefault="00BA23BD" w:rsidP="00DD0C53">
            <w:pPr>
              <w:rPr>
                <w:rFonts w:ascii="Arial" w:hAnsi="Arial" w:cs="Arial"/>
                <w:sz w:val="20"/>
                <w:szCs w:val="20"/>
              </w:rPr>
            </w:pPr>
            <w:r>
              <w:rPr>
                <w:rFonts w:ascii="Arial" w:hAnsi="Arial" w:cs="Arial"/>
                <w:sz w:val="20"/>
                <w:szCs w:val="20"/>
              </w:rPr>
              <w:t xml:space="preserve">Lower </w:t>
            </w:r>
          </w:p>
        </w:tc>
        <w:tc>
          <w:tcPr>
            <w:tcW w:w="1071" w:type="dxa"/>
          </w:tcPr>
          <w:p w14:paraId="6CC70445" w14:textId="3FD3B5BF" w:rsidR="00BA23BD" w:rsidRDefault="00BA23BD" w:rsidP="00DD0C53">
            <w:pPr>
              <w:rPr>
                <w:rFonts w:ascii="Arial" w:hAnsi="Arial" w:cs="Arial"/>
                <w:sz w:val="20"/>
                <w:szCs w:val="20"/>
              </w:rPr>
            </w:pPr>
            <w:r>
              <w:rPr>
                <w:rFonts w:ascii="Arial" w:hAnsi="Arial" w:cs="Arial"/>
                <w:sz w:val="20"/>
                <w:szCs w:val="20"/>
              </w:rPr>
              <w:t xml:space="preserve">Upper </w:t>
            </w:r>
          </w:p>
        </w:tc>
        <w:tc>
          <w:tcPr>
            <w:tcW w:w="1245" w:type="dxa"/>
          </w:tcPr>
          <w:p w14:paraId="29FBC174" w14:textId="07F25264" w:rsidR="00BA23BD" w:rsidRDefault="00BA23BD" w:rsidP="00DD0C53">
            <w:pPr>
              <w:rPr>
                <w:rFonts w:ascii="Arial" w:hAnsi="Arial" w:cs="Arial"/>
                <w:sz w:val="20"/>
                <w:szCs w:val="20"/>
              </w:rPr>
            </w:pPr>
          </w:p>
        </w:tc>
        <w:tc>
          <w:tcPr>
            <w:tcW w:w="1432" w:type="dxa"/>
          </w:tcPr>
          <w:p w14:paraId="3A3958AE" w14:textId="67F97EEE" w:rsidR="00BA23BD" w:rsidRDefault="00BA23BD" w:rsidP="00DD0C53">
            <w:pPr>
              <w:rPr>
                <w:rFonts w:ascii="Arial" w:hAnsi="Arial" w:cs="Arial"/>
                <w:sz w:val="20"/>
                <w:szCs w:val="20"/>
              </w:rPr>
            </w:pPr>
            <w:r>
              <w:rPr>
                <w:rFonts w:ascii="Arial" w:hAnsi="Arial" w:cs="Arial"/>
                <w:sz w:val="20"/>
                <w:szCs w:val="20"/>
              </w:rPr>
              <w:t>Settlement Amount</w:t>
            </w:r>
          </w:p>
        </w:tc>
        <w:tc>
          <w:tcPr>
            <w:tcW w:w="1614" w:type="dxa"/>
          </w:tcPr>
          <w:p w14:paraId="450BE75F" w14:textId="7E12251C" w:rsidR="00BA23BD" w:rsidRDefault="00BA23BD" w:rsidP="00DD0C53">
            <w:pPr>
              <w:rPr>
                <w:rFonts w:ascii="Arial" w:hAnsi="Arial" w:cs="Arial"/>
                <w:sz w:val="20"/>
                <w:szCs w:val="20"/>
              </w:rPr>
            </w:pPr>
            <w:r>
              <w:rPr>
                <w:rFonts w:ascii="Arial" w:hAnsi="Arial" w:cs="Arial"/>
                <w:sz w:val="20"/>
                <w:szCs w:val="20"/>
              </w:rPr>
              <w:t>Our Fee</w:t>
            </w:r>
          </w:p>
        </w:tc>
        <w:tc>
          <w:tcPr>
            <w:tcW w:w="1265" w:type="dxa"/>
          </w:tcPr>
          <w:p w14:paraId="460B88FD" w14:textId="5FD1111E" w:rsidR="00BA23BD" w:rsidRDefault="00BA23BD" w:rsidP="00DD0C53">
            <w:pPr>
              <w:rPr>
                <w:rFonts w:ascii="Arial" w:hAnsi="Arial" w:cs="Arial"/>
                <w:sz w:val="20"/>
                <w:szCs w:val="20"/>
              </w:rPr>
            </w:pPr>
            <w:r>
              <w:rPr>
                <w:rFonts w:ascii="Arial" w:hAnsi="Arial" w:cs="Arial"/>
                <w:sz w:val="20"/>
                <w:szCs w:val="20"/>
              </w:rPr>
              <w:t>Vat @ 20%</w:t>
            </w:r>
          </w:p>
        </w:tc>
        <w:tc>
          <w:tcPr>
            <w:tcW w:w="1188" w:type="dxa"/>
          </w:tcPr>
          <w:p w14:paraId="241762D8" w14:textId="2631D128" w:rsidR="00BA23BD" w:rsidRDefault="00BA23BD" w:rsidP="00DD0C53">
            <w:pPr>
              <w:rPr>
                <w:rFonts w:ascii="Arial" w:hAnsi="Arial" w:cs="Arial"/>
                <w:sz w:val="20"/>
                <w:szCs w:val="20"/>
              </w:rPr>
            </w:pPr>
            <w:r>
              <w:rPr>
                <w:rFonts w:ascii="Arial" w:hAnsi="Arial" w:cs="Arial"/>
                <w:sz w:val="20"/>
                <w:szCs w:val="20"/>
              </w:rPr>
              <w:t>Owed to Us</w:t>
            </w:r>
          </w:p>
        </w:tc>
        <w:tc>
          <w:tcPr>
            <w:tcW w:w="1188" w:type="dxa"/>
          </w:tcPr>
          <w:p w14:paraId="1381A789" w14:textId="23E7F3F8" w:rsidR="00BA23BD" w:rsidRDefault="00BA23BD" w:rsidP="00DD0C53">
            <w:pPr>
              <w:rPr>
                <w:rFonts w:ascii="Arial" w:hAnsi="Arial" w:cs="Arial"/>
                <w:sz w:val="20"/>
                <w:szCs w:val="20"/>
              </w:rPr>
            </w:pPr>
            <w:r>
              <w:rPr>
                <w:rFonts w:ascii="Arial" w:hAnsi="Arial" w:cs="Arial"/>
                <w:sz w:val="20"/>
                <w:szCs w:val="20"/>
              </w:rPr>
              <w:t>You Receive</w:t>
            </w:r>
          </w:p>
        </w:tc>
      </w:tr>
      <w:tr w:rsidR="00BA23BD" w14:paraId="459D6975" w14:textId="7004EB6A" w:rsidTr="00BA23BD">
        <w:tc>
          <w:tcPr>
            <w:tcW w:w="1067" w:type="dxa"/>
          </w:tcPr>
          <w:p w14:paraId="547FCFB1" w14:textId="78F22ED0" w:rsidR="00BA23BD" w:rsidRDefault="00BA23BD" w:rsidP="00BA23BD">
            <w:pPr>
              <w:rPr>
                <w:rFonts w:ascii="Arial" w:hAnsi="Arial" w:cs="Arial"/>
                <w:sz w:val="20"/>
                <w:szCs w:val="20"/>
              </w:rPr>
            </w:pPr>
            <w:r>
              <w:rPr>
                <w:rFonts w:ascii="Arial" w:hAnsi="Arial" w:cs="Arial"/>
                <w:sz w:val="20"/>
                <w:szCs w:val="20"/>
              </w:rPr>
              <w:t>£1</w:t>
            </w:r>
          </w:p>
        </w:tc>
        <w:tc>
          <w:tcPr>
            <w:tcW w:w="1071" w:type="dxa"/>
          </w:tcPr>
          <w:p w14:paraId="464F9324" w14:textId="0F5461F0" w:rsidR="00BA23BD" w:rsidRDefault="00BA23BD" w:rsidP="00BA23BD">
            <w:pPr>
              <w:rPr>
                <w:rFonts w:ascii="Arial" w:hAnsi="Arial" w:cs="Arial"/>
                <w:sz w:val="20"/>
                <w:szCs w:val="20"/>
              </w:rPr>
            </w:pPr>
            <w:r>
              <w:rPr>
                <w:rFonts w:ascii="Arial" w:hAnsi="Arial" w:cs="Arial"/>
                <w:sz w:val="20"/>
                <w:szCs w:val="20"/>
              </w:rPr>
              <w:t>£1,499</w:t>
            </w:r>
          </w:p>
        </w:tc>
        <w:tc>
          <w:tcPr>
            <w:tcW w:w="1245" w:type="dxa"/>
          </w:tcPr>
          <w:p w14:paraId="04EB7C36" w14:textId="760F9692" w:rsidR="00BA23BD" w:rsidRDefault="00BA23BD" w:rsidP="00BA23BD">
            <w:pPr>
              <w:jc w:val="center"/>
              <w:rPr>
                <w:rFonts w:ascii="Arial" w:hAnsi="Arial" w:cs="Arial"/>
                <w:sz w:val="20"/>
                <w:szCs w:val="20"/>
              </w:rPr>
            </w:pPr>
            <w:r>
              <w:rPr>
                <w:rFonts w:ascii="Arial" w:hAnsi="Arial" w:cs="Arial"/>
                <w:sz w:val="20"/>
                <w:szCs w:val="20"/>
              </w:rPr>
              <w:t>30%</w:t>
            </w:r>
          </w:p>
        </w:tc>
        <w:tc>
          <w:tcPr>
            <w:tcW w:w="1432" w:type="dxa"/>
          </w:tcPr>
          <w:p w14:paraId="5908E747" w14:textId="4CD4025D" w:rsidR="00BA23BD" w:rsidRDefault="00BA23BD" w:rsidP="00BA23BD">
            <w:pPr>
              <w:rPr>
                <w:rFonts w:ascii="Arial" w:hAnsi="Arial" w:cs="Arial"/>
                <w:sz w:val="20"/>
                <w:szCs w:val="20"/>
              </w:rPr>
            </w:pPr>
            <w:r>
              <w:rPr>
                <w:rFonts w:ascii="Arial" w:hAnsi="Arial" w:cs="Arial"/>
                <w:sz w:val="20"/>
                <w:szCs w:val="20"/>
              </w:rPr>
              <w:t>£1,000</w:t>
            </w:r>
          </w:p>
        </w:tc>
        <w:tc>
          <w:tcPr>
            <w:tcW w:w="1614" w:type="dxa"/>
          </w:tcPr>
          <w:p w14:paraId="5DB1176B" w14:textId="58DB3D68" w:rsidR="00BA23BD" w:rsidRDefault="00BA23BD" w:rsidP="00BA23BD">
            <w:pPr>
              <w:rPr>
                <w:rFonts w:ascii="Arial" w:hAnsi="Arial" w:cs="Arial"/>
                <w:sz w:val="20"/>
                <w:szCs w:val="20"/>
              </w:rPr>
            </w:pPr>
            <w:r>
              <w:rPr>
                <w:rFonts w:ascii="Arial" w:hAnsi="Arial" w:cs="Arial"/>
                <w:sz w:val="20"/>
                <w:szCs w:val="20"/>
              </w:rPr>
              <w:t>30% = £300</w:t>
            </w:r>
          </w:p>
        </w:tc>
        <w:tc>
          <w:tcPr>
            <w:tcW w:w="1265" w:type="dxa"/>
          </w:tcPr>
          <w:p w14:paraId="7E3C0ADA" w14:textId="0A1E74FD" w:rsidR="00BA23BD" w:rsidRDefault="00BA23BD" w:rsidP="00BA23BD">
            <w:pPr>
              <w:rPr>
                <w:rFonts w:ascii="Arial" w:hAnsi="Arial" w:cs="Arial"/>
                <w:sz w:val="20"/>
                <w:szCs w:val="20"/>
              </w:rPr>
            </w:pPr>
            <w:r>
              <w:rPr>
                <w:rFonts w:ascii="Arial" w:hAnsi="Arial" w:cs="Arial"/>
                <w:sz w:val="20"/>
                <w:szCs w:val="20"/>
              </w:rPr>
              <w:t>+£60</w:t>
            </w:r>
          </w:p>
        </w:tc>
        <w:tc>
          <w:tcPr>
            <w:tcW w:w="1188" w:type="dxa"/>
          </w:tcPr>
          <w:p w14:paraId="66446C9F" w14:textId="2F0AEEDD" w:rsidR="00BA23BD" w:rsidRDefault="00BA23BD" w:rsidP="00BA23BD">
            <w:pPr>
              <w:rPr>
                <w:rFonts w:ascii="Arial" w:hAnsi="Arial" w:cs="Arial"/>
                <w:sz w:val="20"/>
                <w:szCs w:val="20"/>
              </w:rPr>
            </w:pPr>
            <w:r>
              <w:rPr>
                <w:rFonts w:ascii="Arial" w:hAnsi="Arial" w:cs="Arial"/>
                <w:sz w:val="20"/>
                <w:szCs w:val="20"/>
              </w:rPr>
              <w:t>£360</w:t>
            </w:r>
          </w:p>
        </w:tc>
        <w:tc>
          <w:tcPr>
            <w:tcW w:w="1188" w:type="dxa"/>
          </w:tcPr>
          <w:p w14:paraId="07C827A4" w14:textId="1C1A5E91" w:rsidR="00BA23BD" w:rsidRDefault="00BA23BD" w:rsidP="00BA23BD">
            <w:pPr>
              <w:rPr>
                <w:rFonts w:ascii="Arial" w:hAnsi="Arial" w:cs="Arial"/>
                <w:sz w:val="20"/>
                <w:szCs w:val="20"/>
              </w:rPr>
            </w:pPr>
            <w:r>
              <w:rPr>
                <w:rFonts w:ascii="Arial" w:hAnsi="Arial" w:cs="Arial"/>
                <w:sz w:val="20"/>
                <w:szCs w:val="20"/>
              </w:rPr>
              <w:t>£640</w:t>
            </w:r>
          </w:p>
        </w:tc>
      </w:tr>
      <w:tr w:rsidR="00BA23BD" w14:paraId="38CC69C7" w14:textId="24A561DF" w:rsidTr="00BA23BD">
        <w:tc>
          <w:tcPr>
            <w:tcW w:w="1067" w:type="dxa"/>
          </w:tcPr>
          <w:p w14:paraId="42E37F1A" w14:textId="7DFAD6D2" w:rsidR="00BA23BD" w:rsidRDefault="00BA23BD" w:rsidP="00BA23BD">
            <w:pPr>
              <w:rPr>
                <w:rFonts w:ascii="Arial" w:hAnsi="Arial" w:cs="Arial"/>
                <w:sz w:val="20"/>
                <w:szCs w:val="20"/>
              </w:rPr>
            </w:pPr>
            <w:r>
              <w:rPr>
                <w:rFonts w:ascii="Arial" w:hAnsi="Arial" w:cs="Arial"/>
                <w:sz w:val="20"/>
                <w:szCs w:val="20"/>
              </w:rPr>
              <w:t>£1,500</w:t>
            </w:r>
          </w:p>
        </w:tc>
        <w:tc>
          <w:tcPr>
            <w:tcW w:w="1071" w:type="dxa"/>
          </w:tcPr>
          <w:p w14:paraId="2C8FDADE" w14:textId="333DE6B1" w:rsidR="00BA23BD" w:rsidRDefault="00BA23BD" w:rsidP="00BA23BD">
            <w:pPr>
              <w:rPr>
                <w:rFonts w:ascii="Arial" w:hAnsi="Arial" w:cs="Arial"/>
                <w:sz w:val="20"/>
                <w:szCs w:val="20"/>
              </w:rPr>
            </w:pPr>
            <w:r>
              <w:rPr>
                <w:rFonts w:ascii="Arial" w:hAnsi="Arial" w:cs="Arial"/>
                <w:sz w:val="20"/>
                <w:szCs w:val="20"/>
              </w:rPr>
              <w:t>£9,999</w:t>
            </w:r>
          </w:p>
        </w:tc>
        <w:tc>
          <w:tcPr>
            <w:tcW w:w="1245" w:type="dxa"/>
          </w:tcPr>
          <w:p w14:paraId="2303105D" w14:textId="44A81A67" w:rsidR="00BA23BD" w:rsidRDefault="00BA23BD" w:rsidP="00BA23BD">
            <w:pPr>
              <w:jc w:val="center"/>
              <w:rPr>
                <w:rFonts w:ascii="Arial" w:hAnsi="Arial" w:cs="Arial"/>
                <w:sz w:val="20"/>
                <w:szCs w:val="20"/>
              </w:rPr>
            </w:pPr>
            <w:r>
              <w:rPr>
                <w:rFonts w:ascii="Arial" w:hAnsi="Arial" w:cs="Arial"/>
                <w:sz w:val="20"/>
                <w:szCs w:val="20"/>
              </w:rPr>
              <w:t>28%</w:t>
            </w:r>
          </w:p>
        </w:tc>
        <w:tc>
          <w:tcPr>
            <w:tcW w:w="1432" w:type="dxa"/>
          </w:tcPr>
          <w:p w14:paraId="47979295" w14:textId="533E0D66" w:rsidR="00BA23BD" w:rsidRDefault="00BA23BD" w:rsidP="00BA23BD">
            <w:pPr>
              <w:rPr>
                <w:rFonts w:ascii="Arial" w:hAnsi="Arial" w:cs="Arial"/>
                <w:sz w:val="20"/>
                <w:szCs w:val="20"/>
              </w:rPr>
            </w:pPr>
            <w:r>
              <w:rPr>
                <w:rFonts w:ascii="Arial" w:hAnsi="Arial" w:cs="Arial"/>
                <w:sz w:val="20"/>
                <w:szCs w:val="20"/>
              </w:rPr>
              <w:t>£1,500</w:t>
            </w:r>
          </w:p>
        </w:tc>
        <w:tc>
          <w:tcPr>
            <w:tcW w:w="1614" w:type="dxa"/>
          </w:tcPr>
          <w:p w14:paraId="1CDF2CF5" w14:textId="5EF87A0A" w:rsidR="00BA23BD" w:rsidRDefault="00BA23BD" w:rsidP="00BA23BD">
            <w:pPr>
              <w:rPr>
                <w:rFonts w:ascii="Arial" w:hAnsi="Arial" w:cs="Arial"/>
                <w:sz w:val="20"/>
                <w:szCs w:val="20"/>
              </w:rPr>
            </w:pPr>
            <w:r>
              <w:rPr>
                <w:rFonts w:ascii="Arial" w:hAnsi="Arial" w:cs="Arial"/>
                <w:sz w:val="20"/>
                <w:szCs w:val="20"/>
              </w:rPr>
              <w:t>28% = £420</w:t>
            </w:r>
          </w:p>
        </w:tc>
        <w:tc>
          <w:tcPr>
            <w:tcW w:w="1265" w:type="dxa"/>
          </w:tcPr>
          <w:p w14:paraId="28619664" w14:textId="65AFBC8A" w:rsidR="00BA23BD" w:rsidRDefault="00BA23BD" w:rsidP="00BA23BD">
            <w:pPr>
              <w:rPr>
                <w:rFonts w:ascii="Arial" w:hAnsi="Arial" w:cs="Arial"/>
                <w:sz w:val="20"/>
                <w:szCs w:val="20"/>
              </w:rPr>
            </w:pPr>
            <w:r>
              <w:rPr>
                <w:rFonts w:ascii="Arial" w:hAnsi="Arial" w:cs="Arial"/>
                <w:sz w:val="20"/>
                <w:szCs w:val="20"/>
              </w:rPr>
              <w:t>+£84</w:t>
            </w:r>
          </w:p>
        </w:tc>
        <w:tc>
          <w:tcPr>
            <w:tcW w:w="1188" w:type="dxa"/>
          </w:tcPr>
          <w:p w14:paraId="512B75FB" w14:textId="489B886E" w:rsidR="00BA23BD" w:rsidRDefault="00BA23BD" w:rsidP="00BA23BD">
            <w:pPr>
              <w:rPr>
                <w:rFonts w:ascii="Arial" w:hAnsi="Arial" w:cs="Arial"/>
                <w:sz w:val="20"/>
                <w:szCs w:val="20"/>
              </w:rPr>
            </w:pPr>
            <w:r>
              <w:rPr>
                <w:rFonts w:ascii="Arial" w:hAnsi="Arial" w:cs="Arial"/>
                <w:sz w:val="20"/>
                <w:szCs w:val="20"/>
              </w:rPr>
              <w:t>£504</w:t>
            </w:r>
          </w:p>
        </w:tc>
        <w:tc>
          <w:tcPr>
            <w:tcW w:w="1188" w:type="dxa"/>
          </w:tcPr>
          <w:p w14:paraId="77A870B0" w14:textId="64CAD383" w:rsidR="00BA23BD" w:rsidRDefault="00BA23BD" w:rsidP="00BA23BD">
            <w:pPr>
              <w:rPr>
                <w:rFonts w:ascii="Arial" w:hAnsi="Arial" w:cs="Arial"/>
                <w:sz w:val="20"/>
                <w:szCs w:val="20"/>
              </w:rPr>
            </w:pPr>
            <w:r>
              <w:rPr>
                <w:rFonts w:ascii="Arial" w:hAnsi="Arial" w:cs="Arial"/>
                <w:sz w:val="20"/>
                <w:szCs w:val="20"/>
              </w:rPr>
              <w:t>£996</w:t>
            </w:r>
          </w:p>
        </w:tc>
      </w:tr>
      <w:tr w:rsidR="00BA23BD" w14:paraId="1E56686E" w14:textId="13F8177C" w:rsidTr="00BA23BD">
        <w:tc>
          <w:tcPr>
            <w:tcW w:w="1067" w:type="dxa"/>
          </w:tcPr>
          <w:p w14:paraId="1502C8AB" w14:textId="1B1040D6" w:rsidR="00BA23BD" w:rsidRDefault="00BA23BD" w:rsidP="00BA23BD">
            <w:pPr>
              <w:rPr>
                <w:rFonts w:ascii="Arial" w:hAnsi="Arial" w:cs="Arial"/>
                <w:sz w:val="20"/>
                <w:szCs w:val="20"/>
              </w:rPr>
            </w:pPr>
            <w:r>
              <w:rPr>
                <w:rFonts w:ascii="Arial" w:hAnsi="Arial" w:cs="Arial"/>
                <w:sz w:val="20"/>
                <w:szCs w:val="20"/>
              </w:rPr>
              <w:t>£10,000</w:t>
            </w:r>
          </w:p>
        </w:tc>
        <w:tc>
          <w:tcPr>
            <w:tcW w:w="1071" w:type="dxa"/>
          </w:tcPr>
          <w:p w14:paraId="26D905A4" w14:textId="68C7D81C" w:rsidR="00BA23BD" w:rsidRDefault="00BA23BD" w:rsidP="00BA23BD">
            <w:pPr>
              <w:rPr>
                <w:rFonts w:ascii="Arial" w:hAnsi="Arial" w:cs="Arial"/>
                <w:sz w:val="20"/>
                <w:szCs w:val="20"/>
              </w:rPr>
            </w:pPr>
            <w:r>
              <w:rPr>
                <w:rFonts w:ascii="Arial" w:hAnsi="Arial" w:cs="Arial"/>
                <w:sz w:val="20"/>
                <w:szCs w:val="20"/>
              </w:rPr>
              <w:t>£24,999</w:t>
            </w:r>
          </w:p>
        </w:tc>
        <w:tc>
          <w:tcPr>
            <w:tcW w:w="1245" w:type="dxa"/>
          </w:tcPr>
          <w:p w14:paraId="0D929EB4" w14:textId="697C3DAB" w:rsidR="00BA23BD" w:rsidRDefault="00BA23BD" w:rsidP="00BA23BD">
            <w:pPr>
              <w:jc w:val="center"/>
              <w:rPr>
                <w:rFonts w:ascii="Arial" w:hAnsi="Arial" w:cs="Arial"/>
                <w:sz w:val="20"/>
                <w:szCs w:val="20"/>
              </w:rPr>
            </w:pPr>
            <w:r>
              <w:rPr>
                <w:rFonts w:ascii="Arial" w:hAnsi="Arial" w:cs="Arial"/>
                <w:sz w:val="20"/>
                <w:szCs w:val="20"/>
              </w:rPr>
              <w:t>25%</w:t>
            </w:r>
          </w:p>
        </w:tc>
        <w:tc>
          <w:tcPr>
            <w:tcW w:w="1432" w:type="dxa"/>
          </w:tcPr>
          <w:p w14:paraId="4CDF0F45" w14:textId="0D44E3AB" w:rsidR="00BA23BD" w:rsidRDefault="00BA23BD" w:rsidP="00BA23BD">
            <w:pPr>
              <w:rPr>
                <w:rFonts w:ascii="Arial" w:hAnsi="Arial" w:cs="Arial"/>
                <w:sz w:val="20"/>
                <w:szCs w:val="20"/>
              </w:rPr>
            </w:pPr>
            <w:r>
              <w:rPr>
                <w:rFonts w:ascii="Arial" w:hAnsi="Arial" w:cs="Arial"/>
                <w:sz w:val="20"/>
                <w:szCs w:val="20"/>
              </w:rPr>
              <w:t>£10,000</w:t>
            </w:r>
          </w:p>
        </w:tc>
        <w:tc>
          <w:tcPr>
            <w:tcW w:w="1614" w:type="dxa"/>
          </w:tcPr>
          <w:p w14:paraId="2459A688" w14:textId="5FE71B0B" w:rsidR="00BA23BD" w:rsidRDefault="00BA23BD" w:rsidP="00BA23BD">
            <w:pPr>
              <w:rPr>
                <w:rFonts w:ascii="Arial" w:hAnsi="Arial" w:cs="Arial"/>
                <w:sz w:val="20"/>
                <w:szCs w:val="20"/>
              </w:rPr>
            </w:pPr>
            <w:r>
              <w:rPr>
                <w:rFonts w:ascii="Arial" w:hAnsi="Arial" w:cs="Arial"/>
                <w:sz w:val="20"/>
                <w:szCs w:val="20"/>
              </w:rPr>
              <w:t>25% = £2,500</w:t>
            </w:r>
          </w:p>
        </w:tc>
        <w:tc>
          <w:tcPr>
            <w:tcW w:w="1265" w:type="dxa"/>
          </w:tcPr>
          <w:p w14:paraId="3C65946E" w14:textId="62CAFBA2" w:rsidR="00BA23BD" w:rsidRDefault="00BA23BD" w:rsidP="00BA23BD">
            <w:pPr>
              <w:rPr>
                <w:rFonts w:ascii="Arial" w:hAnsi="Arial" w:cs="Arial"/>
                <w:sz w:val="20"/>
                <w:szCs w:val="20"/>
              </w:rPr>
            </w:pPr>
            <w:r>
              <w:rPr>
                <w:rFonts w:ascii="Arial" w:hAnsi="Arial" w:cs="Arial"/>
                <w:sz w:val="20"/>
                <w:szCs w:val="20"/>
              </w:rPr>
              <w:t>+£500</w:t>
            </w:r>
          </w:p>
        </w:tc>
        <w:tc>
          <w:tcPr>
            <w:tcW w:w="1188" w:type="dxa"/>
          </w:tcPr>
          <w:p w14:paraId="17169E23" w14:textId="48979DCF" w:rsidR="00BA23BD" w:rsidRDefault="00BA23BD" w:rsidP="00BA23BD">
            <w:pPr>
              <w:rPr>
                <w:rFonts w:ascii="Arial" w:hAnsi="Arial" w:cs="Arial"/>
                <w:sz w:val="20"/>
                <w:szCs w:val="20"/>
              </w:rPr>
            </w:pPr>
            <w:r>
              <w:rPr>
                <w:rFonts w:ascii="Arial" w:hAnsi="Arial" w:cs="Arial"/>
                <w:sz w:val="20"/>
                <w:szCs w:val="20"/>
              </w:rPr>
              <w:t>£3,000</w:t>
            </w:r>
          </w:p>
        </w:tc>
        <w:tc>
          <w:tcPr>
            <w:tcW w:w="1188" w:type="dxa"/>
          </w:tcPr>
          <w:p w14:paraId="2FA9BA27" w14:textId="7DE33AB6" w:rsidR="00BA23BD" w:rsidRDefault="00BA23BD" w:rsidP="00BA23BD">
            <w:pPr>
              <w:rPr>
                <w:rFonts w:ascii="Arial" w:hAnsi="Arial" w:cs="Arial"/>
                <w:sz w:val="20"/>
                <w:szCs w:val="20"/>
              </w:rPr>
            </w:pPr>
            <w:r>
              <w:rPr>
                <w:rFonts w:ascii="Arial" w:hAnsi="Arial" w:cs="Arial"/>
                <w:sz w:val="20"/>
                <w:szCs w:val="20"/>
              </w:rPr>
              <w:t>£7,000</w:t>
            </w:r>
          </w:p>
        </w:tc>
      </w:tr>
      <w:tr w:rsidR="00BA23BD" w14:paraId="532D4772" w14:textId="1D57364C" w:rsidTr="00BA23BD">
        <w:tc>
          <w:tcPr>
            <w:tcW w:w="1067" w:type="dxa"/>
          </w:tcPr>
          <w:p w14:paraId="73F10033" w14:textId="5993FFAC" w:rsidR="00BA23BD" w:rsidRDefault="00BA23BD" w:rsidP="00BA23BD">
            <w:pPr>
              <w:rPr>
                <w:rFonts w:ascii="Arial" w:hAnsi="Arial" w:cs="Arial"/>
                <w:sz w:val="20"/>
                <w:szCs w:val="20"/>
              </w:rPr>
            </w:pPr>
            <w:r>
              <w:rPr>
                <w:rFonts w:ascii="Arial" w:hAnsi="Arial" w:cs="Arial"/>
                <w:sz w:val="20"/>
                <w:szCs w:val="20"/>
              </w:rPr>
              <w:t>£25,000</w:t>
            </w:r>
          </w:p>
        </w:tc>
        <w:tc>
          <w:tcPr>
            <w:tcW w:w="1071" w:type="dxa"/>
          </w:tcPr>
          <w:p w14:paraId="7FA1A63A" w14:textId="55BA92C5" w:rsidR="00BA23BD" w:rsidRDefault="00BA23BD" w:rsidP="00BA23BD">
            <w:pPr>
              <w:rPr>
                <w:rFonts w:ascii="Arial" w:hAnsi="Arial" w:cs="Arial"/>
                <w:sz w:val="20"/>
                <w:szCs w:val="20"/>
              </w:rPr>
            </w:pPr>
            <w:r>
              <w:rPr>
                <w:rFonts w:ascii="Arial" w:hAnsi="Arial" w:cs="Arial"/>
                <w:sz w:val="20"/>
                <w:szCs w:val="20"/>
              </w:rPr>
              <w:t>£49,999</w:t>
            </w:r>
          </w:p>
        </w:tc>
        <w:tc>
          <w:tcPr>
            <w:tcW w:w="1245" w:type="dxa"/>
          </w:tcPr>
          <w:p w14:paraId="26BE4749" w14:textId="35DCF67B" w:rsidR="00BA23BD" w:rsidRDefault="00BA23BD" w:rsidP="00BA23BD">
            <w:pPr>
              <w:jc w:val="center"/>
              <w:rPr>
                <w:rFonts w:ascii="Arial" w:hAnsi="Arial" w:cs="Arial"/>
                <w:sz w:val="20"/>
                <w:szCs w:val="20"/>
              </w:rPr>
            </w:pPr>
            <w:r>
              <w:rPr>
                <w:rFonts w:ascii="Arial" w:hAnsi="Arial" w:cs="Arial"/>
                <w:sz w:val="20"/>
                <w:szCs w:val="20"/>
              </w:rPr>
              <w:t>20%</w:t>
            </w:r>
          </w:p>
        </w:tc>
        <w:tc>
          <w:tcPr>
            <w:tcW w:w="1432" w:type="dxa"/>
          </w:tcPr>
          <w:p w14:paraId="6CC18C37" w14:textId="168AB5E3" w:rsidR="00BA23BD" w:rsidRDefault="00BA23BD" w:rsidP="00BA23BD">
            <w:pPr>
              <w:rPr>
                <w:rFonts w:ascii="Arial" w:hAnsi="Arial" w:cs="Arial"/>
                <w:sz w:val="20"/>
                <w:szCs w:val="20"/>
              </w:rPr>
            </w:pPr>
            <w:r>
              <w:rPr>
                <w:rFonts w:ascii="Arial" w:hAnsi="Arial" w:cs="Arial"/>
                <w:sz w:val="20"/>
                <w:szCs w:val="20"/>
              </w:rPr>
              <w:t>£25,000</w:t>
            </w:r>
          </w:p>
        </w:tc>
        <w:tc>
          <w:tcPr>
            <w:tcW w:w="1614" w:type="dxa"/>
          </w:tcPr>
          <w:p w14:paraId="582D0BDF" w14:textId="6E58C449" w:rsidR="00BA23BD" w:rsidRDefault="00BA23BD" w:rsidP="00BA23BD">
            <w:pPr>
              <w:rPr>
                <w:rFonts w:ascii="Arial" w:hAnsi="Arial" w:cs="Arial"/>
                <w:sz w:val="20"/>
                <w:szCs w:val="20"/>
              </w:rPr>
            </w:pPr>
            <w:r>
              <w:rPr>
                <w:rFonts w:ascii="Arial" w:hAnsi="Arial" w:cs="Arial"/>
                <w:sz w:val="20"/>
                <w:szCs w:val="20"/>
              </w:rPr>
              <w:t>20% = £5,000</w:t>
            </w:r>
          </w:p>
        </w:tc>
        <w:tc>
          <w:tcPr>
            <w:tcW w:w="1265" w:type="dxa"/>
          </w:tcPr>
          <w:p w14:paraId="227721AD" w14:textId="31035D63" w:rsidR="00BA23BD" w:rsidRDefault="00BA23BD" w:rsidP="00BA23BD">
            <w:pPr>
              <w:rPr>
                <w:rFonts w:ascii="Arial" w:hAnsi="Arial" w:cs="Arial"/>
                <w:sz w:val="20"/>
                <w:szCs w:val="20"/>
              </w:rPr>
            </w:pPr>
            <w:r>
              <w:rPr>
                <w:rFonts w:ascii="Arial" w:hAnsi="Arial" w:cs="Arial"/>
                <w:sz w:val="20"/>
                <w:szCs w:val="20"/>
              </w:rPr>
              <w:t>+£1,000</w:t>
            </w:r>
          </w:p>
        </w:tc>
        <w:tc>
          <w:tcPr>
            <w:tcW w:w="1188" w:type="dxa"/>
          </w:tcPr>
          <w:p w14:paraId="517CAF7F" w14:textId="6910F75B" w:rsidR="00BA23BD" w:rsidRDefault="00BA23BD" w:rsidP="00BA23BD">
            <w:pPr>
              <w:rPr>
                <w:rFonts w:ascii="Arial" w:hAnsi="Arial" w:cs="Arial"/>
                <w:sz w:val="20"/>
                <w:szCs w:val="20"/>
              </w:rPr>
            </w:pPr>
            <w:r>
              <w:rPr>
                <w:rFonts w:ascii="Arial" w:hAnsi="Arial" w:cs="Arial"/>
                <w:sz w:val="20"/>
                <w:szCs w:val="20"/>
              </w:rPr>
              <w:t>£6,000</w:t>
            </w:r>
          </w:p>
        </w:tc>
        <w:tc>
          <w:tcPr>
            <w:tcW w:w="1188" w:type="dxa"/>
          </w:tcPr>
          <w:p w14:paraId="35CACA11" w14:textId="5A1D0868" w:rsidR="00BA23BD" w:rsidRDefault="00BA23BD" w:rsidP="00BA23BD">
            <w:pPr>
              <w:rPr>
                <w:rFonts w:ascii="Arial" w:hAnsi="Arial" w:cs="Arial"/>
                <w:sz w:val="20"/>
                <w:szCs w:val="20"/>
              </w:rPr>
            </w:pPr>
            <w:r>
              <w:rPr>
                <w:rFonts w:ascii="Arial" w:hAnsi="Arial" w:cs="Arial"/>
                <w:sz w:val="20"/>
                <w:szCs w:val="20"/>
              </w:rPr>
              <w:t>£19,000</w:t>
            </w:r>
          </w:p>
        </w:tc>
      </w:tr>
      <w:tr w:rsidR="00BA23BD" w14:paraId="2B61212B" w14:textId="3FB6BA74" w:rsidTr="00BA23BD">
        <w:tc>
          <w:tcPr>
            <w:tcW w:w="1067" w:type="dxa"/>
          </w:tcPr>
          <w:p w14:paraId="0B1ACDAA" w14:textId="1DC45097" w:rsidR="00BA23BD" w:rsidRDefault="00BA23BD" w:rsidP="00BA23BD">
            <w:pPr>
              <w:rPr>
                <w:rFonts w:ascii="Arial" w:hAnsi="Arial" w:cs="Arial"/>
                <w:sz w:val="20"/>
                <w:szCs w:val="20"/>
              </w:rPr>
            </w:pPr>
            <w:r>
              <w:rPr>
                <w:rFonts w:ascii="Arial" w:hAnsi="Arial" w:cs="Arial"/>
                <w:sz w:val="20"/>
                <w:szCs w:val="20"/>
              </w:rPr>
              <w:t>£50,000</w:t>
            </w:r>
          </w:p>
        </w:tc>
        <w:tc>
          <w:tcPr>
            <w:tcW w:w="1071" w:type="dxa"/>
          </w:tcPr>
          <w:p w14:paraId="1E509FCB" w14:textId="4228E6B1" w:rsidR="00BA23BD" w:rsidRDefault="00BA23BD" w:rsidP="00BA23BD">
            <w:pPr>
              <w:rPr>
                <w:rFonts w:ascii="Arial" w:hAnsi="Arial" w:cs="Arial"/>
                <w:sz w:val="20"/>
                <w:szCs w:val="20"/>
              </w:rPr>
            </w:pPr>
            <w:r>
              <w:rPr>
                <w:rFonts w:ascii="Arial" w:hAnsi="Arial" w:cs="Arial"/>
                <w:sz w:val="20"/>
                <w:szCs w:val="20"/>
              </w:rPr>
              <w:t>N/A</w:t>
            </w:r>
          </w:p>
        </w:tc>
        <w:tc>
          <w:tcPr>
            <w:tcW w:w="1245" w:type="dxa"/>
          </w:tcPr>
          <w:p w14:paraId="1E5EBCD1" w14:textId="1A365671" w:rsidR="00BA23BD" w:rsidRDefault="00BA23BD" w:rsidP="00BA23BD">
            <w:pPr>
              <w:jc w:val="center"/>
              <w:rPr>
                <w:rFonts w:ascii="Arial" w:hAnsi="Arial" w:cs="Arial"/>
                <w:sz w:val="20"/>
                <w:szCs w:val="20"/>
              </w:rPr>
            </w:pPr>
            <w:r>
              <w:rPr>
                <w:rFonts w:ascii="Arial" w:hAnsi="Arial" w:cs="Arial"/>
                <w:sz w:val="20"/>
                <w:szCs w:val="20"/>
              </w:rPr>
              <w:t>15%</w:t>
            </w:r>
          </w:p>
        </w:tc>
        <w:tc>
          <w:tcPr>
            <w:tcW w:w="1432" w:type="dxa"/>
          </w:tcPr>
          <w:p w14:paraId="337E506E" w14:textId="76664DCE" w:rsidR="00BA23BD" w:rsidRDefault="00BA23BD" w:rsidP="00BA23BD">
            <w:pPr>
              <w:rPr>
                <w:rFonts w:ascii="Arial" w:hAnsi="Arial" w:cs="Arial"/>
                <w:sz w:val="20"/>
                <w:szCs w:val="20"/>
              </w:rPr>
            </w:pPr>
            <w:r>
              <w:rPr>
                <w:rFonts w:ascii="Arial" w:hAnsi="Arial" w:cs="Arial"/>
                <w:sz w:val="20"/>
                <w:szCs w:val="20"/>
              </w:rPr>
              <w:t>£50,000</w:t>
            </w:r>
          </w:p>
        </w:tc>
        <w:tc>
          <w:tcPr>
            <w:tcW w:w="1614" w:type="dxa"/>
          </w:tcPr>
          <w:p w14:paraId="0FE04FC6" w14:textId="5EF0A82C" w:rsidR="00BA23BD" w:rsidRDefault="00BA23BD" w:rsidP="00BA23BD">
            <w:pPr>
              <w:rPr>
                <w:rFonts w:ascii="Arial" w:hAnsi="Arial" w:cs="Arial"/>
                <w:sz w:val="20"/>
                <w:szCs w:val="20"/>
              </w:rPr>
            </w:pPr>
            <w:r>
              <w:rPr>
                <w:rFonts w:ascii="Arial" w:hAnsi="Arial" w:cs="Arial"/>
                <w:sz w:val="20"/>
                <w:szCs w:val="20"/>
              </w:rPr>
              <w:t>15% = £7,500</w:t>
            </w:r>
          </w:p>
        </w:tc>
        <w:tc>
          <w:tcPr>
            <w:tcW w:w="1265" w:type="dxa"/>
          </w:tcPr>
          <w:p w14:paraId="59A13E77" w14:textId="27427623" w:rsidR="00BA23BD" w:rsidRDefault="00BA23BD" w:rsidP="00BA23BD">
            <w:pPr>
              <w:rPr>
                <w:rFonts w:ascii="Arial" w:hAnsi="Arial" w:cs="Arial"/>
                <w:sz w:val="20"/>
                <w:szCs w:val="20"/>
              </w:rPr>
            </w:pPr>
            <w:r>
              <w:rPr>
                <w:rFonts w:ascii="Arial" w:hAnsi="Arial" w:cs="Arial"/>
                <w:sz w:val="20"/>
                <w:szCs w:val="20"/>
              </w:rPr>
              <w:t>+£1,500</w:t>
            </w:r>
          </w:p>
        </w:tc>
        <w:tc>
          <w:tcPr>
            <w:tcW w:w="1188" w:type="dxa"/>
          </w:tcPr>
          <w:p w14:paraId="4A98C8BE" w14:textId="20FE845C" w:rsidR="00BA23BD" w:rsidRDefault="00BA23BD" w:rsidP="00BA23BD">
            <w:pPr>
              <w:rPr>
                <w:rFonts w:ascii="Arial" w:hAnsi="Arial" w:cs="Arial"/>
                <w:sz w:val="20"/>
                <w:szCs w:val="20"/>
              </w:rPr>
            </w:pPr>
            <w:r>
              <w:rPr>
                <w:rFonts w:ascii="Arial" w:hAnsi="Arial" w:cs="Arial"/>
                <w:sz w:val="20"/>
                <w:szCs w:val="20"/>
              </w:rPr>
              <w:t>£9,000</w:t>
            </w:r>
          </w:p>
        </w:tc>
        <w:tc>
          <w:tcPr>
            <w:tcW w:w="1188" w:type="dxa"/>
          </w:tcPr>
          <w:p w14:paraId="601BCA88" w14:textId="077C7303" w:rsidR="00BA23BD" w:rsidRDefault="00BA23BD" w:rsidP="00BA23BD">
            <w:pPr>
              <w:rPr>
                <w:rFonts w:ascii="Arial" w:hAnsi="Arial" w:cs="Arial"/>
                <w:sz w:val="20"/>
                <w:szCs w:val="20"/>
              </w:rPr>
            </w:pPr>
            <w:r>
              <w:rPr>
                <w:rFonts w:ascii="Arial" w:hAnsi="Arial" w:cs="Arial"/>
                <w:sz w:val="20"/>
                <w:szCs w:val="20"/>
              </w:rPr>
              <w:t>£41,000</w:t>
            </w:r>
          </w:p>
        </w:tc>
      </w:tr>
    </w:tbl>
    <w:p w14:paraId="2F6A44FE" w14:textId="77777777" w:rsidR="00DD0C53" w:rsidRPr="003A4EB1" w:rsidRDefault="00DD0C53" w:rsidP="00DD0C53">
      <w:pPr>
        <w:rPr>
          <w:rFonts w:ascii="Arial" w:hAnsi="Arial" w:cs="Arial"/>
          <w:sz w:val="20"/>
          <w:szCs w:val="20"/>
        </w:rPr>
      </w:pPr>
    </w:p>
    <w:p w14:paraId="1AE58F94" w14:textId="73401BBB" w:rsidR="003A4EB1" w:rsidRPr="003A4EB1" w:rsidRDefault="003A4EB1" w:rsidP="00DD0C53">
      <w:pPr>
        <w:rPr>
          <w:rFonts w:ascii="Arial" w:hAnsi="Arial" w:cs="Arial"/>
          <w:b/>
          <w:bCs/>
          <w:sz w:val="20"/>
          <w:szCs w:val="20"/>
        </w:rPr>
      </w:pPr>
      <w:r w:rsidRPr="003A4EB1">
        <w:rPr>
          <w:rFonts w:ascii="Arial" w:hAnsi="Arial" w:cs="Arial"/>
          <w:b/>
          <w:bCs/>
          <w:sz w:val="20"/>
          <w:szCs w:val="20"/>
        </w:rPr>
        <w:t xml:space="preserve">Your </w:t>
      </w:r>
      <w:r w:rsidR="00A46E1B">
        <w:rPr>
          <w:rFonts w:ascii="Arial" w:hAnsi="Arial" w:cs="Arial"/>
          <w:b/>
          <w:bCs/>
          <w:sz w:val="20"/>
          <w:szCs w:val="20"/>
        </w:rPr>
        <w:t>Input</w:t>
      </w:r>
      <w:r w:rsidRPr="003A4EB1">
        <w:rPr>
          <w:rFonts w:ascii="Arial" w:hAnsi="Arial" w:cs="Arial"/>
          <w:b/>
          <w:bCs/>
          <w:sz w:val="20"/>
          <w:szCs w:val="20"/>
        </w:rPr>
        <w:t xml:space="preserve"> </w:t>
      </w:r>
    </w:p>
    <w:p w14:paraId="73C1E94B" w14:textId="77777777" w:rsidR="003A4EB1" w:rsidRPr="003A4EB1" w:rsidRDefault="003A4EB1" w:rsidP="00DD0C53">
      <w:pPr>
        <w:rPr>
          <w:rFonts w:ascii="Arial" w:hAnsi="Arial" w:cs="Arial"/>
          <w:b/>
          <w:bCs/>
          <w:sz w:val="20"/>
          <w:szCs w:val="20"/>
        </w:rPr>
      </w:pPr>
    </w:p>
    <w:p w14:paraId="711FDBDA" w14:textId="77777777" w:rsidR="003A4EB1" w:rsidRPr="003A4EB1" w:rsidRDefault="003A4EB1" w:rsidP="003A4EB1">
      <w:pPr>
        <w:jc w:val="both"/>
        <w:rPr>
          <w:rFonts w:ascii="Arial" w:hAnsi="Arial" w:cs="Arial"/>
          <w:sz w:val="20"/>
          <w:szCs w:val="20"/>
        </w:rPr>
      </w:pPr>
      <w:r w:rsidRPr="003A4EB1">
        <w:rPr>
          <w:rFonts w:ascii="Arial" w:hAnsi="Arial" w:cs="Arial"/>
          <w:sz w:val="20"/>
          <w:szCs w:val="20"/>
        </w:rPr>
        <w:t>All we ask from You is that You provide us with all documentation likely to be needed to pursue your claim(s), complete the necessary paperwork required for Us to establish the merits of a claim and forward any correspondence you may receive directly from your finance provider.</w:t>
      </w:r>
    </w:p>
    <w:p w14:paraId="6E4232E7" w14:textId="77777777" w:rsidR="003A4EB1" w:rsidRPr="003A4EB1" w:rsidRDefault="003A4EB1" w:rsidP="00DD0C53">
      <w:pPr>
        <w:rPr>
          <w:rFonts w:ascii="Arial" w:hAnsi="Arial" w:cs="Arial"/>
          <w:b/>
          <w:bCs/>
          <w:sz w:val="20"/>
          <w:szCs w:val="20"/>
        </w:rPr>
      </w:pPr>
    </w:p>
    <w:p w14:paraId="7CA7B9BB" w14:textId="1316522E" w:rsidR="003A4EB1" w:rsidRPr="003A4EB1" w:rsidRDefault="00EF26C7" w:rsidP="00DD0C53">
      <w:pPr>
        <w:rPr>
          <w:rFonts w:ascii="Arial" w:hAnsi="Arial" w:cs="Arial"/>
          <w:b/>
          <w:bCs/>
          <w:sz w:val="20"/>
          <w:szCs w:val="20"/>
        </w:rPr>
      </w:pPr>
      <w:r>
        <w:rPr>
          <w:rFonts w:ascii="Arial" w:hAnsi="Arial" w:cs="Arial"/>
          <w:b/>
          <w:bCs/>
          <w:sz w:val="20"/>
          <w:szCs w:val="20"/>
        </w:rPr>
        <w:t>Cancellation</w:t>
      </w:r>
    </w:p>
    <w:p w14:paraId="498D37D7" w14:textId="77777777" w:rsidR="003A4EB1" w:rsidRPr="003A4EB1" w:rsidRDefault="003A4EB1" w:rsidP="00DD0C53">
      <w:pPr>
        <w:rPr>
          <w:rFonts w:ascii="Arial" w:hAnsi="Arial" w:cs="Arial"/>
          <w:sz w:val="20"/>
          <w:szCs w:val="20"/>
        </w:rPr>
      </w:pPr>
    </w:p>
    <w:p w14:paraId="49A40527" w14:textId="0D3CB30E" w:rsidR="003A4EB1" w:rsidRPr="003A4EB1" w:rsidRDefault="003A4EB1" w:rsidP="003A4EB1">
      <w:pPr>
        <w:jc w:val="both"/>
        <w:rPr>
          <w:rFonts w:ascii="Arial" w:hAnsi="Arial" w:cs="Arial"/>
          <w:sz w:val="20"/>
          <w:szCs w:val="20"/>
        </w:rPr>
      </w:pPr>
      <w:r w:rsidRPr="003A4EB1">
        <w:rPr>
          <w:rFonts w:ascii="Arial" w:hAnsi="Arial" w:cs="Arial"/>
          <w:sz w:val="20"/>
          <w:szCs w:val="20"/>
        </w:rPr>
        <w:t xml:space="preserve">You can </w:t>
      </w:r>
      <w:proofErr w:type="gramStart"/>
      <w:r w:rsidRPr="003A4EB1">
        <w:rPr>
          <w:rFonts w:ascii="Arial" w:hAnsi="Arial" w:cs="Arial"/>
          <w:sz w:val="20"/>
          <w:szCs w:val="20"/>
        </w:rPr>
        <w:t>cancel</w:t>
      </w:r>
      <w:r w:rsidR="00EF26C7">
        <w:rPr>
          <w:rFonts w:ascii="Arial" w:hAnsi="Arial" w:cs="Arial"/>
          <w:sz w:val="20"/>
          <w:szCs w:val="20"/>
        </w:rPr>
        <w:t xml:space="preserve">  or</w:t>
      </w:r>
      <w:proofErr w:type="gramEnd"/>
      <w:r w:rsidR="00EF26C7">
        <w:rPr>
          <w:rFonts w:ascii="Arial" w:hAnsi="Arial" w:cs="Arial"/>
          <w:sz w:val="20"/>
          <w:szCs w:val="20"/>
        </w:rPr>
        <w:t xml:space="preserve"> </w:t>
      </w:r>
      <w:r w:rsidRPr="003A4EB1">
        <w:rPr>
          <w:rFonts w:ascii="Arial" w:hAnsi="Arial" w:cs="Arial"/>
          <w:sz w:val="20"/>
          <w:szCs w:val="20"/>
        </w:rPr>
        <w:t xml:space="preserve">terminate this agreement at any time within 14 days without giving any reason and without incurring any charge. You can communicate Your cancellation by telephone </w:t>
      </w:r>
      <w:r w:rsidR="00EF26C7">
        <w:rPr>
          <w:rFonts w:ascii="Arial" w:hAnsi="Arial" w:cs="Arial"/>
          <w:sz w:val="20"/>
          <w:szCs w:val="20"/>
        </w:rPr>
        <w:t xml:space="preserve">on </w:t>
      </w:r>
      <w:r w:rsidR="000B27B1" w:rsidRPr="000B27B1">
        <w:rPr>
          <w:rFonts w:ascii="Arial" w:hAnsi="Arial" w:cs="Arial"/>
          <w:sz w:val="20"/>
          <w:szCs w:val="20"/>
        </w:rPr>
        <w:t>020 3307 5218</w:t>
      </w:r>
      <w:r w:rsidR="000B27B1">
        <w:rPr>
          <w:rFonts w:ascii="Arial" w:hAnsi="Arial" w:cs="Arial"/>
          <w:sz w:val="20"/>
          <w:szCs w:val="20"/>
        </w:rPr>
        <w:t xml:space="preserve"> </w:t>
      </w:r>
      <w:r w:rsidRPr="003A4EB1">
        <w:rPr>
          <w:rFonts w:ascii="Arial" w:hAnsi="Arial" w:cs="Arial"/>
          <w:sz w:val="20"/>
          <w:szCs w:val="20"/>
        </w:rPr>
        <w:t xml:space="preserve">or by email </w:t>
      </w:r>
      <w:r w:rsidR="00EF26C7">
        <w:rPr>
          <w:rFonts w:ascii="Arial" w:hAnsi="Arial" w:cs="Arial"/>
          <w:sz w:val="20"/>
          <w:szCs w:val="20"/>
        </w:rPr>
        <w:t xml:space="preserve">at cancellations@claim-smart.co.uk </w:t>
      </w:r>
      <w:r w:rsidRPr="003A4EB1">
        <w:rPr>
          <w:rFonts w:ascii="Arial" w:hAnsi="Arial" w:cs="Arial"/>
          <w:sz w:val="20"/>
          <w:szCs w:val="20"/>
        </w:rPr>
        <w:t>or can use the cancellation form accompanying our Terms of Business</w:t>
      </w:r>
      <w:r w:rsidR="00EF26C7">
        <w:rPr>
          <w:rFonts w:ascii="Arial" w:hAnsi="Arial" w:cs="Arial"/>
          <w:sz w:val="20"/>
          <w:szCs w:val="20"/>
        </w:rPr>
        <w:t xml:space="preserve"> or write to us at Claim-Smart Ltd, </w:t>
      </w:r>
      <w:r w:rsidR="008B43F1">
        <w:rPr>
          <w:rFonts w:ascii="Arial" w:hAnsi="Arial" w:cs="Arial"/>
          <w:sz w:val="20"/>
          <w:szCs w:val="20"/>
        </w:rPr>
        <w:t>91 Wimpole Street</w:t>
      </w:r>
      <w:r w:rsidR="00BB1A4A">
        <w:rPr>
          <w:rFonts w:ascii="Arial" w:hAnsi="Arial" w:cs="Arial"/>
          <w:sz w:val="20"/>
          <w:szCs w:val="20"/>
        </w:rPr>
        <w:t xml:space="preserve">, </w:t>
      </w:r>
      <w:r w:rsidR="008B43F1">
        <w:rPr>
          <w:rFonts w:ascii="Arial" w:hAnsi="Arial" w:cs="Arial"/>
          <w:sz w:val="20"/>
          <w:szCs w:val="20"/>
        </w:rPr>
        <w:t>Marylebone</w:t>
      </w:r>
      <w:r w:rsidR="00BB1A4A">
        <w:rPr>
          <w:rFonts w:ascii="Arial" w:hAnsi="Arial" w:cs="Arial"/>
          <w:sz w:val="20"/>
          <w:szCs w:val="20"/>
        </w:rPr>
        <w:t>, London W1</w:t>
      </w:r>
      <w:r w:rsidR="008B43F1">
        <w:rPr>
          <w:rFonts w:ascii="Arial" w:hAnsi="Arial" w:cs="Arial"/>
          <w:sz w:val="20"/>
          <w:szCs w:val="20"/>
        </w:rPr>
        <w:t>G</w:t>
      </w:r>
      <w:r w:rsidR="00BB1A4A">
        <w:rPr>
          <w:rFonts w:ascii="Arial" w:hAnsi="Arial" w:cs="Arial"/>
          <w:sz w:val="20"/>
          <w:szCs w:val="20"/>
        </w:rPr>
        <w:t xml:space="preserve"> </w:t>
      </w:r>
      <w:r w:rsidR="008B43F1">
        <w:rPr>
          <w:rFonts w:ascii="Arial" w:hAnsi="Arial" w:cs="Arial"/>
          <w:sz w:val="20"/>
          <w:szCs w:val="20"/>
        </w:rPr>
        <w:t>0EF</w:t>
      </w:r>
      <w:r w:rsidRPr="003A4EB1">
        <w:rPr>
          <w:rFonts w:ascii="Arial" w:hAnsi="Arial" w:cs="Arial"/>
          <w:sz w:val="20"/>
          <w:szCs w:val="20"/>
        </w:rPr>
        <w:t xml:space="preserve"> If you decide to cancel your agreement with us after 14 days, we may charge you a reasonable fee for any work we have undertaken to that point. The cost will be £175 per hour including VAT. We will provide you with an itemised invoice that details the services we have undertaken</w:t>
      </w:r>
    </w:p>
    <w:p w14:paraId="34667F09" w14:textId="77777777" w:rsidR="003A4EB1" w:rsidRPr="003A4EB1" w:rsidRDefault="003A4EB1" w:rsidP="00DD0C53">
      <w:pPr>
        <w:rPr>
          <w:rFonts w:ascii="Arial" w:hAnsi="Arial" w:cs="Arial"/>
          <w:sz w:val="20"/>
          <w:szCs w:val="20"/>
        </w:rPr>
      </w:pPr>
    </w:p>
    <w:p w14:paraId="5B245C40" w14:textId="77777777" w:rsidR="003A4EB1" w:rsidRPr="003A4EB1" w:rsidRDefault="003A4EB1" w:rsidP="00DD0C53">
      <w:pPr>
        <w:rPr>
          <w:rFonts w:ascii="Arial" w:hAnsi="Arial" w:cs="Arial"/>
          <w:b/>
          <w:bCs/>
          <w:sz w:val="20"/>
          <w:szCs w:val="20"/>
        </w:rPr>
      </w:pPr>
      <w:r w:rsidRPr="003A4EB1">
        <w:rPr>
          <w:rFonts w:ascii="Arial" w:hAnsi="Arial" w:cs="Arial"/>
          <w:b/>
          <w:bCs/>
          <w:sz w:val="20"/>
          <w:szCs w:val="20"/>
        </w:rPr>
        <w:t xml:space="preserve">Redress Schemes </w:t>
      </w:r>
    </w:p>
    <w:p w14:paraId="1CF3F73E" w14:textId="77777777" w:rsidR="003A4EB1" w:rsidRPr="003A4EB1" w:rsidRDefault="003A4EB1" w:rsidP="00DD0C53">
      <w:pPr>
        <w:rPr>
          <w:rFonts w:ascii="Arial" w:hAnsi="Arial" w:cs="Arial"/>
          <w:sz w:val="20"/>
          <w:szCs w:val="20"/>
        </w:rPr>
      </w:pPr>
    </w:p>
    <w:p w14:paraId="689894DB" w14:textId="5D11A0BD" w:rsidR="003A4EB1" w:rsidRPr="00A46E1B" w:rsidRDefault="003A4EB1" w:rsidP="00A46E1B">
      <w:pPr>
        <w:jc w:val="both"/>
        <w:rPr>
          <w:rFonts w:ascii="Arial" w:hAnsi="Arial" w:cs="Arial"/>
          <w:sz w:val="20"/>
          <w:szCs w:val="20"/>
        </w:rPr>
      </w:pPr>
      <w:r w:rsidRPr="003A4EB1">
        <w:rPr>
          <w:rFonts w:ascii="Arial" w:hAnsi="Arial" w:cs="Arial"/>
          <w:sz w:val="20"/>
          <w:szCs w:val="20"/>
        </w:rPr>
        <w:t>You do not need to use a Claims Management Company to check if your agreement was mis sold to you. You can do this yourself for free by making a claim against your finance provider and if not, successful you can escalate your claim to the Financial Ombudsman Service.</w:t>
      </w:r>
    </w:p>
    <w:sectPr w:rsidR="003A4EB1" w:rsidRPr="00A46E1B" w:rsidSect="00703E5C">
      <w:pgSz w:w="11900" w:h="16820"/>
      <w:pgMar w:top="1599" w:right="578" w:bottom="1123" w:left="1021" w:header="0" w:footer="936"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9"/>
  <w:hideSpellingErrors/>
  <w:hideGrammaticalErrors/>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C53"/>
    <w:rsid w:val="00016211"/>
    <w:rsid w:val="0002196A"/>
    <w:rsid w:val="000B27B1"/>
    <w:rsid w:val="00122AE5"/>
    <w:rsid w:val="00225C93"/>
    <w:rsid w:val="003A4EB1"/>
    <w:rsid w:val="003C17A0"/>
    <w:rsid w:val="003E6A54"/>
    <w:rsid w:val="003F69BD"/>
    <w:rsid w:val="00461F39"/>
    <w:rsid w:val="004E1747"/>
    <w:rsid w:val="00511B83"/>
    <w:rsid w:val="005807CF"/>
    <w:rsid w:val="005C384A"/>
    <w:rsid w:val="0061667D"/>
    <w:rsid w:val="0062553B"/>
    <w:rsid w:val="00631C17"/>
    <w:rsid w:val="00646323"/>
    <w:rsid w:val="006B5D8A"/>
    <w:rsid w:val="00703E5C"/>
    <w:rsid w:val="00710CA4"/>
    <w:rsid w:val="00712115"/>
    <w:rsid w:val="007619E5"/>
    <w:rsid w:val="00796B4B"/>
    <w:rsid w:val="007C4EA9"/>
    <w:rsid w:val="007D1DCB"/>
    <w:rsid w:val="008462D0"/>
    <w:rsid w:val="008B43F1"/>
    <w:rsid w:val="0093396D"/>
    <w:rsid w:val="00947469"/>
    <w:rsid w:val="00A46E1B"/>
    <w:rsid w:val="00A75F5E"/>
    <w:rsid w:val="00AE3093"/>
    <w:rsid w:val="00B07C7E"/>
    <w:rsid w:val="00B55815"/>
    <w:rsid w:val="00B60AB9"/>
    <w:rsid w:val="00BA0E59"/>
    <w:rsid w:val="00BA23BD"/>
    <w:rsid w:val="00BB1A4A"/>
    <w:rsid w:val="00BB6637"/>
    <w:rsid w:val="00C31D71"/>
    <w:rsid w:val="00C46327"/>
    <w:rsid w:val="00CB5096"/>
    <w:rsid w:val="00CD5789"/>
    <w:rsid w:val="00DA2D8C"/>
    <w:rsid w:val="00DD0C53"/>
    <w:rsid w:val="00E32BBB"/>
    <w:rsid w:val="00E61027"/>
    <w:rsid w:val="00E65D88"/>
    <w:rsid w:val="00ED2B53"/>
    <w:rsid w:val="00EF26C7"/>
    <w:rsid w:val="00F22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70AF07"/>
  <w14:defaultImageDpi w14:val="32767"/>
  <w15:chartTrackingRefBased/>
  <w15:docId w15:val="{233CFDCD-821F-874C-B6B8-D24A7BB0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E6A54"/>
  </w:style>
  <w:style w:type="paragraph" w:styleId="Heading1">
    <w:name w:val="heading 1"/>
    <w:basedOn w:val="Normal"/>
    <w:next w:val="Normal"/>
    <w:link w:val="Heading1Char"/>
    <w:uiPriority w:val="9"/>
    <w:qFormat/>
    <w:rsid w:val="00DD0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C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C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C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C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C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C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C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C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C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C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C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C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C53"/>
    <w:rPr>
      <w:rFonts w:eastAsiaTheme="majorEastAsia" w:cstheme="majorBidi"/>
      <w:color w:val="272727" w:themeColor="text1" w:themeTint="D8"/>
    </w:rPr>
  </w:style>
  <w:style w:type="paragraph" w:styleId="Title">
    <w:name w:val="Title"/>
    <w:basedOn w:val="Normal"/>
    <w:next w:val="Normal"/>
    <w:link w:val="TitleChar"/>
    <w:uiPriority w:val="10"/>
    <w:qFormat/>
    <w:rsid w:val="00DD0C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C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C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0C53"/>
    <w:rPr>
      <w:i/>
      <w:iCs/>
      <w:color w:val="404040" w:themeColor="text1" w:themeTint="BF"/>
    </w:rPr>
  </w:style>
  <w:style w:type="paragraph" w:styleId="ListParagraph">
    <w:name w:val="List Paragraph"/>
    <w:basedOn w:val="Normal"/>
    <w:uiPriority w:val="34"/>
    <w:qFormat/>
    <w:rsid w:val="00DD0C53"/>
    <w:pPr>
      <w:ind w:left="720"/>
      <w:contextualSpacing/>
    </w:pPr>
  </w:style>
  <w:style w:type="character" w:styleId="IntenseEmphasis">
    <w:name w:val="Intense Emphasis"/>
    <w:basedOn w:val="DefaultParagraphFont"/>
    <w:uiPriority w:val="21"/>
    <w:qFormat/>
    <w:rsid w:val="00DD0C53"/>
    <w:rPr>
      <w:i/>
      <w:iCs/>
      <w:color w:val="0F4761" w:themeColor="accent1" w:themeShade="BF"/>
    </w:rPr>
  </w:style>
  <w:style w:type="paragraph" w:styleId="IntenseQuote">
    <w:name w:val="Intense Quote"/>
    <w:basedOn w:val="Normal"/>
    <w:next w:val="Normal"/>
    <w:link w:val="IntenseQuoteChar"/>
    <w:uiPriority w:val="30"/>
    <w:qFormat/>
    <w:rsid w:val="00DD0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C53"/>
    <w:rPr>
      <w:i/>
      <w:iCs/>
      <w:color w:val="0F4761" w:themeColor="accent1" w:themeShade="BF"/>
    </w:rPr>
  </w:style>
  <w:style w:type="character" w:styleId="IntenseReference">
    <w:name w:val="Intense Reference"/>
    <w:basedOn w:val="DefaultParagraphFont"/>
    <w:uiPriority w:val="32"/>
    <w:qFormat/>
    <w:rsid w:val="00DD0C53"/>
    <w:rPr>
      <w:b/>
      <w:bCs/>
      <w:smallCaps/>
      <w:color w:val="0F4761" w:themeColor="accent1" w:themeShade="BF"/>
      <w:spacing w:val="5"/>
    </w:rPr>
  </w:style>
  <w:style w:type="paragraph" w:customStyle="1" w:styleId="Default">
    <w:name w:val="Default"/>
    <w:rsid w:val="003E6A54"/>
    <w:pPr>
      <w:autoSpaceDE w:val="0"/>
      <w:autoSpaceDN w:val="0"/>
      <w:adjustRightInd w:val="0"/>
    </w:pPr>
    <w:rPr>
      <w:rFonts w:ascii="Calibri" w:hAnsi="Calibri" w:cs="Calibri"/>
      <w:color w:val="000000"/>
      <w:kern w:val="0"/>
    </w:rPr>
  </w:style>
  <w:style w:type="table" w:styleId="TableGrid">
    <w:name w:val="Table Grid"/>
    <w:basedOn w:val="TableNormal"/>
    <w:uiPriority w:val="39"/>
    <w:rsid w:val="003E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26C7"/>
    <w:rPr>
      <w:color w:val="467886" w:themeColor="hyperlink"/>
      <w:u w:val="single"/>
    </w:rPr>
  </w:style>
  <w:style w:type="character" w:styleId="UnresolvedMention">
    <w:name w:val="Unresolved Mention"/>
    <w:basedOn w:val="DefaultParagraphFont"/>
    <w:uiPriority w:val="99"/>
    <w:rsid w:val="00EF2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Lee</dc:creator>
  <cp:keywords/>
  <dc:description/>
  <cp:lastModifiedBy>Jamie Cordingley</cp:lastModifiedBy>
  <cp:revision>2</cp:revision>
  <dcterms:created xsi:type="dcterms:W3CDTF">2025-12-10T15:42:00Z</dcterms:created>
  <dcterms:modified xsi:type="dcterms:W3CDTF">2025-12-10T15:42:00Z</dcterms:modified>
</cp:coreProperties>
</file>