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BC6767" w14:textId="080D3B84" w:rsidR="00BD583A" w:rsidRPr="008F4D89" w:rsidRDefault="00D40711" w:rsidP="008F4D89">
      <w:pPr>
        <w:rPr>
          <w:b/>
          <w:bCs/>
          <w:sz w:val="15"/>
          <w:szCs w:val="15"/>
        </w:rPr>
      </w:pPr>
      <w:r w:rsidRPr="008F4D89">
        <w:rPr>
          <w:b/>
          <w:bCs/>
          <w:sz w:val="36"/>
          <w:szCs w:val="36"/>
        </w:rPr>
        <w:t xml:space="preserve">Best practices for windfalls, </w:t>
      </w:r>
      <w:r w:rsidR="00A15103" w:rsidRPr="008F4D89">
        <w:rPr>
          <w:b/>
          <w:bCs/>
          <w:sz w:val="36"/>
          <w:szCs w:val="36"/>
        </w:rPr>
        <w:t>accelerators, draws, debookings &amp; payments</w:t>
      </w:r>
      <w:r w:rsidR="008F4D89">
        <w:rPr>
          <w:b/>
          <w:bCs/>
          <w:sz w:val="36"/>
          <w:szCs w:val="36"/>
        </w:rPr>
        <w:br/>
      </w:r>
    </w:p>
    <w:p w14:paraId="1434CDB3" w14:textId="29AB52C3" w:rsidR="00276975" w:rsidRPr="008E4185" w:rsidRDefault="00000000">
      <w:pPr>
        <w:rPr>
          <w:color w:val="000000" w:themeColor="text1"/>
        </w:rPr>
      </w:pPr>
      <w:r w:rsidRPr="008E4185">
        <w:rPr>
          <w:color w:val="000000" w:themeColor="text1"/>
        </w:rPr>
        <w:t xml:space="preserve">In this article, </w:t>
      </w:r>
      <w:proofErr w:type="gramStart"/>
      <w:r w:rsidRPr="008E4185">
        <w:rPr>
          <w:color w:val="000000" w:themeColor="text1"/>
        </w:rPr>
        <w:t>Scale</w:t>
      </w:r>
      <w:proofErr w:type="gramEnd"/>
      <w:r w:rsidRPr="008E4185">
        <w:rPr>
          <w:color w:val="000000" w:themeColor="text1"/>
        </w:rPr>
        <w:t xml:space="preserve"> executive-in-residence Ryan Azus and Scale operating partner Dale Chang provide a primer on the more nuanced aspects of sales rep compensation, including windfall clauses, accelerators, draws, debookings, and the disbursement of payments. This cheat sheet is helpful for companies drafting a comprehensive compensation policy for the first time or revisiting their policy as they grow. Read on to learn about common ways companies trip up and best practices for getting these programs right.</w:t>
      </w:r>
    </w:p>
    <w:sdt>
      <w:sdtPr>
        <w:id w:val="830564313"/>
        <w:docPartObj>
          <w:docPartGallery w:val="Table of Contents"/>
          <w:docPartUnique/>
        </w:docPartObj>
      </w:sdtPr>
      <w:sdtEndPr>
        <w:rPr>
          <w:rFonts w:ascii="Arial" w:eastAsia="Arial" w:hAnsi="Arial" w:cs="Arial"/>
          <w:noProof/>
          <w:color w:val="auto"/>
          <w:sz w:val="22"/>
          <w:szCs w:val="22"/>
          <w:lang w:val="en"/>
        </w:rPr>
      </w:sdtEndPr>
      <w:sdtContent>
        <w:p w14:paraId="073DE5F0" w14:textId="428AC165" w:rsidR="008B15E8" w:rsidRPr="00623A4B" w:rsidRDefault="008B15E8">
          <w:pPr>
            <w:pStyle w:val="TOCHeading"/>
            <w:rPr>
              <w:rFonts w:ascii="Arial" w:hAnsi="Arial" w:cs="Arial"/>
            </w:rPr>
          </w:pPr>
          <w:r w:rsidRPr="00623A4B">
            <w:rPr>
              <w:rFonts w:ascii="Arial" w:hAnsi="Arial" w:cs="Arial"/>
              <w:color w:val="224F41"/>
            </w:rPr>
            <w:t>Table of Contents</w:t>
          </w:r>
        </w:p>
        <w:p w14:paraId="1CE46DD9" w14:textId="5B21FC9C" w:rsidR="008F4D89" w:rsidRPr="00623A4B" w:rsidRDefault="008B15E8">
          <w:pPr>
            <w:pStyle w:val="TOC2"/>
            <w:tabs>
              <w:tab w:val="right" w:leader="dot" w:pos="9350"/>
            </w:tabs>
            <w:rPr>
              <w:rFonts w:ascii="Arial" w:eastAsiaTheme="minorEastAsia" w:hAnsi="Arial"/>
              <w:b w:val="0"/>
              <w:bCs w:val="0"/>
              <w:noProof/>
              <w:kern w:val="2"/>
              <w:lang w:val="en-US"/>
              <w14:ligatures w14:val="standardContextual"/>
            </w:rPr>
          </w:pPr>
          <w:r w:rsidRPr="00623A4B">
            <w:rPr>
              <w:rFonts w:ascii="Arial" w:hAnsi="Arial"/>
              <w:b w:val="0"/>
              <w:bCs w:val="0"/>
            </w:rPr>
            <w:fldChar w:fldCharType="begin"/>
          </w:r>
          <w:r w:rsidRPr="00623A4B">
            <w:rPr>
              <w:rFonts w:ascii="Arial" w:hAnsi="Arial"/>
              <w:b w:val="0"/>
              <w:bCs w:val="0"/>
            </w:rPr>
            <w:instrText xml:space="preserve"> TOC \o "1-3" \h \z \u </w:instrText>
          </w:r>
          <w:r w:rsidRPr="00623A4B">
            <w:rPr>
              <w:rFonts w:ascii="Arial" w:hAnsi="Arial"/>
              <w:b w:val="0"/>
              <w:bCs w:val="0"/>
            </w:rPr>
            <w:fldChar w:fldCharType="separate"/>
          </w:r>
          <w:hyperlink w:anchor="_Toc179977919" w:history="1">
            <w:r w:rsidR="008F4D89" w:rsidRPr="00623A4B">
              <w:rPr>
                <w:rStyle w:val="Hyperlink"/>
                <w:rFonts w:ascii="Arial" w:hAnsi="Arial"/>
                <w:b w:val="0"/>
                <w:bCs w:val="0"/>
                <w:noProof/>
                <w:highlight w:val="white"/>
              </w:rPr>
              <w:t>Windfalls</w:t>
            </w:r>
            <w:r w:rsidR="008F4D89" w:rsidRPr="00623A4B">
              <w:rPr>
                <w:rFonts w:ascii="Arial" w:hAnsi="Arial"/>
                <w:b w:val="0"/>
                <w:bCs w:val="0"/>
                <w:noProof/>
                <w:webHidden/>
              </w:rPr>
              <w:tab/>
            </w:r>
            <w:r w:rsidR="008F4D89" w:rsidRPr="00623A4B">
              <w:rPr>
                <w:rFonts w:ascii="Arial" w:hAnsi="Arial"/>
                <w:b w:val="0"/>
                <w:bCs w:val="0"/>
                <w:noProof/>
                <w:webHidden/>
              </w:rPr>
              <w:fldChar w:fldCharType="begin"/>
            </w:r>
            <w:r w:rsidR="008F4D89" w:rsidRPr="00623A4B">
              <w:rPr>
                <w:rFonts w:ascii="Arial" w:hAnsi="Arial"/>
                <w:b w:val="0"/>
                <w:bCs w:val="0"/>
                <w:noProof/>
                <w:webHidden/>
              </w:rPr>
              <w:instrText xml:space="preserve"> PAGEREF _Toc179977919 \h </w:instrText>
            </w:r>
            <w:r w:rsidR="008F4D89" w:rsidRPr="00623A4B">
              <w:rPr>
                <w:rFonts w:ascii="Arial" w:hAnsi="Arial"/>
                <w:b w:val="0"/>
                <w:bCs w:val="0"/>
                <w:noProof/>
                <w:webHidden/>
              </w:rPr>
            </w:r>
            <w:r w:rsidR="008F4D89" w:rsidRPr="00623A4B">
              <w:rPr>
                <w:rFonts w:ascii="Arial" w:hAnsi="Arial"/>
                <w:b w:val="0"/>
                <w:bCs w:val="0"/>
                <w:noProof/>
                <w:webHidden/>
              </w:rPr>
              <w:fldChar w:fldCharType="separate"/>
            </w:r>
            <w:r w:rsidR="008F4D89" w:rsidRPr="00623A4B">
              <w:rPr>
                <w:rFonts w:ascii="Arial" w:hAnsi="Arial"/>
                <w:b w:val="0"/>
                <w:bCs w:val="0"/>
                <w:noProof/>
                <w:webHidden/>
              </w:rPr>
              <w:t>2</w:t>
            </w:r>
            <w:r w:rsidR="008F4D89" w:rsidRPr="00623A4B">
              <w:rPr>
                <w:rFonts w:ascii="Arial" w:hAnsi="Arial"/>
                <w:b w:val="0"/>
                <w:bCs w:val="0"/>
                <w:noProof/>
                <w:webHidden/>
              </w:rPr>
              <w:fldChar w:fldCharType="end"/>
            </w:r>
          </w:hyperlink>
        </w:p>
        <w:p w14:paraId="0256DDAD" w14:textId="50F3FB7B" w:rsidR="008F4D89" w:rsidRPr="00623A4B" w:rsidRDefault="008F4D89">
          <w:pPr>
            <w:pStyle w:val="TOC3"/>
            <w:tabs>
              <w:tab w:val="right" w:leader="dot" w:pos="9350"/>
            </w:tabs>
            <w:rPr>
              <w:rFonts w:ascii="Arial" w:eastAsiaTheme="minorEastAsia" w:hAnsi="Arial"/>
              <w:noProof/>
              <w:kern w:val="2"/>
              <w:sz w:val="22"/>
              <w:szCs w:val="22"/>
              <w:lang w:val="en-US"/>
              <w14:ligatures w14:val="standardContextual"/>
            </w:rPr>
          </w:pPr>
          <w:hyperlink w:anchor="_Toc179977920" w:history="1">
            <w:r w:rsidRPr="00623A4B">
              <w:rPr>
                <w:rStyle w:val="Hyperlink"/>
                <w:rFonts w:ascii="Arial" w:hAnsi="Arial"/>
                <w:noProof/>
                <w:sz w:val="22"/>
                <w:szCs w:val="22"/>
                <w:highlight w:val="white"/>
              </w:rPr>
              <w:t>Why it’s important to</w:t>
            </w:r>
            <w:r w:rsidRPr="00623A4B">
              <w:rPr>
                <w:rStyle w:val="Hyperlink"/>
                <w:rFonts w:ascii="Arial" w:hAnsi="Arial"/>
                <w:noProof/>
                <w:sz w:val="22"/>
                <w:szCs w:val="22"/>
                <w:highlight w:val="white"/>
              </w:rPr>
              <w:t xml:space="preserve"> </w:t>
            </w:r>
            <w:r w:rsidRPr="00623A4B">
              <w:rPr>
                <w:rStyle w:val="Hyperlink"/>
                <w:rFonts w:ascii="Arial" w:hAnsi="Arial"/>
                <w:noProof/>
                <w:sz w:val="22"/>
                <w:szCs w:val="22"/>
                <w:highlight w:val="white"/>
              </w:rPr>
              <w:t>get a windfall clause right</w:t>
            </w:r>
            <w:r w:rsidRPr="00623A4B">
              <w:rPr>
                <w:rFonts w:ascii="Arial" w:hAnsi="Arial"/>
                <w:noProof/>
                <w:webHidden/>
                <w:sz w:val="22"/>
                <w:szCs w:val="22"/>
              </w:rPr>
              <w:tab/>
            </w:r>
            <w:r w:rsidRPr="00623A4B">
              <w:rPr>
                <w:rFonts w:ascii="Arial" w:hAnsi="Arial"/>
                <w:noProof/>
                <w:webHidden/>
                <w:sz w:val="22"/>
                <w:szCs w:val="22"/>
              </w:rPr>
              <w:fldChar w:fldCharType="begin"/>
            </w:r>
            <w:r w:rsidRPr="00623A4B">
              <w:rPr>
                <w:rFonts w:ascii="Arial" w:hAnsi="Arial"/>
                <w:noProof/>
                <w:webHidden/>
                <w:sz w:val="22"/>
                <w:szCs w:val="22"/>
              </w:rPr>
              <w:instrText xml:space="preserve"> PAGEREF _Toc179977920 \h </w:instrText>
            </w:r>
            <w:r w:rsidRPr="00623A4B">
              <w:rPr>
                <w:rFonts w:ascii="Arial" w:hAnsi="Arial"/>
                <w:noProof/>
                <w:webHidden/>
                <w:sz w:val="22"/>
                <w:szCs w:val="22"/>
              </w:rPr>
            </w:r>
            <w:r w:rsidRPr="00623A4B">
              <w:rPr>
                <w:rFonts w:ascii="Arial" w:hAnsi="Arial"/>
                <w:noProof/>
                <w:webHidden/>
                <w:sz w:val="22"/>
                <w:szCs w:val="22"/>
              </w:rPr>
              <w:fldChar w:fldCharType="separate"/>
            </w:r>
            <w:r w:rsidRPr="00623A4B">
              <w:rPr>
                <w:rFonts w:ascii="Arial" w:hAnsi="Arial"/>
                <w:noProof/>
                <w:webHidden/>
                <w:sz w:val="22"/>
                <w:szCs w:val="22"/>
              </w:rPr>
              <w:t>2</w:t>
            </w:r>
            <w:r w:rsidRPr="00623A4B">
              <w:rPr>
                <w:rFonts w:ascii="Arial" w:hAnsi="Arial"/>
                <w:noProof/>
                <w:webHidden/>
                <w:sz w:val="22"/>
                <w:szCs w:val="22"/>
              </w:rPr>
              <w:fldChar w:fldCharType="end"/>
            </w:r>
          </w:hyperlink>
        </w:p>
        <w:p w14:paraId="5982E008" w14:textId="24DE4802" w:rsidR="008F4D89" w:rsidRPr="00623A4B" w:rsidRDefault="008F4D89">
          <w:pPr>
            <w:pStyle w:val="TOC3"/>
            <w:tabs>
              <w:tab w:val="right" w:leader="dot" w:pos="9350"/>
            </w:tabs>
            <w:rPr>
              <w:rFonts w:ascii="Arial" w:eastAsiaTheme="minorEastAsia" w:hAnsi="Arial"/>
              <w:noProof/>
              <w:kern w:val="2"/>
              <w:sz w:val="22"/>
              <w:szCs w:val="22"/>
              <w:lang w:val="en-US"/>
              <w14:ligatures w14:val="standardContextual"/>
            </w:rPr>
          </w:pPr>
          <w:hyperlink w:anchor="_Toc179977921" w:history="1">
            <w:r w:rsidRPr="00623A4B">
              <w:rPr>
                <w:rStyle w:val="Hyperlink"/>
                <w:rFonts w:ascii="Arial" w:hAnsi="Arial"/>
                <w:noProof/>
                <w:sz w:val="22"/>
                <w:szCs w:val="22"/>
                <w:highlight w:val="white"/>
              </w:rPr>
              <w:t>How companies get windfall comp “wrong”</w:t>
            </w:r>
            <w:r w:rsidRPr="00623A4B">
              <w:rPr>
                <w:rFonts w:ascii="Arial" w:hAnsi="Arial"/>
                <w:noProof/>
                <w:webHidden/>
                <w:sz w:val="22"/>
                <w:szCs w:val="22"/>
              </w:rPr>
              <w:tab/>
            </w:r>
            <w:r w:rsidRPr="00623A4B">
              <w:rPr>
                <w:rFonts w:ascii="Arial" w:hAnsi="Arial"/>
                <w:noProof/>
                <w:webHidden/>
                <w:sz w:val="22"/>
                <w:szCs w:val="22"/>
              </w:rPr>
              <w:fldChar w:fldCharType="begin"/>
            </w:r>
            <w:r w:rsidRPr="00623A4B">
              <w:rPr>
                <w:rFonts w:ascii="Arial" w:hAnsi="Arial"/>
                <w:noProof/>
                <w:webHidden/>
                <w:sz w:val="22"/>
                <w:szCs w:val="22"/>
              </w:rPr>
              <w:instrText xml:space="preserve"> PAGEREF _Toc179977921 \h </w:instrText>
            </w:r>
            <w:r w:rsidRPr="00623A4B">
              <w:rPr>
                <w:rFonts w:ascii="Arial" w:hAnsi="Arial"/>
                <w:noProof/>
                <w:webHidden/>
                <w:sz w:val="22"/>
                <w:szCs w:val="22"/>
              </w:rPr>
            </w:r>
            <w:r w:rsidRPr="00623A4B">
              <w:rPr>
                <w:rFonts w:ascii="Arial" w:hAnsi="Arial"/>
                <w:noProof/>
                <w:webHidden/>
                <w:sz w:val="22"/>
                <w:szCs w:val="22"/>
              </w:rPr>
              <w:fldChar w:fldCharType="separate"/>
            </w:r>
            <w:r w:rsidRPr="00623A4B">
              <w:rPr>
                <w:rFonts w:ascii="Arial" w:hAnsi="Arial"/>
                <w:noProof/>
                <w:webHidden/>
                <w:sz w:val="22"/>
                <w:szCs w:val="22"/>
              </w:rPr>
              <w:t>2</w:t>
            </w:r>
            <w:r w:rsidRPr="00623A4B">
              <w:rPr>
                <w:rFonts w:ascii="Arial" w:hAnsi="Arial"/>
                <w:noProof/>
                <w:webHidden/>
                <w:sz w:val="22"/>
                <w:szCs w:val="22"/>
              </w:rPr>
              <w:fldChar w:fldCharType="end"/>
            </w:r>
          </w:hyperlink>
        </w:p>
        <w:p w14:paraId="0CD976DE" w14:textId="4E80F2A3" w:rsidR="008F4D89" w:rsidRPr="00623A4B" w:rsidRDefault="008F4D89">
          <w:pPr>
            <w:pStyle w:val="TOC3"/>
            <w:tabs>
              <w:tab w:val="right" w:leader="dot" w:pos="9350"/>
            </w:tabs>
            <w:rPr>
              <w:rFonts w:ascii="Arial" w:eastAsiaTheme="minorEastAsia" w:hAnsi="Arial"/>
              <w:noProof/>
              <w:kern w:val="2"/>
              <w:sz w:val="22"/>
              <w:szCs w:val="22"/>
              <w:lang w:val="en-US"/>
              <w14:ligatures w14:val="standardContextual"/>
            </w:rPr>
          </w:pPr>
          <w:hyperlink w:anchor="_Toc179977922" w:history="1">
            <w:r w:rsidRPr="00623A4B">
              <w:rPr>
                <w:rStyle w:val="Hyperlink"/>
                <w:rFonts w:ascii="Arial" w:hAnsi="Arial"/>
                <w:noProof/>
                <w:sz w:val="22"/>
                <w:szCs w:val="22"/>
                <w:highlight w:val="white"/>
              </w:rPr>
              <w:t>Best practices for windfalls</w:t>
            </w:r>
            <w:r w:rsidRPr="00623A4B">
              <w:rPr>
                <w:rFonts w:ascii="Arial" w:hAnsi="Arial"/>
                <w:noProof/>
                <w:webHidden/>
                <w:sz w:val="22"/>
                <w:szCs w:val="22"/>
              </w:rPr>
              <w:tab/>
            </w:r>
            <w:r w:rsidRPr="00623A4B">
              <w:rPr>
                <w:rFonts w:ascii="Arial" w:hAnsi="Arial"/>
                <w:noProof/>
                <w:webHidden/>
                <w:sz w:val="22"/>
                <w:szCs w:val="22"/>
              </w:rPr>
              <w:fldChar w:fldCharType="begin"/>
            </w:r>
            <w:r w:rsidRPr="00623A4B">
              <w:rPr>
                <w:rFonts w:ascii="Arial" w:hAnsi="Arial"/>
                <w:noProof/>
                <w:webHidden/>
                <w:sz w:val="22"/>
                <w:szCs w:val="22"/>
              </w:rPr>
              <w:instrText xml:space="preserve"> PAGEREF _Toc179977922 \h </w:instrText>
            </w:r>
            <w:r w:rsidRPr="00623A4B">
              <w:rPr>
                <w:rFonts w:ascii="Arial" w:hAnsi="Arial"/>
                <w:noProof/>
                <w:webHidden/>
                <w:sz w:val="22"/>
                <w:szCs w:val="22"/>
              </w:rPr>
            </w:r>
            <w:r w:rsidRPr="00623A4B">
              <w:rPr>
                <w:rFonts w:ascii="Arial" w:hAnsi="Arial"/>
                <w:noProof/>
                <w:webHidden/>
                <w:sz w:val="22"/>
                <w:szCs w:val="22"/>
              </w:rPr>
              <w:fldChar w:fldCharType="separate"/>
            </w:r>
            <w:r w:rsidRPr="00623A4B">
              <w:rPr>
                <w:rFonts w:ascii="Arial" w:hAnsi="Arial"/>
                <w:noProof/>
                <w:webHidden/>
                <w:sz w:val="22"/>
                <w:szCs w:val="22"/>
              </w:rPr>
              <w:t>3</w:t>
            </w:r>
            <w:r w:rsidRPr="00623A4B">
              <w:rPr>
                <w:rFonts w:ascii="Arial" w:hAnsi="Arial"/>
                <w:noProof/>
                <w:webHidden/>
                <w:sz w:val="22"/>
                <w:szCs w:val="22"/>
              </w:rPr>
              <w:fldChar w:fldCharType="end"/>
            </w:r>
          </w:hyperlink>
        </w:p>
        <w:p w14:paraId="0DB1D29B" w14:textId="362AF5F4" w:rsidR="008F4D89" w:rsidRPr="00623A4B" w:rsidRDefault="008F4D89">
          <w:pPr>
            <w:pStyle w:val="TOC2"/>
            <w:tabs>
              <w:tab w:val="right" w:leader="dot" w:pos="9350"/>
            </w:tabs>
            <w:rPr>
              <w:rFonts w:ascii="Arial" w:eastAsiaTheme="minorEastAsia" w:hAnsi="Arial"/>
              <w:b w:val="0"/>
              <w:bCs w:val="0"/>
              <w:noProof/>
              <w:kern w:val="2"/>
              <w:lang w:val="en-US"/>
              <w14:ligatures w14:val="standardContextual"/>
            </w:rPr>
          </w:pPr>
          <w:hyperlink w:anchor="_Toc179977923" w:history="1">
            <w:r w:rsidRPr="00623A4B">
              <w:rPr>
                <w:rStyle w:val="Hyperlink"/>
                <w:rFonts w:ascii="Arial" w:hAnsi="Arial"/>
                <w:b w:val="0"/>
                <w:bCs w:val="0"/>
                <w:noProof/>
                <w:highlight w:val="white"/>
              </w:rPr>
              <w:t>Accelerators</w:t>
            </w:r>
            <w:r w:rsidRPr="00623A4B">
              <w:rPr>
                <w:rFonts w:ascii="Arial" w:hAnsi="Arial"/>
                <w:b w:val="0"/>
                <w:bCs w:val="0"/>
                <w:noProof/>
                <w:webHidden/>
              </w:rPr>
              <w:tab/>
            </w:r>
            <w:r w:rsidRPr="00623A4B">
              <w:rPr>
                <w:rFonts w:ascii="Arial" w:hAnsi="Arial"/>
                <w:b w:val="0"/>
                <w:bCs w:val="0"/>
                <w:noProof/>
                <w:webHidden/>
              </w:rPr>
              <w:fldChar w:fldCharType="begin"/>
            </w:r>
            <w:r w:rsidRPr="00623A4B">
              <w:rPr>
                <w:rFonts w:ascii="Arial" w:hAnsi="Arial"/>
                <w:b w:val="0"/>
                <w:bCs w:val="0"/>
                <w:noProof/>
                <w:webHidden/>
              </w:rPr>
              <w:instrText xml:space="preserve"> PAGEREF _Toc179977923 \h </w:instrText>
            </w:r>
            <w:r w:rsidRPr="00623A4B">
              <w:rPr>
                <w:rFonts w:ascii="Arial" w:hAnsi="Arial"/>
                <w:b w:val="0"/>
                <w:bCs w:val="0"/>
                <w:noProof/>
                <w:webHidden/>
              </w:rPr>
            </w:r>
            <w:r w:rsidRPr="00623A4B">
              <w:rPr>
                <w:rFonts w:ascii="Arial" w:hAnsi="Arial"/>
                <w:b w:val="0"/>
                <w:bCs w:val="0"/>
                <w:noProof/>
                <w:webHidden/>
              </w:rPr>
              <w:fldChar w:fldCharType="separate"/>
            </w:r>
            <w:r w:rsidRPr="00623A4B">
              <w:rPr>
                <w:rFonts w:ascii="Arial" w:hAnsi="Arial"/>
                <w:b w:val="0"/>
                <w:bCs w:val="0"/>
                <w:noProof/>
                <w:webHidden/>
              </w:rPr>
              <w:t>3</w:t>
            </w:r>
            <w:r w:rsidRPr="00623A4B">
              <w:rPr>
                <w:rFonts w:ascii="Arial" w:hAnsi="Arial"/>
                <w:b w:val="0"/>
                <w:bCs w:val="0"/>
                <w:noProof/>
                <w:webHidden/>
              </w:rPr>
              <w:fldChar w:fldCharType="end"/>
            </w:r>
          </w:hyperlink>
        </w:p>
        <w:p w14:paraId="79E9415F" w14:textId="4EE3DDC7" w:rsidR="008F4D89" w:rsidRPr="00623A4B" w:rsidRDefault="008F4D89">
          <w:pPr>
            <w:pStyle w:val="TOC3"/>
            <w:tabs>
              <w:tab w:val="right" w:leader="dot" w:pos="9350"/>
            </w:tabs>
            <w:rPr>
              <w:rFonts w:ascii="Arial" w:eastAsiaTheme="minorEastAsia" w:hAnsi="Arial"/>
              <w:noProof/>
              <w:kern w:val="2"/>
              <w:sz w:val="22"/>
              <w:szCs w:val="22"/>
              <w:lang w:val="en-US"/>
              <w14:ligatures w14:val="standardContextual"/>
            </w:rPr>
          </w:pPr>
          <w:hyperlink w:anchor="_Toc179977924" w:history="1">
            <w:r w:rsidRPr="00623A4B">
              <w:rPr>
                <w:rStyle w:val="Hyperlink"/>
                <w:rFonts w:ascii="Arial" w:hAnsi="Arial"/>
                <w:noProof/>
                <w:sz w:val="22"/>
                <w:szCs w:val="22"/>
                <w:highlight w:val="white"/>
              </w:rPr>
              <w:t>Why it’s important to get accelerators right</w:t>
            </w:r>
            <w:r w:rsidRPr="00623A4B">
              <w:rPr>
                <w:rFonts w:ascii="Arial" w:hAnsi="Arial"/>
                <w:noProof/>
                <w:webHidden/>
                <w:sz w:val="22"/>
                <w:szCs w:val="22"/>
              </w:rPr>
              <w:tab/>
            </w:r>
            <w:r w:rsidRPr="00623A4B">
              <w:rPr>
                <w:rFonts w:ascii="Arial" w:hAnsi="Arial"/>
                <w:noProof/>
                <w:webHidden/>
                <w:sz w:val="22"/>
                <w:szCs w:val="22"/>
              </w:rPr>
              <w:fldChar w:fldCharType="begin"/>
            </w:r>
            <w:r w:rsidRPr="00623A4B">
              <w:rPr>
                <w:rFonts w:ascii="Arial" w:hAnsi="Arial"/>
                <w:noProof/>
                <w:webHidden/>
                <w:sz w:val="22"/>
                <w:szCs w:val="22"/>
              </w:rPr>
              <w:instrText xml:space="preserve"> PAGEREF _Toc179977924 \h </w:instrText>
            </w:r>
            <w:r w:rsidRPr="00623A4B">
              <w:rPr>
                <w:rFonts w:ascii="Arial" w:hAnsi="Arial"/>
                <w:noProof/>
                <w:webHidden/>
                <w:sz w:val="22"/>
                <w:szCs w:val="22"/>
              </w:rPr>
            </w:r>
            <w:r w:rsidRPr="00623A4B">
              <w:rPr>
                <w:rFonts w:ascii="Arial" w:hAnsi="Arial"/>
                <w:noProof/>
                <w:webHidden/>
                <w:sz w:val="22"/>
                <w:szCs w:val="22"/>
              </w:rPr>
              <w:fldChar w:fldCharType="separate"/>
            </w:r>
            <w:r w:rsidRPr="00623A4B">
              <w:rPr>
                <w:rFonts w:ascii="Arial" w:hAnsi="Arial"/>
                <w:noProof/>
                <w:webHidden/>
                <w:sz w:val="22"/>
                <w:szCs w:val="22"/>
              </w:rPr>
              <w:t>4</w:t>
            </w:r>
            <w:r w:rsidRPr="00623A4B">
              <w:rPr>
                <w:rFonts w:ascii="Arial" w:hAnsi="Arial"/>
                <w:noProof/>
                <w:webHidden/>
                <w:sz w:val="22"/>
                <w:szCs w:val="22"/>
              </w:rPr>
              <w:fldChar w:fldCharType="end"/>
            </w:r>
          </w:hyperlink>
        </w:p>
        <w:p w14:paraId="047DDB24" w14:textId="1BBBB942" w:rsidR="008F4D89" w:rsidRPr="00623A4B" w:rsidRDefault="008F4D89">
          <w:pPr>
            <w:pStyle w:val="TOC3"/>
            <w:tabs>
              <w:tab w:val="right" w:leader="dot" w:pos="9350"/>
            </w:tabs>
            <w:rPr>
              <w:rFonts w:ascii="Arial" w:eastAsiaTheme="minorEastAsia" w:hAnsi="Arial"/>
              <w:noProof/>
              <w:kern w:val="2"/>
              <w:sz w:val="22"/>
              <w:szCs w:val="22"/>
              <w:lang w:val="en-US"/>
              <w14:ligatures w14:val="standardContextual"/>
            </w:rPr>
          </w:pPr>
          <w:hyperlink w:anchor="_Toc179977925" w:history="1">
            <w:r w:rsidRPr="00623A4B">
              <w:rPr>
                <w:rStyle w:val="Hyperlink"/>
                <w:rFonts w:ascii="Arial" w:hAnsi="Arial"/>
                <w:noProof/>
                <w:sz w:val="22"/>
                <w:szCs w:val="22"/>
                <w:highlight w:val="white"/>
              </w:rPr>
              <w:t>3 ways companies get accelerators wrong</w:t>
            </w:r>
            <w:r w:rsidRPr="00623A4B">
              <w:rPr>
                <w:rFonts w:ascii="Arial" w:hAnsi="Arial"/>
                <w:noProof/>
                <w:webHidden/>
                <w:sz w:val="22"/>
                <w:szCs w:val="22"/>
              </w:rPr>
              <w:tab/>
            </w:r>
            <w:r w:rsidRPr="00623A4B">
              <w:rPr>
                <w:rFonts w:ascii="Arial" w:hAnsi="Arial"/>
                <w:noProof/>
                <w:webHidden/>
                <w:sz w:val="22"/>
                <w:szCs w:val="22"/>
              </w:rPr>
              <w:fldChar w:fldCharType="begin"/>
            </w:r>
            <w:r w:rsidRPr="00623A4B">
              <w:rPr>
                <w:rFonts w:ascii="Arial" w:hAnsi="Arial"/>
                <w:noProof/>
                <w:webHidden/>
                <w:sz w:val="22"/>
                <w:szCs w:val="22"/>
              </w:rPr>
              <w:instrText xml:space="preserve"> PAGEREF _Toc179977925 \h </w:instrText>
            </w:r>
            <w:r w:rsidRPr="00623A4B">
              <w:rPr>
                <w:rFonts w:ascii="Arial" w:hAnsi="Arial"/>
                <w:noProof/>
                <w:webHidden/>
                <w:sz w:val="22"/>
                <w:szCs w:val="22"/>
              </w:rPr>
            </w:r>
            <w:r w:rsidRPr="00623A4B">
              <w:rPr>
                <w:rFonts w:ascii="Arial" w:hAnsi="Arial"/>
                <w:noProof/>
                <w:webHidden/>
                <w:sz w:val="22"/>
                <w:szCs w:val="22"/>
              </w:rPr>
              <w:fldChar w:fldCharType="separate"/>
            </w:r>
            <w:r w:rsidRPr="00623A4B">
              <w:rPr>
                <w:rFonts w:ascii="Arial" w:hAnsi="Arial"/>
                <w:noProof/>
                <w:webHidden/>
                <w:sz w:val="22"/>
                <w:szCs w:val="22"/>
              </w:rPr>
              <w:t>4</w:t>
            </w:r>
            <w:r w:rsidRPr="00623A4B">
              <w:rPr>
                <w:rFonts w:ascii="Arial" w:hAnsi="Arial"/>
                <w:noProof/>
                <w:webHidden/>
                <w:sz w:val="22"/>
                <w:szCs w:val="22"/>
              </w:rPr>
              <w:fldChar w:fldCharType="end"/>
            </w:r>
          </w:hyperlink>
        </w:p>
        <w:p w14:paraId="6B4CB0B1" w14:textId="7D394842" w:rsidR="008F4D89" w:rsidRPr="00623A4B" w:rsidRDefault="008F4D89">
          <w:pPr>
            <w:pStyle w:val="TOC3"/>
            <w:tabs>
              <w:tab w:val="right" w:leader="dot" w:pos="9350"/>
            </w:tabs>
            <w:rPr>
              <w:rFonts w:ascii="Arial" w:eastAsiaTheme="minorEastAsia" w:hAnsi="Arial"/>
              <w:noProof/>
              <w:kern w:val="2"/>
              <w:sz w:val="22"/>
              <w:szCs w:val="22"/>
              <w:lang w:val="en-US"/>
              <w14:ligatures w14:val="standardContextual"/>
            </w:rPr>
          </w:pPr>
          <w:hyperlink w:anchor="_Toc179977926" w:history="1">
            <w:r w:rsidRPr="00623A4B">
              <w:rPr>
                <w:rStyle w:val="Hyperlink"/>
                <w:rFonts w:ascii="Arial" w:hAnsi="Arial"/>
                <w:noProof/>
                <w:sz w:val="22"/>
                <w:szCs w:val="22"/>
                <w:highlight w:val="white"/>
              </w:rPr>
              <w:t>Best practices for accelerators</w:t>
            </w:r>
            <w:r w:rsidRPr="00623A4B">
              <w:rPr>
                <w:rFonts w:ascii="Arial" w:hAnsi="Arial"/>
                <w:noProof/>
                <w:webHidden/>
                <w:sz w:val="22"/>
                <w:szCs w:val="22"/>
              </w:rPr>
              <w:tab/>
            </w:r>
            <w:r w:rsidRPr="00623A4B">
              <w:rPr>
                <w:rFonts w:ascii="Arial" w:hAnsi="Arial"/>
                <w:noProof/>
                <w:webHidden/>
                <w:sz w:val="22"/>
                <w:szCs w:val="22"/>
              </w:rPr>
              <w:fldChar w:fldCharType="begin"/>
            </w:r>
            <w:r w:rsidRPr="00623A4B">
              <w:rPr>
                <w:rFonts w:ascii="Arial" w:hAnsi="Arial"/>
                <w:noProof/>
                <w:webHidden/>
                <w:sz w:val="22"/>
                <w:szCs w:val="22"/>
              </w:rPr>
              <w:instrText xml:space="preserve"> PAGEREF _Toc179977926 \h </w:instrText>
            </w:r>
            <w:r w:rsidRPr="00623A4B">
              <w:rPr>
                <w:rFonts w:ascii="Arial" w:hAnsi="Arial"/>
                <w:noProof/>
                <w:webHidden/>
                <w:sz w:val="22"/>
                <w:szCs w:val="22"/>
              </w:rPr>
            </w:r>
            <w:r w:rsidRPr="00623A4B">
              <w:rPr>
                <w:rFonts w:ascii="Arial" w:hAnsi="Arial"/>
                <w:noProof/>
                <w:webHidden/>
                <w:sz w:val="22"/>
                <w:szCs w:val="22"/>
              </w:rPr>
              <w:fldChar w:fldCharType="separate"/>
            </w:r>
            <w:r w:rsidRPr="00623A4B">
              <w:rPr>
                <w:rFonts w:ascii="Arial" w:hAnsi="Arial"/>
                <w:noProof/>
                <w:webHidden/>
                <w:sz w:val="22"/>
                <w:szCs w:val="22"/>
              </w:rPr>
              <w:t>5</w:t>
            </w:r>
            <w:r w:rsidRPr="00623A4B">
              <w:rPr>
                <w:rFonts w:ascii="Arial" w:hAnsi="Arial"/>
                <w:noProof/>
                <w:webHidden/>
                <w:sz w:val="22"/>
                <w:szCs w:val="22"/>
              </w:rPr>
              <w:fldChar w:fldCharType="end"/>
            </w:r>
          </w:hyperlink>
        </w:p>
        <w:p w14:paraId="7823747A" w14:textId="47A08F81" w:rsidR="008F4D89" w:rsidRPr="00623A4B" w:rsidRDefault="008F4D89">
          <w:pPr>
            <w:pStyle w:val="TOC2"/>
            <w:tabs>
              <w:tab w:val="right" w:leader="dot" w:pos="9350"/>
            </w:tabs>
            <w:rPr>
              <w:rFonts w:ascii="Arial" w:eastAsiaTheme="minorEastAsia" w:hAnsi="Arial"/>
              <w:b w:val="0"/>
              <w:bCs w:val="0"/>
              <w:noProof/>
              <w:kern w:val="2"/>
              <w:lang w:val="en-US"/>
              <w14:ligatures w14:val="standardContextual"/>
            </w:rPr>
          </w:pPr>
          <w:hyperlink w:anchor="_Toc179977927" w:history="1">
            <w:r w:rsidRPr="00623A4B">
              <w:rPr>
                <w:rStyle w:val="Hyperlink"/>
                <w:rFonts w:ascii="Arial" w:hAnsi="Arial"/>
                <w:b w:val="0"/>
                <w:bCs w:val="0"/>
                <w:noProof/>
                <w:highlight w:val="white"/>
              </w:rPr>
              <w:t>Draw</w:t>
            </w:r>
            <w:r w:rsidRPr="00623A4B">
              <w:rPr>
                <w:rStyle w:val="Hyperlink"/>
                <w:rFonts w:ascii="Arial" w:hAnsi="Arial"/>
                <w:b w:val="0"/>
                <w:bCs w:val="0"/>
                <w:noProof/>
              </w:rPr>
              <w:t>s</w:t>
            </w:r>
            <w:r w:rsidRPr="00623A4B">
              <w:rPr>
                <w:rFonts w:ascii="Arial" w:hAnsi="Arial"/>
                <w:b w:val="0"/>
                <w:bCs w:val="0"/>
                <w:noProof/>
                <w:webHidden/>
              </w:rPr>
              <w:tab/>
            </w:r>
            <w:r w:rsidRPr="00623A4B">
              <w:rPr>
                <w:rFonts w:ascii="Arial" w:hAnsi="Arial"/>
                <w:b w:val="0"/>
                <w:bCs w:val="0"/>
                <w:noProof/>
                <w:webHidden/>
              </w:rPr>
              <w:fldChar w:fldCharType="begin"/>
            </w:r>
            <w:r w:rsidRPr="00623A4B">
              <w:rPr>
                <w:rFonts w:ascii="Arial" w:hAnsi="Arial"/>
                <w:b w:val="0"/>
                <w:bCs w:val="0"/>
                <w:noProof/>
                <w:webHidden/>
              </w:rPr>
              <w:instrText xml:space="preserve"> PAGEREF _Toc179977927 \h </w:instrText>
            </w:r>
            <w:r w:rsidRPr="00623A4B">
              <w:rPr>
                <w:rFonts w:ascii="Arial" w:hAnsi="Arial"/>
                <w:b w:val="0"/>
                <w:bCs w:val="0"/>
                <w:noProof/>
                <w:webHidden/>
              </w:rPr>
            </w:r>
            <w:r w:rsidRPr="00623A4B">
              <w:rPr>
                <w:rFonts w:ascii="Arial" w:hAnsi="Arial"/>
                <w:b w:val="0"/>
                <w:bCs w:val="0"/>
                <w:noProof/>
                <w:webHidden/>
              </w:rPr>
              <w:fldChar w:fldCharType="separate"/>
            </w:r>
            <w:r w:rsidRPr="00623A4B">
              <w:rPr>
                <w:rFonts w:ascii="Arial" w:hAnsi="Arial"/>
                <w:b w:val="0"/>
                <w:bCs w:val="0"/>
                <w:noProof/>
                <w:webHidden/>
              </w:rPr>
              <w:t>5</w:t>
            </w:r>
            <w:r w:rsidRPr="00623A4B">
              <w:rPr>
                <w:rFonts w:ascii="Arial" w:hAnsi="Arial"/>
                <w:b w:val="0"/>
                <w:bCs w:val="0"/>
                <w:noProof/>
                <w:webHidden/>
              </w:rPr>
              <w:fldChar w:fldCharType="end"/>
            </w:r>
          </w:hyperlink>
        </w:p>
        <w:p w14:paraId="03386808" w14:textId="324B00BE" w:rsidR="008F4D89" w:rsidRPr="00623A4B" w:rsidRDefault="008F4D89">
          <w:pPr>
            <w:pStyle w:val="TOC3"/>
            <w:tabs>
              <w:tab w:val="right" w:leader="dot" w:pos="9350"/>
            </w:tabs>
            <w:rPr>
              <w:rFonts w:ascii="Arial" w:eastAsiaTheme="minorEastAsia" w:hAnsi="Arial"/>
              <w:noProof/>
              <w:kern w:val="2"/>
              <w:sz w:val="22"/>
              <w:szCs w:val="22"/>
              <w:lang w:val="en-US"/>
              <w14:ligatures w14:val="standardContextual"/>
            </w:rPr>
          </w:pPr>
          <w:hyperlink w:anchor="_Toc179977928" w:history="1">
            <w:r w:rsidRPr="00623A4B">
              <w:rPr>
                <w:rStyle w:val="Hyperlink"/>
                <w:rFonts w:ascii="Arial" w:hAnsi="Arial"/>
                <w:noProof/>
                <w:sz w:val="22"/>
                <w:szCs w:val="22"/>
                <w:highlight w:val="white"/>
              </w:rPr>
              <w:t>Why it’s important to get draws right</w:t>
            </w:r>
            <w:r w:rsidRPr="00623A4B">
              <w:rPr>
                <w:rFonts w:ascii="Arial" w:hAnsi="Arial"/>
                <w:noProof/>
                <w:webHidden/>
                <w:sz w:val="22"/>
                <w:szCs w:val="22"/>
              </w:rPr>
              <w:tab/>
            </w:r>
            <w:r w:rsidRPr="00623A4B">
              <w:rPr>
                <w:rFonts w:ascii="Arial" w:hAnsi="Arial"/>
                <w:noProof/>
                <w:webHidden/>
                <w:sz w:val="22"/>
                <w:szCs w:val="22"/>
              </w:rPr>
              <w:fldChar w:fldCharType="begin"/>
            </w:r>
            <w:r w:rsidRPr="00623A4B">
              <w:rPr>
                <w:rFonts w:ascii="Arial" w:hAnsi="Arial"/>
                <w:noProof/>
                <w:webHidden/>
                <w:sz w:val="22"/>
                <w:szCs w:val="22"/>
              </w:rPr>
              <w:instrText xml:space="preserve"> PAGEREF _Toc179977928 \h </w:instrText>
            </w:r>
            <w:r w:rsidRPr="00623A4B">
              <w:rPr>
                <w:rFonts w:ascii="Arial" w:hAnsi="Arial"/>
                <w:noProof/>
                <w:webHidden/>
                <w:sz w:val="22"/>
                <w:szCs w:val="22"/>
              </w:rPr>
            </w:r>
            <w:r w:rsidRPr="00623A4B">
              <w:rPr>
                <w:rFonts w:ascii="Arial" w:hAnsi="Arial"/>
                <w:noProof/>
                <w:webHidden/>
                <w:sz w:val="22"/>
                <w:szCs w:val="22"/>
              </w:rPr>
              <w:fldChar w:fldCharType="separate"/>
            </w:r>
            <w:r w:rsidRPr="00623A4B">
              <w:rPr>
                <w:rFonts w:ascii="Arial" w:hAnsi="Arial"/>
                <w:noProof/>
                <w:webHidden/>
                <w:sz w:val="22"/>
                <w:szCs w:val="22"/>
              </w:rPr>
              <w:t>5</w:t>
            </w:r>
            <w:r w:rsidRPr="00623A4B">
              <w:rPr>
                <w:rFonts w:ascii="Arial" w:hAnsi="Arial"/>
                <w:noProof/>
                <w:webHidden/>
                <w:sz w:val="22"/>
                <w:szCs w:val="22"/>
              </w:rPr>
              <w:fldChar w:fldCharType="end"/>
            </w:r>
          </w:hyperlink>
        </w:p>
        <w:p w14:paraId="25FBAA30" w14:textId="3D549802" w:rsidR="008F4D89" w:rsidRPr="00623A4B" w:rsidRDefault="008F4D89">
          <w:pPr>
            <w:pStyle w:val="TOC3"/>
            <w:tabs>
              <w:tab w:val="right" w:leader="dot" w:pos="9350"/>
            </w:tabs>
            <w:rPr>
              <w:rFonts w:ascii="Arial" w:eastAsiaTheme="minorEastAsia" w:hAnsi="Arial"/>
              <w:noProof/>
              <w:kern w:val="2"/>
              <w:sz w:val="22"/>
              <w:szCs w:val="22"/>
              <w:lang w:val="en-US"/>
              <w14:ligatures w14:val="standardContextual"/>
            </w:rPr>
          </w:pPr>
          <w:hyperlink w:anchor="_Toc179977929" w:history="1">
            <w:r w:rsidRPr="00623A4B">
              <w:rPr>
                <w:rStyle w:val="Hyperlink"/>
                <w:rFonts w:ascii="Arial" w:hAnsi="Arial"/>
                <w:noProof/>
                <w:sz w:val="22"/>
                <w:szCs w:val="22"/>
                <w:highlight w:val="white"/>
              </w:rPr>
              <w:t>2 ways companies get draws wrong</w:t>
            </w:r>
            <w:r w:rsidRPr="00623A4B">
              <w:rPr>
                <w:rFonts w:ascii="Arial" w:hAnsi="Arial"/>
                <w:noProof/>
                <w:webHidden/>
                <w:sz w:val="22"/>
                <w:szCs w:val="22"/>
              </w:rPr>
              <w:tab/>
            </w:r>
            <w:r w:rsidRPr="00623A4B">
              <w:rPr>
                <w:rFonts w:ascii="Arial" w:hAnsi="Arial"/>
                <w:noProof/>
                <w:webHidden/>
                <w:sz w:val="22"/>
                <w:szCs w:val="22"/>
              </w:rPr>
              <w:fldChar w:fldCharType="begin"/>
            </w:r>
            <w:r w:rsidRPr="00623A4B">
              <w:rPr>
                <w:rFonts w:ascii="Arial" w:hAnsi="Arial"/>
                <w:noProof/>
                <w:webHidden/>
                <w:sz w:val="22"/>
                <w:szCs w:val="22"/>
              </w:rPr>
              <w:instrText xml:space="preserve"> PAGEREF _Toc179977929 \h </w:instrText>
            </w:r>
            <w:r w:rsidRPr="00623A4B">
              <w:rPr>
                <w:rFonts w:ascii="Arial" w:hAnsi="Arial"/>
                <w:noProof/>
                <w:webHidden/>
                <w:sz w:val="22"/>
                <w:szCs w:val="22"/>
              </w:rPr>
            </w:r>
            <w:r w:rsidRPr="00623A4B">
              <w:rPr>
                <w:rFonts w:ascii="Arial" w:hAnsi="Arial"/>
                <w:noProof/>
                <w:webHidden/>
                <w:sz w:val="22"/>
                <w:szCs w:val="22"/>
              </w:rPr>
              <w:fldChar w:fldCharType="separate"/>
            </w:r>
            <w:r w:rsidRPr="00623A4B">
              <w:rPr>
                <w:rFonts w:ascii="Arial" w:hAnsi="Arial"/>
                <w:noProof/>
                <w:webHidden/>
                <w:sz w:val="22"/>
                <w:szCs w:val="22"/>
              </w:rPr>
              <w:t>6</w:t>
            </w:r>
            <w:r w:rsidRPr="00623A4B">
              <w:rPr>
                <w:rFonts w:ascii="Arial" w:hAnsi="Arial"/>
                <w:noProof/>
                <w:webHidden/>
                <w:sz w:val="22"/>
                <w:szCs w:val="22"/>
              </w:rPr>
              <w:fldChar w:fldCharType="end"/>
            </w:r>
          </w:hyperlink>
        </w:p>
        <w:p w14:paraId="42BCBE85" w14:textId="388DA43F" w:rsidR="008F4D89" w:rsidRPr="00623A4B" w:rsidRDefault="008F4D89">
          <w:pPr>
            <w:pStyle w:val="TOC3"/>
            <w:tabs>
              <w:tab w:val="right" w:leader="dot" w:pos="9350"/>
            </w:tabs>
            <w:rPr>
              <w:rFonts w:ascii="Arial" w:eastAsiaTheme="minorEastAsia" w:hAnsi="Arial"/>
              <w:noProof/>
              <w:kern w:val="2"/>
              <w:sz w:val="22"/>
              <w:szCs w:val="22"/>
              <w:lang w:val="en-US"/>
              <w14:ligatures w14:val="standardContextual"/>
            </w:rPr>
          </w:pPr>
          <w:hyperlink w:anchor="_Toc179977930" w:history="1">
            <w:r w:rsidRPr="00623A4B">
              <w:rPr>
                <w:rStyle w:val="Hyperlink"/>
                <w:rFonts w:ascii="Arial" w:hAnsi="Arial"/>
                <w:noProof/>
                <w:sz w:val="22"/>
                <w:szCs w:val="22"/>
                <w:highlight w:val="white"/>
              </w:rPr>
              <w:t>Best practices for draws</w:t>
            </w:r>
            <w:r w:rsidRPr="00623A4B">
              <w:rPr>
                <w:rFonts w:ascii="Arial" w:hAnsi="Arial"/>
                <w:noProof/>
                <w:webHidden/>
                <w:sz w:val="22"/>
                <w:szCs w:val="22"/>
              </w:rPr>
              <w:tab/>
            </w:r>
            <w:r w:rsidRPr="00623A4B">
              <w:rPr>
                <w:rFonts w:ascii="Arial" w:hAnsi="Arial"/>
                <w:noProof/>
                <w:webHidden/>
                <w:sz w:val="22"/>
                <w:szCs w:val="22"/>
              </w:rPr>
              <w:fldChar w:fldCharType="begin"/>
            </w:r>
            <w:r w:rsidRPr="00623A4B">
              <w:rPr>
                <w:rFonts w:ascii="Arial" w:hAnsi="Arial"/>
                <w:noProof/>
                <w:webHidden/>
                <w:sz w:val="22"/>
                <w:szCs w:val="22"/>
              </w:rPr>
              <w:instrText xml:space="preserve"> PAGEREF _Toc179977930 \h </w:instrText>
            </w:r>
            <w:r w:rsidRPr="00623A4B">
              <w:rPr>
                <w:rFonts w:ascii="Arial" w:hAnsi="Arial"/>
                <w:noProof/>
                <w:webHidden/>
                <w:sz w:val="22"/>
                <w:szCs w:val="22"/>
              </w:rPr>
            </w:r>
            <w:r w:rsidRPr="00623A4B">
              <w:rPr>
                <w:rFonts w:ascii="Arial" w:hAnsi="Arial"/>
                <w:noProof/>
                <w:webHidden/>
                <w:sz w:val="22"/>
                <w:szCs w:val="22"/>
              </w:rPr>
              <w:fldChar w:fldCharType="separate"/>
            </w:r>
            <w:r w:rsidRPr="00623A4B">
              <w:rPr>
                <w:rFonts w:ascii="Arial" w:hAnsi="Arial"/>
                <w:noProof/>
                <w:webHidden/>
                <w:sz w:val="22"/>
                <w:szCs w:val="22"/>
              </w:rPr>
              <w:t>6</w:t>
            </w:r>
            <w:r w:rsidRPr="00623A4B">
              <w:rPr>
                <w:rFonts w:ascii="Arial" w:hAnsi="Arial"/>
                <w:noProof/>
                <w:webHidden/>
                <w:sz w:val="22"/>
                <w:szCs w:val="22"/>
              </w:rPr>
              <w:fldChar w:fldCharType="end"/>
            </w:r>
          </w:hyperlink>
        </w:p>
        <w:p w14:paraId="5DE5BEF2" w14:textId="06E22685" w:rsidR="008F4D89" w:rsidRPr="00623A4B" w:rsidRDefault="008F4D89">
          <w:pPr>
            <w:pStyle w:val="TOC2"/>
            <w:tabs>
              <w:tab w:val="right" w:leader="dot" w:pos="9350"/>
            </w:tabs>
            <w:rPr>
              <w:rFonts w:ascii="Arial" w:eastAsiaTheme="minorEastAsia" w:hAnsi="Arial"/>
              <w:b w:val="0"/>
              <w:bCs w:val="0"/>
              <w:noProof/>
              <w:kern w:val="2"/>
              <w:lang w:val="en-US"/>
              <w14:ligatures w14:val="standardContextual"/>
            </w:rPr>
          </w:pPr>
          <w:hyperlink w:anchor="_Toc179977931" w:history="1">
            <w:r w:rsidRPr="00623A4B">
              <w:rPr>
                <w:rStyle w:val="Hyperlink"/>
                <w:rFonts w:ascii="Arial" w:hAnsi="Arial"/>
                <w:b w:val="0"/>
                <w:bCs w:val="0"/>
                <w:noProof/>
                <w:highlight w:val="white"/>
              </w:rPr>
              <w:t>Payments &amp; Debookings</w:t>
            </w:r>
            <w:r w:rsidRPr="00623A4B">
              <w:rPr>
                <w:rFonts w:ascii="Arial" w:hAnsi="Arial"/>
                <w:b w:val="0"/>
                <w:bCs w:val="0"/>
                <w:noProof/>
                <w:webHidden/>
              </w:rPr>
              <w:tab/>
            </w:r>
            <w:r w:rsidRPr="00623A4B">
              <w:rPr>
                <w:rFonts w:ascii="Arial" w:hAnsi="Arial"/>
                <w:b w:val="0"/>
                <w:bCs w:val="0"/>
                <w:noProof/>
                <w:webHidden/>
              </w:rPr>
              <w:fldChar w:fldCharType="begin"/>
            </w:r>
            <w:r w:rsidRPr="00623A4B">
              <w:rPr>
                <w:rFonts w:ascii="Arial" w:hAnsi="Arial"/>
                <w:b w:val="0"/>
                <w:bCs w:val="0"/>
                <w:noProof/>
                <w:webHidden/>
              </w:rPr>
              <w:instrText xml:space="preserve"> PAGEREF _Toc179977931 \h </w:instrText>
            </w:r>
            <w:r w:rsidRPr="00623A4B">
              <w:rPr>
                <w:rFonts w:ascii="Arial" w:hAnsi="Arial"/>
                <w:b w:val="0"/>
                <w:bCs w:val="0"/>
                <w:noProof/>
                <w:webHidden/>
              </w:rPr>
            </w:r>
            <w:r w:rsidRPr="00623A4B">
              <w:rPr>
                <w:rFonts w:ascii="Arial" w:hAnsi="Arial"/>
                <w:b w:val="0"/>
                <w:bCs w:val="0"/>
                <w:noProof/>
                <w:webHidden/>
              </w:rPr>
              <w:fldChar w:fldCharType="separate"/>
            </w:r>
            <w:r w:rsidRPr="00623A4B">
              <w:rPr>
                <w:rFonts w:ascii="Arial" w:hAnsi="Arial"/>
                <w:b w:val="0"/>
                <w:bCs w:val="0"/>
                <w:noProof/>
                <w:webHidden/>
              </w:rPr>
              <w:t>7</w:t>
            </w:r>
            <w:r w:rsidRPr="00623A4B">
              <w:rPr>
                <w:rFonts w:ascii="Arial" w:hAnsi="Arial"/>
                <w:b w:val="0"/>
                <w:bCs w:val="0"/>
                <w:noProof/>
                <w:webHidden/>
              </w:rPr>
              <w:fldChar w:fldCharType="end"/>
            </w:r>
          </w:hyperlink>
        </w:p>
        <w:p w14:paraId="51DB2075" w14:textId="1B10AB44" w:rsidR="008F4D89" w:rsidRPr="00623A4B" w:rsidRDefault="008F4D89">
          <w:pPr>
            <w:pStyle w:val="TOC3"/>
            <w:tabs>
              <w:tab w:val="right" w:leader="dot" w:pos="9350"/>
            </w:tabs>
            <w:rPr>
              <w:rFonts w:ascii="Arial" w:eastAsiaTheme="minorEastAsia" w:hAnsi="Arial"/>
              <w:noProof/>
              <w:kern w:val="2"/>
              <w:sz w:val="22"/>
              <w:szCs w:val="22"/>
              <w:lang w:val="en-US"/>
              <w14:ligatures w14:val="standardContextual"/>
            </w:rPr>
          </w:pPr>
          <w:hyperlink w:anchor="_Toc179977932" w:history="1">
            <w:r w:rsidRPr="00623A4B">
              <w:rPr>
                <w:rStyle w:val="Hyperlink"/>
                <w:rFonts w:ascii="Arial" w:hAnsi="Arial"/>
                <w:noProof/>
                <w:sz w:val="22"/>
                <w:szCs w:val="22"/>
                <w:highlight w:val="white"/>
              </w:rPr>
              <w:t>Why it’s important to get payments &amp; debookings right</w:t>
            </w:r>
            <w:r w:rsidRPr="00623A4B">
              <w:rPr>
                <w:rFonts w:ascii="Arial" w:hAnsi="Arial"/>
                <w:noProof/>
                <w:webHidden/>
                <w:sz w:val="22"/>
                <w:szCs w:val="22"/>
              </w:rPr>
              <w:tab/>
            </w:r>
            <w:r w:rsidRPr="00623A4B">
              <w:rPr>
                <w:rFonts w:ascii="Arial" w:hAnsi="Arial"/>
                <w:noProof/>
                <w:webHidden/>
                <w:sz w:val="22"/>
                <w:szCs w:val="22"/>
              </w:rPr>
              <w:fldChar w:fldCharType="begin"/>
            </w:r>
            <w:r w:rsidRPr="00623A4B">
              <w:rPr>
                <w:rFonts w:ascii="Arial" w:hAnsi="Arial"/>
                <w:noProof/>
                <w:webHidden/>
                <w:sz w:val="22"/>
                <w:szCs w:val="22"/>
              </w:rPr>
              <w:instrText xml:space="preserve"> PAGEREF _Toc179977932 \h </w:instrText>
            </w:r>
            <w:r w:rsidRPr="00623A4B">
              <w:rPr>
                <w:rFonts w:ascii="Arial" w:hAnsi="Arial"/>
                <w:noProof/>
                <w:webHidden/>
                <w:sz w:val="22"/>
                <w:szCs w:val="22"/>
              </w:rPr>
            </w:r>
            <w:r w:rsidRPr="00623A4B">
              <w:rPr>
                <w:rFonts w:ascii="Arial" w:hAnsi="Arial"/>
                <w:noProof/>
                <w:webHidden/>
                <w:sz w:val="22"/>
                <w:szCs w:val="22"/>
              </w:rPr>
              <w:fldChar w:fldCharType="separate"/>
            </w:r>
            <w:r w:rsidRPr="00623A4B">
              <w:rPr>
                <w:rFonts w:ascii="Arial" w:hAnsi="Arial"/>
                <w:noProof/>
                <w:webHidden/>
                <w:sz w:val="22"/>
                <w:szCs w:val="22"/>
              </w:rPr>
              <w:t>7</w:t>
            </w:r>
            <w:r w:rsidRPr="00623A4B">
              <w:rPr>
                <w:rFonts w:ascii="Arial" w:hAnsi="Arial"/>
                <w:noProof/>
                <w:webHidden/>
                <w:sz w:val="22"/>
                <w:szCs w:val="22"/>
              </w:rPr>
              <w:fldChar w:fldCharType="end"/>
            </w:r>
          </w:hyperlink>
        </w:p>
        <w:p w14:paraId="5E78FA79" w14:textId="36E341F4" w:rsidR="008F4D89" w:rsidRPr="00623A4B" w:rsidRDefault="008F4D89">
          <w:pPr>
            <w:pStyle w:val="TOC3"/>
            <w:tabs>
              <w:tab w:val="right" w:leader="dot" w:pos="9350"/>
            </w:tabs>
            <w:rPr>
              <w:rFonts w:ascii="Arial" w:eastAsiaTheme="minorEastAsia" w:hAnsi="Arial"/>
              <w:noProof/>
              <w:kern w:val="2"/>
              <w:sz w:val="22"/>
              <w:szCs w:val="22"/>
              <w:lang w:val="en-US"/>
              <w14:ligatures w14:val="standardContextual"/>
            </w:rPr>
          </w:pPr>
          <w:hyperlink w:anchor="_Toc179977933" w:history="1">
            <w:r w:rsidRPr="00623A4B">
              <w:rPr>
                <w:rStyle w:val="Hyperlink"/>
                <w:rFonts w:ascii="Arial" w:hAnsi="Arial"/>
                <w:noProof/>
                <w:sz w:val="22"/>
                <w:szCs w:val="22"/>
                <w:highlight w:val="white"/>
              </w:rPr>
              <w:t>2 ways companies get debookings wrong</w:t>
            </w:r>
            <w:r w:rsidRPr="00623A4B">
              <w:rPr>
                <w:rFonts w:ascii="Arial" w:hAnsi="Arial"/>
                <w:noProof/>
                <w:webHidden/>
                <w:sz w:val="22"/>
                <w:szCs w:val="22"/>
              </w:rPr>
              <w:tab/>
            </w:r>
            <w:r w:rsidRPr="00623A4B">
              <w:rPr>
                <w:rFonts w:ascii="Arial" w:hAnsi="Arial"/>
                <w:noProof/>
                <w:webHidden/>
                <w:sz w:val="22"/>
                <w:szCs w:val="22"/>
              </w:rPr>
              <w:fldChar w:fldCharType="begin"/>
            </w:r>
            <w:r w:rsidRPr="00623A4B">
              <w:rPr>
                <w:rFonts w:ascii="Arial" w:hAnsi="Arial"/>
                <w:noProof/>
                <w:webHidden/>
                <w:sz w:val="22"/>
                <w:szCs w:val="22"/>
              </w:rPr>
              <w:instrText xml:space="preserve"> PAGEREF _Toc179977933 \h </w:instrText>
            </w:r>
            <w:r w:rsidRPr="00623A4B">
              <w:rPr>
                <w:rFonts w:ascii="Arial" w:hAnsi="Arial"/>
                <w:noProof/>
                <w:webHidden/>
                <w:sz w:val="22"/>
                <w:szCs w:val="22"/>
              </w:rPr>
            </w:r>
            <w:r w:rsidRPr="00623A4B">
              <w:rPr>
                <w:rFonts w:ascii="Arial" w:hAnsi="Arial"/>
                <w:noProof/>
                <w:webHidden/>
                <w:sz w:val="22"/>
                <w:szCs w:val="22"/>
              </w:rPr>
              <w:fldChar w:fldCharType="separate"/>
            </w:r>
            <w:r w:rsidRPr="00623A4B">
              <w:rPr>
                <w:rFonts w:ascii="Arial" w:hAnsi="Arial"/>
                <w:noProof/>
                <w:webHidden/>
                <w:sz w:val="22"/>
                <w:szCs w:val="22"/>
              </w:rPr>
              <w:t>7</w:t>
            </w:r>
            <w:r w:rsidRPr="00623A4B">
              <w:rPr>
                <w:rFonts w:ascii="Arial" w:hAnsi="Arial"/>
                <w:noProof/>
                <w:webHidden/>
                <w:sz w:val="22"/>
                <w:szCs w:val="22"/>
              </w:rPr>
              <w:fldChar w:fldCharType="end"/>
            </w:r>
          </w:hyperlink>
        </w:p>
        <w:p w14:paraId="622DE938" w14:textId="36DCCE27" w:rsidR="008F4D89" w:rsidRPr="00623A4B" w:rsidRDefault="008F4D89">
          <w:pPr>
            <w:pStyle w:val="TOC3"/>
            <w:tabs>
              <w:tab w:val="right" w:leader="dot" w:pos="9350"/>
            </w:tabs>
            <w:rPr>
              <w:rFonts w:ascii="Arial" w:eastAsiaTheme="minorEastAsia" w:hAnsi="Arial"/>
              <w:noProof/>
              <w:kern w:val="2"/>
              <w:sz w:val="22"/>
              <w:szCs w:val="22"/>
              <w:lang w:val="en-US"/>
              <w14:ligatures w14:val="standardContextual"/>
            </w:rPr>
          </w:pPr>
          <w:hyperlink w:anchor="_Toc179977934" w:history="1">
            <w:r w:rsidRPr="00623A4B">
              <w:rPr>
                <w:rStyle w:val="Hyperlink"/>
                <w:rFonts w:ascii="Arial" w:hAnsi="Arial"/>
                <w:noProof/>
                <w:sz w:val="22"/>
                <w:szCs w:val="22"/>
                <w:highlight w:val="white"/>
              </w:rPr>
              <w:t>Best practices for debooking payments</w:t>
            </w:r>
            <w:r w:rsidRPr="00623A4B">
              <w:rPr>
                <w:rFonts w:ascii="Arial" w:hAnsi="Arial"/>
                <w:noProof/>
                <w:webHidden/>
                <w:sz w:val="22"/>
                <w:szCs w:val="22"/>
              </w:rPr>
              <w:tab/>
            </w:r>
            <w:r w:rsidRPr="00623A4B">
              <w:rPr>
                <w:rFonts w:ascii="Arial" w:hAnsi="Arial"/>
                <w:noProof/>
                <w:webHidden/>
                <w:sz w:val="22"/>
                <w:szCs w:val="22"/>
              </w:rPr>
              <w:fldChar w:fldCharType="begin"/>
            </w:r>
            <w:r w:rsidRPr="00623A4B">
              <w:rPr>
                <w:rFonts w:ascii="Arial" w:hAnsi="Arial"/>
                <w:noProof/>
                <w:webHidden/>
                <w:sz w:val="22"/>
                <w:szCs w:val="22"/>
              </w:rPr>
              <w:instrText xml:space="preserve"> PAGEREF _Toc179977934 \h </w:instrText>
            </w:r>
            <w:r w:rsidRPr="00623A4B">
              <w:rPr>
                <w:rFonts w:ascii="Arial" w:hAnsi="Arial"/>
                <w:noProof/>
                <w:webHidden/>
                <w:sz w:val="22"/>
                <w:szCs w:val="22"/>
              </w:rPr>
            </w:r>
            <w:r w:rsidRPr="00623A4B">
              <w:rPr>
                <w:rFonts w:ascii="Arial" w:hAnsi="Arial"/>
                <w:noProof/>
                <w:webHidden/>
                <w:sz w:val="22"/>
                <w:szCs w:val="22"/>
              </w:rPr>
              <w:fldChar w:fldCharType="separate"/>
            </w:r>
            <w:r w:rsidRPr="00623A4B">
              <w:rPr>
                <w:rFonts w:ascii="Arial" w:hAnsi="Arial"/>
                <w:noProof/>
                <w:webHidden/>
                <w:sz w:val="22"/>
                <w:szCs w:val="22"/>
              </w:rPr>
              <w:t>7</w:t>
            </w:r>
            <w:r w:rsidRPr="00623A4B">
              <w:rPr>
                <w:rFonts w:ascii="Arial" w:hAnsi="Arial"/>
                <w:noProof/>
                <w:webHidden/>
                <w:sz w:val="22"/>
                <w:szCs w:val="22"/>
              </w:rPr>
              <w:fldChar w:fldCharType="end"/>
            </w:r>
          </w:hyperlink>
        </w:p>
        <w:p w14:paraId="777B0A61" w14:textId="1FE2B2B8" w:rsidR="00276975" w:rsidRPr="008B15E8" w:rsidRDefault="008B15E8">
          <w:r w:rsidRPr="00623A4B">
            <w:rPr>
              <w:noProof/>
            </w:rPr>
            <w:fldChar w:fldCharType="end"/>
          </w:r>
        </w:p>
      </w:sdtContent>
    </w:sdt>
    <w:p w14:paraId="27AFEED3" w14:textId="77777777" w:rsidR="00D168B0" w:rsidRPr="008E4185" w:rsidRDefault="00D168B0">
      <w:pPr>
        <w:rPr>
          <w:color w:val="000000" w:themeColor="text1"/>
        </w:rPr>
      </w:pPr>
    </w:p>
    <w:p w14:paraId="42DD535A" w14:textId="2E365C14" w:rsidR="00BD583A" w:rsidRPr="008E4185" w:rsidRDefault="00276975">
      <w:pPr>
        <w:rPr>
          <w:rFonts w:ascii="Courier New" w:eastAsia="Courier New" w:hAnsi="Courier New" w:cs="Courier New"/>
          <w:color w:val="000000" w:themeColor="text1"/>
          <w:sz w:val="20"/>
          <w:szCs w:val="20"/>
        </w:rPr>
      </w:pPr>
      <w:r w:rsidRPr="008E4185">
        <w:rPr>
          <w:i/>
          <w:iCs/>
          <w:color w:val="000000" w:themeColor="text1"/>
        </w:rPr>
        <w:t>Author</w:t>
      </w:r>
      <w:r w:rsidR="008B15E8">
        <w:rPr>
          <w:i/>
          <w:iCs/>
          <w:color w:val="000000" w:themeColor="text1"/>
        </w:rPr>
        <w:t>s’</w:t>
      </w:r>
      <w:r w:rsidRPr="008E4185">
        <w:rPr>
          <w:i/>
          <w:iCs/>
          <w:color w:val="000000" w:themeColor="text1"/>
        </w:rPr>
        <w:t xml:space="preserve"> </w:t>
      </w:r>
      <w:proofErr w:type="gramStart"/>
      <w:r w:rsidRPr="008E4185">
        <w:rPr>
          <w:i/>
          <w:iCs/>
          <w:color w:val="000000" w:themeColor="text1"/>
        </w:rPr>
        <w:t>no</w:t>
      </w:r>
      <w:r w:rsidR="008B15E8">
        <w:rPr>
          <w:i/>
          <w:iCs/>
          <w:color w:val="000000" w:themeColor="text1"/>
        </w:rPr>
        <w:t>t</w:t>
      </w:r>
      <w:r w:rsidRPr="008E4185">
        <w:rPr>
          <w:i/>
          <w:iCs/>
          <w:color w:val="000000" w:themeColor="text1"/>
        </w:rPr>
        <w:t>e</w:t>
      </w:r>
      <w:proofErr w:type="gramEnd"/>
      <w:r w:rsidRPr="008E4185">
        <w:rPr>
          <w:color w:val="000000" w:themeColor="text1"/>
        </w:rPr>
        <w:t>: W</w:t>
      </w:r>
      <w:r w:rsidR="00000000" w:rsidRPr="008E4185">
        <w:rPr>
          <w:color w:val="000000" w:themeColor="text1"/>
        </w:rPr>
        <w:t xml:space="preserve">hen designing the programs below, please consider them in the context of your quota assignments. For example, extremely aggressive accelerators may be unnecessary if your reps already overachieve quota </w:t>
      </w:r>
      <w:proofErr w:type="gramStart"/>
      <w:r w:rsidR="00000000" w:rsidRPr="008E4185">
        <w:rPr>
          <w:color w:val="000000" w:themeColor="text1"/>
        </w:rPr>
        <w:t>fairly easily</w:t>
      </w:r>
      <w:proofErr w:type="gramEnd"/>
      <w:r w:rsidR="00000000" w:rsidRPr="008E4185">
        <w:rPr>
          <w:color w:val="000000" w:themeColor="text1"/>
        </w:rPr>
        <w:t>.</w:t>
      </w:r>
    </w:p>
    <w:p w14:paraId="3FD36FAC" w14:textId="77777777" w:rsidR="00BD583A" w:rsidRPr="008E4185" w:rsidRDefault="00BD583A">
      <w:pPr>
        <w:shd w:val="clear" w:color="auto" w:fill="FFFFFF"/>
        <w:rPr>
          <w:b/>
          <w:color w:val="000000" w:themeColor="text1"/>
          <w:highlight w:val="white"/>
          <w:u w:val="single"/>
        </w:rPr>
      </w:pPr>
      <w:bookmarkStart w:id="0" w:name="_30j0zll" w:colFirst="0" w:colLast="0"/>
      <w:bookmarkEnd w:id="0"/>
    </w:p>
    <w:p w14:paraId="30B483B3" w14:textId="77777777" w:rsidR="00276975" w:rsidRPr="008E4185" w:rsidRDefault="00A15103" w:rsidP="00276975">
      <w:pPr>
        <w:pBdr>
          <w:top w:val="nil"/>
          <w:left w:val="nil"/>
          <w:bottom w:val="nil"/>
          <w:right w:val="nil"/>
          <w:between w:val="nil"/>
        </w:pBdr>
        <w:rPr>
          <w:color w:val="000000" w:themeColor="text1"/>
          <w:highlight w:val="white"/>
        </w:rPr>
      </w:pPr>
      <w:r w:rsidRPr="008E4185">
        <w:rPr>
          <w:color w:val="000000" w:themeColor="text1"/>
          <w:highlight w:val="white"/>
        </w:rPr>
        <w:t>If you have further questions about how to craft an effective compensation plan, or would like Scale's team of advisors to review a plan you've already drafted, please reach out to Mark Gustaferro (</w:t>
      </w:r>
      <w:hyperlink r:id="rId8">
        <w:r w:rsidRPr="008E4185">
          <w:rPr>
            <w:color w:val="000000" w:themeColor="text1"/>
            <w:highlight w:val="white"/>
            <w:u w:val="single"/>
          </w:rPr>
          <w:t>mark.gustaferro@scalevp.com</w:t>
        </w:r>
      </w:hyperlink>
      <w:r w:rsidRPr="008E4185">
        <w:rPr>
          <w:color w:val="000000" w:themeColor="text1"/>
          <w:highlight w:val="white"/>
        </w:rPr>
        <w:t>).</w:t>
      </w:r>
    </w:p>
    <w:p w14:paraId="64B1CEDE" w14:textId="7E5B15C7" w:rsidR="00D40711" w:rsidRPr="008E4185" w:rsidRDefault="00000000" w:rsidP="00A87ACB">
      <w:pPr>
        <w:pStyle w:val="Heading2"/>
        <w:rPr>
          <w:b/>
          <w:bCs/>
          <w:color w:val="000000" w:themeColor="text1"/>
          <w:sz w:val="22"/>
          <w:szCs w:val="22"/>
          <w:highlight w:val="white"/>
        </w:rPr>
      </w:pPr>
      <w:bookmarkStart w:id="1" w:name="_Toc179977919"/>
      <w:r w:rsidRPr="008E4185">
        <w:rPr>
          <w:b/>
          <w:bCs/>
          <w:color w:val="000000" w:themeColor="text1"/>
          <w:highlight w:val="white"/>
        </w:rPr>
        <w:lastRenderedPageBreak/>
        <w:t>Windfalls</w:t>
      </w:r>
      <w:bookmarkEnd w:id="1"/>
      <w:r w:rsidR="00A87ACB" w:rsidRPr="008E4185">
        <w:rPr>
          <w:b/>
          <w:bCs/>
          <w:color w:val="000000" w:themeColor="text1"/>
          <w:highlight w:val="white"/>
        </w:rPr>
        <w:br/>
      </w:r>
    </w:p>
    <w:p w14:paraId="5126C1C3" w14:textId="075F6DA8" w:rsidR="00BD583A" w:rsidRPr="008E4185" w:rsidRDefault="00000000">
      <w:pPr>
        <w:shd w:val="clear" w:color="auto" w:fill="FFFFFF"/>
        <w:rPr>
          <w:color w:val="000000" w:themeColor="text1"/>
        </w:rPr>
      </w:pPr>
      <w:r w:rsidRPr="008E4185">
        <w:rPr>
          <w:color w:val="000000" w:themeColor="text1"/>
          <w:highlight w:val="white"/>
        </w:rPr>
        <w:t xml:space="preserve">A windfall, also known as a “blue bird” sale, is a very large, unexpected deal that typically closes due to lucky circumstances beyond a sales rep’s control. As a result, in the absence of a dedicated windfall clause, the commission the company owes to the rep may be hugely disproportionate to the effort exerted to land the deal. Further, the risk of over-compensation may be exacerbated by the fact that </w:t>
      </w:r>
      <w:r w:rsidRPr="008E4185">
        <w:rPr>
          <w:color w:val="000000" w:themeColor="text1"/>
        </w:rPr>
        <w:t>margins on windfall deals are usually lower than they are on typical deals, and that companies sometimes struggle to collect revenue on them.</w:t>
      </w:r>
    </w:p>
    <w:p w14:paraId="56E44748" w14:textId="77777777" w:rsidR="00BD583A" w:rsidRPr="008E4185" w:rsidRDefault="00000000" w:rsidP="00A87ACB">
      <w:pPr>
        <w:pStyle w:val="Heading3"/>
        <w:rPr>
          <w:b/>
          <w:bCs/>
          <w:color w:val="000000" w:themeColor="text1"/>
          <w:highlight w:val="white"/>
        </w:rPr>
      </w:pPr>
      <w:bookmarkStart w:id="2" w:name="_Toc179977920"/>
      <w:r w:rsidRPr="008E4185">
        <w:rPr>
          <w:b/>
          <w:bCs/>
          <w:color w:val="000000" w:themeColor="text1"/>
          <w:highlight w:val="white"/>
        </w:rPr>
        <w:t>Why it’s important to get a windfall clause right</w:t>
      </w:r>
      <w:bookmarkEnd w:id="2"/>
    </w:p>
    <w:p w14:paraId="0E8F6F26" w14:textId="77777777" w:rsidR="00BD583A" w:rsidRPr="008E4185" w:rsidRDefault="00000000">
      <w:pPr>
        <w:shd w:val="clear" w:color="auto" w:fill="FFFFFF"/>
        <w:rPr>
          <w:color w:val="000000" w:themeColor="text1"/>
          <w:highlight w:val="white"/>
        </w:rPr>
      </w:pPr>
      <w:r w:rsidRPr="008E4185">
        <w:rPr>
          <w:color w:val="000000" w:themeColor="text1"/>
          <w:highlight w:val="white"/>
        </w:rPr>
        <w:t>Including a windfall clause in your sales compensation plan can protect your company from large payouts that are not in your business’s best interest. Without such a clause, some startups end up paying a hefty price–literally and figuratively–on windfall sales.</w:t>
      </w:r>
    </w:p>
    <w:p w14:paraId="2FA7BE0D" w14:textId="77777777" w:rsidR="00BD583A" w:rsidRPr="008E4185" w:rsidRDefault="00BD583A">
      <w:pPr>
        <w:shd w:val="clear" w:color="auto" w:fill="FFFFFF"/>
        <w:rPr>
          <w:color w:val="000000" w:themeColor="text1"/>
          <w:highlight w:val="white"/>
        </w:rPr>
      </w:pPr>
    </w:p>
    <w:p w14:paraId="5132C9DF" w14:textId="77777777" w:rsidR="00BD583A" w:rsidRPr="008E4185" w:rsidRDefault="00000000">
      <w:pPr>
        <w:shd w:val="clear" w:color="auto" w:fill="FFFFFF"/>
        <w:rPr>
          <w:color w:val="000000" w:themeColor="text1"/>
          <w:highlight w:val="white"/>
        </w:rPr>
      </w:pPr>
      <w:r w:rsidRPr="008E4185">
        <w:rPr>
          <w:color w:val="000000" w:themeColor="text1"/>
          <w:highlight w:val="white"/>
        </w:rPr>
        <w:t xml:space="preserve">As startups mature and move up market, virtually all of them need to contemplate adding a windfall clause to their comp plan. Below is a real-life example of how a windfall clause was written at a major technology company, but it is by no means the only possible structure. In this instance, though the clause gave full discretion to the company on matters of windfall compensation, in practice, the company tried to compensate reps handsomely and fairly in windfall scenarios. </w:t>
      </w:r>
    </w:p>
    <w:p w14:paraId="24773EFD" w14:textId="03490F78" w:rsidR="00BD583A" w:rsidRPr="008E4185" w:rsidRDefault="005C2C5F">
      <w:pPr>
        <w:shd w:val="clear" w:color="auto" w:fill="FFFFFF"/>
        <w:rPr>
          <w:color w:val="000000" w:themeColor="text1"/>
          <w:highlight w:val="white"/>
        </w:rPr>
      </w:pPr>
      <w:r>
        <w:rPr>
          <w:noProof/>
          <w:color w:val="000000" w:themeColor="text1"/>
        </w:rPr>
        <mc:AlternateContent>
          <mc:Choice Requires="wps">
            <w:drawing>
              <wp:anchor distT="0" distB="0" distL="114300" distR="114300" simplePos="0" relativeHeight="251659264" behindDoc="0" locked="0" layoutInCell="1" allowOverlap="1" wp14:anchorId="24E333C1" wp14:editId="3144CA4A">
                <wp:simplePos x="0" y="0"/>
                <wp:positionH relativeFrom="column">
                  <wp:posOffset>-9331</wp:posOffset>
                </wp:positionH>
                <wp:positionV relativeFrom="paragraph">
                  <wp:posOffset>103013</wp:posOffset>
                </wp:positionV>
                <wp:extent cx="6115507" cy="1782146"/>
                <wp:effectExtent l="0" t="0" r="6350" b="0"/>
                <wp:wrapNone/>
                <wp:docPr id="761571659" name="Rectangle 3"/>
                <wp:cNvGraphicFramePr/>
                <a:graphic xmlns:a="http://schemas.openxmlformats.org/drawingml/2006/main">
                  <a:graphicData uri="http://schemas.microsoft.com/office/word/2010/wordprocessingShape">
                    <wps:wsp>
                      <wps:cNvSpPr/>
                      <wps:spPr>
                        <a:xfrm>
                          <a:off x="0" y="0"/>
                          <a:ext cx="6115507" cy="1782146"/>
                        </a:xfrm>
                        <a:prstGeom prst="rect">
                          <a:avLst/>
                        </a:prstGeom>
                        <a:solidFill>
                          <a:srgbClr val="D9D9D9">
                            <a:alpha val="1451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2BF10" id="Rectangle 3" o:spid="_x0000_s1026" style="position:absolute;margin-left:-.75pt;margin-top:8.1pt;width:481.55pt;height:14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" fillcolor="#d9d9d9" stroked="f">
                <v:fill opacity="9509f"/>
              </v:rect>
            </w:pict>
          </mc:Fallback>
        </mc:AlternateContent>
      </w:r>
    </w:p>
    <w:p w14:paraId="6EC780E4" w14:textId="72FE6AF8" w:rsidR="00BD583A" w:rsidRPr="00590F68" w:rsidRDefault="00000000" w:rsidP="00A87ACB">
      <w:pPr>
        <w:shd w:val="clear" w:color="auto" w:fill="FFFFFF"/>
        <w:ind w:left="720"/>
        <w:rPr>
          <w:i/>
          <w:iCs/>
          <w:color w:val="000000" w:themeColor="text1"/>
          <w:highlight w:val="white"/>
        </w:rPr>
      </w:pPr>
      <w:r w:rsidRPr="00590F68">
        <w:rPr>
          <w:i/>
          <w:iCs/>
          <w:color w:val="000000" w:themeColor="text1"/>
          <w:highlight w:val="white"/>
        </w:rPr>
        <w:t xml:space="preserve">“On occasion, business comes in based solely on the Company’s reputation or existing relationship with the customer, and such business results in a Booking that is not primarily the result of the Sales Rep’s efforts. On other occasions, business comes in of an extreme Bookings size, such as a single deal equal to or greater than the Sales Quota assigned the Sales Rep for the applicable Term Period. In both cases, such Bookings are considered Windfalls. Sales Reps will not be eligible to receive or earn Commissions on Windfall business if the Company in its discretion determines that the Sales Quota Credit and Commissions or other incentive pay would result in unexpected unfairness.” </w:t>
      </w:r>
    </w:p>
    <w:p w14:paraId="76A88F74" w14:textId="77777777" w:rsidR="00BD583A" w:rsidRPr="008E4185" w:rsidRDefault="00000000" w:rsidP="00A87ACB">
      <w:pPr>
        <w:pStyle w:val="Heading3"/>
        <w:rPr>
          <w:b/>
          <w:bCs/>
          <w:color w:val="000000" w:themeColor="text1"/>
          <w:highlight w:val="white"/>
        </w:rPr>
      </w:pPr>
      <w:bookmarkStart w:id="3" w:name="_Toc179977921"/>
      <w:r w:rsidRPr="008E4185">
        <w:rPr>
          <w:b/>
          <w:bCs/>
          <w:color w:val="000000" w:themeColor="text1"/>
          <w:highlight w:val="white"/>
        </w:rPr>
        <w:t>How companies get windfall comp “wrong”</w:t>
      </w:r>
      <w:bookmarkEnd w:id="3"/>
    </w:p>
    <w:p w14:paraId="3B94533F" w14:textId="01048DDC" w:rsidR="00BD583A" w:rsidRPr="008E4185" w:rsidRDefault="00000000">
      <w:pPr>
        <w:shd w:val="clear" w:color="auto" w:fill="FFFFFF"/>
        <w:rPr>
          <w:color w:val="000000" w:themeColor="text1"/>
          <w:highlight w:val="white"/>
        </w:rPr>
      </w:pPr>
      <w:r w:rsidRPr="008E4185">
        <w:rPr>
          <w:color w:val="000000" w:themeColor="text1"/>
          <w:highlight w:val="white"/>
        </w:rPr>
        <w:t>Situations in which reps are over- or under-compensated for windfall business can harm the sales team’s morale</w:t>
      </w:r>
      <w:r w:rsidR="00D80CF8">
        <w:rPr>
          <w:color w:val="000000" w:themeColor="text1"/>
          <w:highlight w:val="white"/>
        </w:rPr>
        <w:t xml:space="preserve">. </w:t>
      </w:r>
      <w:r w:rsidRPr="008E4185">
        <w:rPr>
          <w:color w:val="000000" w:themeColor="text1"/>
          <w:highlight w:val="white"/>
        </w:rPr>
        <w:t>Consequently, it’s important to avoid the following pitfalls:</w:t>
      </w:r>
    </w:p>
    <w:p w14:paraId="444A6656" w14:textId="77777777" w:rsidR="00BD583A" w:rsidRPr="008E4185" w:rsidRDefault="00BD583A">
      <w:pPr>
        <w:shd w:val="clear" w:color="auto" w:fill="FFFFFF"/>
        <w:rPr>
          <w:color w:val="000000" w:themeColor="text1"/>
          <w:highlight w:val="white"/>
        </w:rPr>
      </w:pPr>
    </w:p>
    <w:p w14:paraId="7544D1E6" w14:textId="77777777" w:rsidR="00BD583A" w:rsidRPr="008E4185" w:rsidRDefault="00000000">
      <w:pPr>
        <w:widowControl w:val="0"/>
        <w:pBdr>
          <w:top w:val="nil"/>
          <w:left w:val="nil"/>
          <w:bottom w:val="nil"/>
          <w:right w:val="nil"/>
          <w:between w:val="nil"/>
        </w:pBdr>
        <w:rPr>
          <w:color w:val="000000" w:themeColor="text1"/>
        </w:rPr>
      </w:pPr>
      <w:r w:rsidRPr="008E4185">
        <w:rPr>
          <w:color w:val="000000" w:themeColor="text1"/>
        </w:rPr>
        <w:t xml:space="preserve">1. </w:t>
      </w:r>
      <w:r w:rsidRPr="008E4185">
        <w:rPr>
          <w:b/>
          <w:color w:val="000000" w:themeColor="text1"/>
        </w:rPr>
        <w:t xml:space="preserve">Over-compensation: </w:t>
      </w:r>
      <w:r w:rsidRPr="008E4185">
        <w:rPr>
          <w:color w:val="000000" w:themeColor="text1"/>
        </w:rPr>
        <w:t xml:space="preserve">If a rep / account team is compensated too highly on a windfall deal, they may lose motivation to work on advancing other deals through the pipeline. At the same time, overpayment can create a cultural conflict with other employees, especially if those employees earn significantly less than the over-compensated rep / account team. </w:t>
      </w:r>
    </w:p>
    <w:p w14:paraId="6C354A88" w14:textId="77777777" w:rsidR="00BD583A" w:rsidRPr="008E4185" w:rsidRDefault="00BD583A">
      <w:pPr>
        <w:widowControl w:val="0"/>
        <w:pBdr>
          <w:top w:val="nil"/>
          <w:left w:val="nil"/>
          <w:bottom w:val="nil"/>
          <w:right w:val="nil"/>
          <w:between w:val="nil"/>
        </w:pBdr>
        <w:rPr>
          <w:color w:val="000000" w:themeColor="text1"/>
        </w:rPr>
      </w:pPr>
    </w:p>
    <w:p w14:paraId="699FFD68" w14:textId="5CCC879E" w:rsidR="00BD583A" w:rsidRPr="008E4185" w:rsidRDefault="00000000" w:rsidP="00A87ACB">
      <w:pPr>
        <w:widowControl w:val="0"/>
        <w:pBdr>
          <w:top w:val="nil"/>
          <w:left w:val="nil"/>
          <w:bottom w:val="nil"/>
          <w:right w:val="nil"/>
          <w:between w:val="nil"/>
        </w:pBdr>
        <w:rPr>
          <w:color w:val="000000" w:themeColor="text1"/>
        </w:rPr>
      </w:pPr>
      <w:r w:rsidRPr="008E4185">
        <w:rPr>
          <w:color w:val="000000" w:themeColor="text1"/>
        </w:rPr>
        <w:t xml:space="preserve">2. </w:t>
      </w:r>
      <w:r w:rsidRPr="008E4185">
        <w:rPr>
          <w:b/>
          <w:color w:val="000000" w:themeColor="text1"/>
        </w:rPr>
        <w:t xml:space="preserve">Under-compensation: </w:t>
      </w:r>
      <w:r w:rsidRPr="008E4185">
        <w:rPr>
          <w:color w:val="000000" w:themeColor="text1"/>
        </w:rPr>
        <w:t xml:space="preserve">Conversely, if your company does not clearly communicate windfall compensation expectations ahead of time, reps may feel under-compensated when they land </w:t>
      </w:r>
      <w:r w:rsidRPr="008E4185">
        <w:rPr>
          <w:color w:val="000000" w:themeColor="text1"/>
        </w:rPr>
        <w:lastRenderedPageBreak/>
        <w:t>huge deals. This, in turn, can disincentivize reps from going after large accounts and lead to attrition in the sales team.</w:t>
      </w:r>
    </w:p>
    <w:p w14:paraId="39C9662F" w14:textId="77777777" w:rsidR="00BD583A" w:rsidRPr="008E4185" w:rsidRDefault="00000000" w:rsidP="00A87ACB">
      <w:pPr>
        <w:pStyle w:val="Heading3"/>
        <w:rPr>
          <w:b/>
          <w:bCs/>
          <w:color w:val="000000" w:themeColor="text1"/>
          <w:highlight w:val="white"/>
        </w:rPr>
      </w:pPr>
      <w:bookmarkStart w:id="4" w:name="_Toc179977922"/>
      <w:r w:rsidRPr="008E4185">
        <w:rPr>
          <w:b/>
          <w:bCs/>
          <w:color w:val="000000" w:themeColor="text1"/>
          <w:highlight w:val="white"/>
        </w:rPr>
        <w:t>Best practices for windfalls</w:t>
      </w:r>
      <w:bookmarkEnd w:id="4"/>
    </w:p>
    <w:p w14:paraId="7E61E606" w14:textId="77777777" w:rsidR="00BD583A" w:rsidRPr="008E4185" w:rsidRDefault="00000000">
      <w:pPr>
        <w:shd w:val="clear" w:color="auto" w:fill="FFFFFF"/>
        <w:rPr>
          <w:color w:val="000000" w:themeColor="text1"/>
          <w:highlight w:val="white"/>
        </w:rPr>
      </w:pPr>
      <w:r w:rsidRPr="008E4185">
        <w:rPr>
          <w:color w:val="000000" w:themeColor="text1"/>
          <w:highlight w:val="white"/>
        </w:rPr>
        <w:t>The best practices below can help you avoid the typical issues that appear in windfall compensation:</w:t>
      </w:r>
      <w:r w:rsidRPr="008E4185">
        <w:rPr>
          <w:color w:val="000000" w:themeColor="text1"/>
          <w:highlight w:val="white"/>
        </w:rPr>
        <w:br/>
      </w:r>
    </w:p>
    <w:p w14:paraId="0CC262ED" w14:textId="77777777" w:rsidR="00BD583A" w:rsidRPr="008E4185" w:rsidRDefault="00000000">
      <w:pPr>
        <w:numPr>
          <w:ilvl w:val="0"/>
          <w:numId w:val="1"/>
        </w:numPr>
        <w:pBdr>
          <w:top w:val="nil"/>
          <w:left w:val="nil"/>
          <w:bottom w:val="nil"/>
          <w:right w:val="nil"/>
          <w:between w:val="nil"/>
        </w:pBdr>
        <w:shd w:val="clear" w:color="auto" w:fill="FFFFFF"/>
        <w:rPr>
          <w:color w:val="000000" w:themeColor="text1"/>
          <w:highlight w:val="white"/>
        </w:rPr>
      </w:pPr>
      <w:r w:rsidRPr="008E4185">
        <w:rPr>
          <w:b/>
          <w:color w:val="000000" w:themeColor="text1"/>
          <w:highlight w:val="white"/>
        </w:rPr>
        <w:t>Strike a balance</w:t>
      </w:r>
      <w:r w:rsidRPr="008E4185">
        <w:rPr>
          <w:color w:val="000000" w:themeColor="text1"/>
          <w:highlight w:val="white"/>
        </w:rPr>
        <w:t xml:space="preserve"> between generously compensating your reps (and incentivizing “whale hunting” along the way) while also protecting the company. </w:t>
      </w:r>
    </w:p>
    <w:p w14:paraId="1859E369" w14:textId="77777777" w:rsidR="00BD583A" w:rsidRPr="008E4185" w:rsidRDefault="00BD583A">
      <w:pPr>
        <w:pBdr>
          <w:top w:val="nil"/>
          <w:left w:val="nil"/>
          <w:bottom w:val="nil"/>
          <w:right w:val="nil"/>
          <w:between w:val="nil"/>
        </w:pBdr>
        <w:shd w:val="clear" w:color="auto" w:fill="FFFFFF"/>
        <w:ind w:left="360"/>
        <w:rPr>
          <w:color w:val="000000" w:themeColor="text1"/>
          <w:highlight w:val="white"/>
        </w:rPr>
      </w:pPr>
    </w:p>
    <w:p w14:paraId="4B75E74B" w14:textId="77777777" w:rsidR="00BD583A" w:rsidRPr="008E4185" w:rsidRDefault="00000000">
      <w:pPr>
        <w:numPr>
          <w:ilvl w:val="0"/>
          <w:numId w:val="1"/>
        </w:numPr>
        <w:pBdr>
          <w:top w:val="nil"/>
          <w:left w:val="nil"/>
          <w:bottom w:val="nil"/>
          <w:right w:val="nil"/>
          <w:between w:val="nil"/>
        </w:pBdr>
        <w:shd w:val="clear" w:color="auto" w:fill="FFFFFF"/>
        <w:rPr>
          <w:color w:val="000000" w:themeColor="text1"/>
          <w:highlight w:val="white"/>
        </w:rPr>
      </w:pPr>
      <w:r w:rsidRPr="008E4185">
        <w:rPr>
          <w:b/>
          <w:color w:val="000000" w:themeColor="text1"/>
          <w:highlight w:val="white"/>
        </w:rPr>
        <w:t>Set clear expectations</w:t>
      </w:r>
      <w:r w:rsidRPr="008E4185">
        <w:rPr>
          <w:color w:val="000000" w:themeColor="text1"/>
          <w:highlight w:val="white"/>
        </w:rPr>
        <w:t xml:space="preserve"> for windfall compensation with reps while deals are in the pipeline versus after they have closed.</w:t>
      </w:r>
    </w:p>
    <w:p w14:paraId="05371246" w14:textId="77777777" w:rsidR="00BD583A" w:rsidRPr="008E4185" w:rsidRDefault="00BD583A">
      <w:pPr>
        <w:pBdr>
          <w:top w:val="nil"/>
          <w:left w:val="nil"/>
          <w:bottom w:val="nil"/>
          <w:right w:val="nil"/>
          <w:between w:val="nil"/>
        </w:pBdr>
        <w:ind w:left="720"/>
        <w:rPr>
          <w:color w:val="000000" w:themeColor="text1"/>
          <w:highlight w:val="white"/>
        </w:rPr>
      </w:pPr>
    </w:p>
    <w:p w14:paraId="2CC4BBBB" w14:textId="77777777" w:rsidR="00BD583A" w:rsidRPr="008E4185" w:rsidRDefault="00000000">
      <w:pPr>
        <w:numPr>
          <w:ilvl w:val="0"/>
          <w:numId w:val="1"/>
        </w:numPr>
        <w:pBdr>
          <w:top w:val="nil"/>
          <w:left w:val="nil"/>
          <w:bottom w:val="nil"/>
          <w:right w:val="nil"/>
          <w:between w:val="nil"/>
        </w:pBdr>
        <w:shd w:val="clear" w:color="auto" w:fill="FFFFFF"/>
        <w:rPr>
          <w:color w:val="000000" w:themeColor="text1"/>
          <w:highlight w:val="white"/>
        </w:rPr>
      </w:pPr>
      <w:r w:rsidRPr="008E4185">
        <w:rPr>
          <w:b/>
          <w:color w:val="000000" w:themeColor="text1"/>
          <w:highlight w:val="white"/>
        </w:rPr>
        <w:t>Do not cap commissions</w:t>
      </w:r>
      <w:r w:rsidRPr="008E4185">
        <w:rPr>
          <w:color w:val="000000" w:themeColor="text1"/>
          <w:highlight w:val="white"/>
        </w:rPr>
        <w:t xml:space="preserve"> or you’ll struggle to hire and promote top talent. Capping can also result in reps choosing to hold deals rather than close them during a given quota period. In the next section, the accelerator example provided reverts commissions back to dollar-one when reps reach above 400% quota attainment. You may opt to apply such a rule to windfall deals.</w:t>
      </w:r>
    </w:p>
    <w:p w14:paraId="1262C689" w14:textId="77777777" w:rsidR="00BD583A" w:rsidRPr="008E4185" w:rsidRDefault="00BD583A">
      <w:pPr>
        <w:pBdr>
          <w:top w:val="nil"/>
          <w:left w:val="nil"/>
          <w:bottom w:val="nil"/>
          <w:right w:val="nil"/>
          <w:between w:val="nil"/>
        </w:pBdr>
        <w:shd w:val="clear" w:color="auto" w:fill="FFFFFF"/>
        <w:ind w:left="360"/>
        <w:rPr>
          <w:color w:val="000000" w:themeColor="text1"/>
          <w:highlight w:val="white"/>
        </w:rPr>
      </w:pPr>
    </w:p>
    <w:p w14:paraId="726721D3" w14:textId="77777777" w:rsidR="00BD583A" w:rsidRPr="008E4185" w:rsidRDefault="00000000">
      <w:pPr>
        <w:numPr>
          <w:ilvl w:val="0"/>
          <w:numId w:val="1"/>
        </w:numPr>
        <w:pBdr>
          <w:top w:val="nil"/>
          <w:left w:val="nil"/>
          <w:bottom w:val="nil"/>
          <w:right w:val="nil"/>
          <w:between w:val="nil"/>
        </w:pBdr>
        <w:shd w:val="clear" w:color="auto" w:fill="FFFFFF"/>
        <w:rPr>
          <w:color w:val="000000" w:themeColor="text1"/>
          <w:highlight w:val="white"/>
        </w:rPr>
      </w:pPr>
      <w:r w:rsidRPr="008E4185">
        <w:rPr>
          <w:b/>
          <w:color w:val="000000" w:themeColor="text1"/>
          <w:highlight w:val="white"/>
        </w:rPr>
        <w:t>Apply your windfall clause consistently</w:t>
      </w:r>
      <w:r w:rsidRPr="008E4185">
        <w:rPr>
          <w:color w:val="000000" w:themeColor="text1"/>
          <w:highlight w:val="white"/>
        </w:rPr>
        <w:t xml:space="preserve"> to avoid breaking laws and/or risking discrimination lawsuits.</w:t>
      </w:r>
      <w:r w:rsidRPr="008E4185">
        <w:rPr>
          <w:color w:val="000000" w:themeColor="text1"/>
        </w:rPr>
        <w:t xml:space="preserve"> Different countries maintain different rules regarding how employee commissions can be calculated. Moreover, sales reps that suffer from under-compensation can, on occasion, sue for discrimination (on the grounds that their under-compensation was due to their status as a member of a protected class).</w:t>
      </w:r>
    </w:p>
    <w:p w14:paraId="7A2A9A86" w14:textId="77777777" w:rsidR="00D40711" w:rsidRPr="008E4185" w:rsidRDefault="00D40711">
      <w:pPr>
        <w:shd w:val="clear" w:color="auto" w:fill="FFFFFF"/>
        <w:rPr>
          <w:color w:val="000000" w:themeColor="text1"/>
          <w:highlight w:val="white"/>
        </w:rPr>
      </w:pPr>
    </w:p>
    <w:p w14:paraId="3C0B17AE" w14:textId="1A74493E" w:rsidR="00BD583A" w:rsidRPr="008E4185" w:rsidRDefault="00000000" w:rsidP="00A87ACB">
      <w:pPr>
        <w:pStyle w:val="Heading2"/>
        <w:rPr>
          <w:b/>
          <w:bCs/>
          <w:color w:val="000000" w:themeColor="text1"/>
          <w:highlight w:val="white"/>
        </w:rPr>
      </w:pPr>
      <w:bookmarkStart w:id="5" w:name="_Toc179977923"/>
      <w:r w:rsidRPr="008E4185">
        <w:rPr>
          <w:b/>
          <w:bCs/>
          <w:color w:val="000000" w:themeColor="text1"/>
          <w:highlight w:val="white"/>
        </w:rPr>
        <w:t>Accelerators</w:t>
      </w:r>
      <w:bookmarkEnd w:id="5"/>
    </w:p>
    <w:p w14:paraId="069406F9" w14:textId="77777777" w:rsidR="00D40711" w:rsidRPr="008E4185" w:rsidRDefault="00D40711">
      <w:pPr>
        <w:shd w:val="clear" w:color="auto" w:fill="FFFFFF"/>
        <w:rPr>
          <w:b/>
          <w:color w:val="000000" w:themeColor="text1"/>
          <w:sz w:val="28"/>
          <w:szCs w:val="28"/>
          <w:highlight w:val="white"/>
          <w:u w:val="single"/>
        </w:rPr>
      </w:pPr>
    </w:p>
    <w:p w14:paraId="10983B78" w14:textId="60EA4D89" w:rsidR="00BD583A" w:rsidRDefault="00000000">
      <w:pPr>
        <w:widowControl w:val="0"/>
        <w:pBdr>
          <w:top w:val="nil"/>
          <w:left w:val="nil"/>
          <w:bottom w:val="nil"/>
          <w:right w:val="nil"/>
          <w:between w:val="nil"/>
        </w:pBdr>
        <w:rPr>
          <w:color w:val="000000" w:themeColor="text1"/>
          <w:highlight w:val="white"/>
        </w:rPr>
      </w:pPr>
      <w:r w:rsidRPr="008E4185">
        <w:rPr>
          <w:color w:val="000000" w:themeColor="text1"/>
          <w:highlight w:val="white"/>
        </w:rPr>
        <w:t>Accelerators are a compensation structure that incentivizes sales reps to outperform by increasing the commission rate on any sales that occur after their quota is met</w:t>
      </w:r>
      <w:r w:rsidR="00D80CF8">
        <w:rPr>
          <w:color w:val="000000" w:themeColor="text1"/>
          <w:highlight w:val="white"/>
        </w:rPr>
        <w:t xml:space="preserve">. </w:t>
      </w:r>
      <w:r w:rsidRPr="008E4185">
        <w:rPr>
          <w:color w:val="000000" w:themeColor="text1"/>
          <w:highlight w:val="white"/>
        </w:rPr>
        <w:t>Accelerators can take many forms and the best one for your company may differ substantially from the best one for another’s</w:t>
      </w:r>
      <w:r w:rsidR="00D80CF8">
        <w:rPr>
          <w:color w:val="000000" w:themeColor="text1"/>
          <w:highlight w:val="white"/>
        </w:rPr>
        <w:t xml:space="preserve">. </w:t>
      </w:r>
      <w:r w:rsidRPr="008E4185">
        <w:rPr>
          <w:color w:val="000000" w:themeColor="text1"/>
          <w:highlight w:val="white"/>
        </w:rPr>
        <w:t>Below are two examples of accelerator configurations at a tech company.</w:t>
      </w:r>
    </w:p>
    <w:p w14:paraId="3D6C8347" w14:textId="77777777" w:rsidR="00DB54E1" w:rsidRDefault="00DB54E1">
      <w:pPr>
        <w:widowControl w:val="0"/>
        <w:pBdr>
          <w:top w:val="nil"/>
          <w:left w:val="nil"/>
          <w:bottom w:val="nil"/>
          <w:right w:val="nil"/>
          <w:between w:val="nil"/>
        </w:pBdr>
        <w:rPr>
          <w:color w:val="000000" w:themeColor="text1"/>
          <w:highlight w:val="white"/>
        </w:rPr>
      </w:pPr>
    </w:p>
    <w:p w14:paraId="25189B45" w14:textId="77777777" w:rsidR="00DB54E1" w:rsidRPr="008E4185" w:rsidRDefault="00DB54E1" w:rsidP="00DB54E1">
      <w:pPr>
        <w:shd w:val="clear" w:color="auto" w:fill="FFFFFF"/>
        <w:rPr>
          <w:b/>
          <w:bCs/>
          <w:color w:val="000000" w:themeColor="text1"/>
          <w:highlight w:val="white"/>
        </w:rPr>
      </w:pPr>
      <w:r w:rsidRPr="008E4185">
        <w:rPr>
          <w:color w:val="000000" w:themeColor="text1"/>
          <w:highlight w:val="white"/>
        </w:rPr>
        <w:t xml:space="preserve">                                  </w:t>
      </w:r>
      <w:r w:rsidRPr="008E4185">
        <w:rPr>
          <w:b/>
          <w:bCs/>
          <w:color w:val="000000" w:themeColor="text1"/>
          <w:sz w:val="18"/>
          <w:szCs w:val="18"/>
          <w:highlight w:val="white"/>
        </w:rPr>
        <w:t>Table 1                                                                             Table 2</w:t>
      </w:r>
    </w:p>
    <w:tbl>
      <w:tblPr>
        <w:tblStyle w:val="TableGrid"/>
        <w:tblpPr w:leftFromText="180" w:rightFromText="180" w:vertAnchor="text" w:horzAnchor="page" w:tblpX="6321" w:tblpY="226"/>
        <w:tblW w:w="396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1980"/>
      </w:tblGrid>
      <w:tr w:rsidR="00DB54E1" w:rsidRPr="008E4185" w14:paraId="246D7672" w14:textId="77777777" w:rsidTr="00A92901">
        <w:trPr>
          <w:trHeight w:val="170"/>
        </w:trPr>
        <w:tc>
          <w:tcPr>
            <w:tcW w:w="1980" w:type="dxa"/>
            <w:shd w:val="clear" w:color="auto" w:fill="235043"/>
          </w:tcPr>
          <w:p w14:paraId="3C09708C" w14:textId="77777777" w:rsidR="00DB54E1" w:rsidRPr="008E4185" w:rsidRDefault="00DB54E1" w:rsidP="00A92901">
            <w:pPr>
              <w:pStyle w:val="NoSpacing"/>
              <w:jc w:val="center"/>
              <w:rPr>
                <w:rFonts w:ascii="Arial" w:hAnsi="Arial" w:cs="Arial"/>
                <w:b/>
                <w:color w:val="FFFFFF" w:themeColor="background1"/>
                <w:sz w:val="18"/>
                <w:szCs w:val="18"/>
              </w:rPr>
            </w:pPr>
            <w:r w:rsidRPr="008E4185">
              <w:rPr>
                <w:rFonts w:ascii="Arial" w:hAnsi="Arial" w:cs="Arial"/>
                <w:b/>
                <w:color w:val="FFFFFF" w:themeColor="background1"/>
                <w:sz w:val="18"/>
                <w:szCs w:val="18"/>
              </w:rPr>
              <w:t>Quota attainment</w:t>
            </w:r>
          </w:p>
        </w:tc>
        <w:tc>
          <w:tcPr>
            <w:tcW w:w="1980" w:type="dxa"/>
            <w:shd w:val="clear" w:color="auto" w:fill="235043"/>
          </w:tcPr>
          <w:p w14:paraId="512F7377" w14:textId="77777777" w:rsidR="00DB54E1" w:rsidRPr="008E4185" w:rsidRDefault="00DB54E1" w:rsidP="00A92901">
            <w:pPr>
              <w:pStyle w:val="NoSpacing"/>
              <w:jc w:val="center"/>
              <w:rPr>
                <w:rFonts w:ascii="Arial" w:hAnsi="Arial" w:cs="Arial"/>
                <w:b/>
                <w:color w:val="FFFFFF" w:themeColor="background1"/>
                <w:sz w:val="18"/>
                <w:szCs w:val="18"/>
              </w:rPr>
            </w:pPr>
            <w:r w:rsidRPr="008E4185">
              <w:rPr>
                <w:rFonts w:ascii="Arial" w:hAnsi="Arial" w:cs="Arial"/>
                <w:b/>
                <w:color w:val="FFFFFF" w:themeColor="background1"/>
                <w:sz w:val="18"/>
                <w:szCs w:val="18"/>
              </w:rPr>
              <w:t>Multiplier</w:t>
            </w:r>
          </w:p>
        </w:tc>
      </w:tr>
      <w:tr w:rsidR="00DB54E1" w:rsidRPr="008E4185" w14:paraId="49E22AF7" w14:textId="77777777" w:rsidTr="00A92901">
        <w:trPr>
          <w:trHeight w:val="125"/>
        </w:trPr>
        <w:tc>
          <w:tcPr>
            <w:tcW w:w="1980" w:type="dxa"/>
            <w:shd w:val="clear" w:color="auto" w:fill="F2F2F2" w:themeFill="background1" w:themeFillShade="F2"/>
          </w:tcPr>
          <w:p w14:paraId="1665C191" w14:textId="77777777" w:rsidR="00DB54E1" w:rsidRPr="008E4185" w:rsidRDefault="00DB54E1" w:rsidP="00A92901">
            <w:pPr>
              <w:pStyle w:val="NoSpacing"/>
              <w:jc w:val="center"/>
              <w:rPr>
                <w:rFonts w:ascii="Arial" w:hAnsi="Arial" w:cs="Arial"/>
                <w:color w:val="000000" w:themeColor="text1"/>
                <w:sz w:val="18"/>
                <w:szCs w:val="18"/>
              </w:rPr>
            </w:pPr>
            <w:r w:rsidRPr="008E4185">
              <w:rPr>
                <w:rFonts w:ascii="Arial" w:hAnsi="Arial" w:cs="Arial"/>
                <w:color w:val="000000" w:themeColor="text1"/>
                <w:sz w:val="18"/>
                <w:szCs w:val="18"/>
              </w:rPr>
              <w:t>0% - &lt;50%</w:t>
            </w:r>
          </w:p>
        </w:tc>
        <w:tc>
          <w:tcPr>
            <w:tcW w:w="1980" w:type="dxa"/>
            <w:shd w:val="clear" w:color="auto" w:fill="F2F2F2" w:themeFill="background1" w:themeFillShade="F2"/>
          </w:tcPr>
          <w:p w14:paraId="58BF9C75" w14:textId="77777777" w:rsidR="00DB54E1" w:rsidRPr="008E4185" w:rsidRDefault="00DB54E1" w:rsidP="00A92901">
            <w:pPr>
              <w:pStyle w:val="NoSpacing"/>
              <w:jc w:val="center"/>
              <w:rPr>
                <w:rFonts w:ascii="Arial" w:hAnsi="Arial" w:cs="Arial"/>
                <w:color w:val="000000" w:themeColor="text1"/>
                <w:sz w:val="18"/>
                <w:szCs w:val="18"/>
              </w:rPr>
            </w:pPr>
            <w:r w:rsidRPr="008E4185">
              <w:rPr>
                <w:rFonts w:ascii="Arial" w:hAnsi="Arial" w:cs="Arial"/>
                <w:color w:val="000000" w:themeColor="text1"/>
                <w:sz w:val="18"/>
                <w:szCs w:val="18"/>
              </w:rPr>
              <w:t>.8</w:t>
            </w:r>
          </w:p>
        </w:tc>
      </w:tr>
      <w:tr w:rsidR="00DB54E1" w:rsidRPr="008E4185" w14:paraId="4133F0C7" w14:textId="77777777" w:rsidTr="00A92901">
        <w:trPr>
          <w:trHeight w:val="125"/>
        </w:trPr>
        <w:tc>
          <w:tcPr>
            <w:tcW w:w="1980" w:type="dxa"/>
            <w:shd w:val="clear" w:color="auto" w:fill="F2F2F2" w:themeFill="background1" w:themeFillShade="F2"/>
          </w:tcPr>
          <w:p w14:paraId="0497263E" w14:textId="77777777" w:rsidR="00DB54E1" w:rsidRPr="008E4185" w:rsidRDefault="00DB54E1" w:rsidP="00A92901">
            <w:pPr>
              <w:pStyle w:val="NoSpacing"/>
              <w:jc w:val="center"/>
              <w:rPr>
                <w:rFonts w:ascii="Arial" w:hAnsi="Arial" w:cs="Arial"/>
                <w:color w:val="000000" w:themeColor="text1"/>
                <w:sz w:val="18"/>
                <w:szCs w:val="18"/>
              </w:rPr>
            </w:pPr>
            <w:r w:rsidRPr="008E4185">
              <w:rPr>
                <w:rFonts w:ascii="Arial" w:hAnsi="Arial" w:cs="Arial"/>
                <w:color w:val="000000" w:themeColor="text1"/>
                <w:sz w:val="18"/>
                <w:szCs w:val="18"/>
              </w:rPr>
              <w:t>50% - &lt;100%</w:t>
            </w:r>
          </w:p>
        </w:tc>
        <w:tc>
          <w:tcPr>
            <w:tcW w:w="1980" w:type="dxa"/>
            <w:shd w:val="clear" w:color="auto" w:fill="F2F2F2" w:themeFill="background1" w:themeFillShade="F2"/>
          </w:tcPr>
          <w:p w14:paraId="35A2CA34" w14:textId="77777777" w:rsidR="00DB54E1" w:rsidRPr="008E4185" w:rsidRDefault="00DB54E1" w:rsidP="00A92901">
            <w:pPr>
              <w:pStyle w:val="NoSpacing"/>
              <w:jc w:val="center"/>
              <w:rPr>
                <w:rFonts w:ascii="Arial" w:hAnsi="Arial" w:cs="Arial"/>
                <w:color w:val="000000" w:themeColor="text1"/>
                <w:sz w:val="18"/>
                <w:szCs w:val="18"/>
              </w:rPr>
            </w:pPr>
            <w:r w:rsidRPr="008E4185">
              <w:rPr>
                <w:rFonts w:ascii="Arial" w:hAnsi="Arial" w:cs="Arial"/>
                <w:color w:val="000000" w:themeColor="text1"/>
                <w:sz w:val="18"/>
                <w:szCs w:val="18"/>
              </w:rPr>
              <w:t>1.2</w:t>
            </w:r>
          </w:p>
        </w:tc>
      </w:tr>
      <w:tr w:rsidR="00DB54E1" w:rsidRPr="008E4185" w14:paraId="4B3CA9D8" w14:textId="77777777" w:rsidTr="00A92901">
        <w:trPr>
          <w:trHeight w:val="125"/>
        </w:trPr>
        <w:tc>
          <w:tcPr>
            <w:tcW w:w="1980" w:type="dxa"/>
            <w:shd w:val="clear" w:color="auto" w:fill="F2F2F2" w:themeFill="background1" w:themeFillShade="F2"/>
          </w:tcPr>
          <w:p w14:paraId="00A8CB81" w14:textId="77777777" w:rsidR="00DB54E1" w:rsidRPr="008E4185" w:rsidRDefault="00DB54E1" w:rsidP="00A92901">
            <w:pPr>
              <w:pStyle w:val="NoSpacing"/>
              <w:jc w:val="center"/>
              <w:rPr>
                <w:rFonts w:ascii="Arial" w:hAnsi="Arial" w:cs="Arial"/>
                <w:color w:val="000000" w:themeColor="text1"/>
                <w:sz w:val="18"/>
                <w:szCs w:val="18"/>
              </w:rPr>
            </w:pPr>
            <w:r w:rsidRPr="008E4185">
              <w:rPr>
                <w:rFonts w:ascii="Arial" w:hAnsi="Arial" w:cs="Arial"/>
                <w:color w:val="000000" w:themeColor="text1"/>
                <w:sz w:val="18"/>
                <w:szCs w:val="18"/>
              </w:rPr>
              <w:t>100% - &lt;140%</w:t>
            </w:r>
          </w:p>
        </w:tc>
        <w:tc>
          <w:tcPr>
            <w:tcW w:w="1980" w:type="dxa"/>
            <w:shd w:val="clear" w:color="auto" w:fill="F2F2F2" w:themeFill="background1" w:themeFillShade="F2"/>
          </w:tcPr>
          <w:p w14:paraId="6693B2BB" w14:textId="77777777" w:rsidR="00DB54E1" w:rsidRPr="008E4185" w:rsidRDefault="00DB54E1" w:rsidP="00A92901">
            <w:pPr>
              <w:pStyle w:val="NoSpacing"/>
              <w:jc w:val="center"/>
              <w:rPr>
                <w:rFonts w:ascii="Arial" w:hAnsi="Arial" w:cs="Arial"/>
                <w:color w:val="000000" w:themeColor="text1"/>
                <w:sz w:val="18"/>
                <w:szCs w:val="18"/>
              </w:rPr>
            </w:pPr>
            <w:r w:rsidRPr="008E4185">
              <w:rPr>
                <w:rFonts w:ascii="Arial" w:hAnsi="Arial" w:cs="Arial"/>
                <w:color w:val="000000" w:themeColor="text1"/>
                <w:sz w:val="18"/>
                <w:szCs w:val="18"/>
              </w:rPr>
              <w:t>1.5</w:t>
            </w:r>
          </w:p>
        </w:tc>
      </w:tr>
      <w:tr w:rsidR="00DB54E1" w:rsidRPr="008E4185" w14:paraId="5BDBFC85" w14:textId="77777777" w:rsidTr="00A92901">
        <w:trPr>
          <w:trHeight w:val="125"/>
        </w:trPr>
        <w:tc>
          <w:tcPr>
            <w:tcW w:w="1980" w:type="dxa"/>
            <w:shd w:val="clear" w:color="auto" w:fill="F2F2F2" w:themeFill="background1" w:themeFillShade="F2"/>
          </w:tcPr>
          <w:p w14:paraId="714C96B6" w14:textId="77777777" w:rsidR="00DB54E1" w:rsidRPr="008E4185" w:rsidRDefault="00DB54E1" w:rsidP="00A92901">
            <w:pPr>
              <w:pStyle w:val="NoSpacing"/>
              <w:jc w:val="center"/>
              <w:rPr>
                <w:rFonts w:ascii="Arial" w:hAnsi="Arial" w:cs="Arial"/>
                <w:color w:val="000000" w:themeColor="text1"/>
                <w:sz w:val="18"/>
                <w:szCs w:val="18"/>
              </w:rPr>
            </w:pPr>
            <w:r w:rsidRPr="008E4185">
              <w:rPr>
                <w:rFonts w:ascii="Arial" w:hAnsi="Arial" w:cs="Arial"/>
                <w:color w:val="000000" w:themeColor="text1"/>
                <w:sz w:val="18"/>
                <w:szCs w:val="18"/>
              </w:rPr>
              <w:t>&gt;=140%</w:t>
            </w:r>
          </w:p>
        </w:tc>
        <w:tc>
          <w:tcPr>
            <w:tcW w:w="1980" w:type="dxa"/>
            <w:shd w:val="clear" w:color="auto" w:fill="F2F2F2" w:themeFill="background1" w:themeFillShade="F2"/>
          </w:tcPr>
          <w:p w14:paraId="223EBCC1" w14:textId="77777777" w:rsidR="00DB54E1" w:rsidRPr="008E4185" w:rsidRDefault="00DB54E1" w:rsidP="00A92901">
            <w:pPr>
              <w:pStyle w:val="NoSpacing"/>
              <w:jc w:val="center"/>
              <w:rPr>
                <w:rFonts w:ascii="Arial" w:hAnsi="Arial" w:cs="Arial"/>
                <w:color w:val="000000" w:themeColor="text1"/>
                <w:sz w:val="18"/>
                <w:szCs w:val="18"/>
              </w:rPr>
            </w:pPr>
            <w:r w:rsidRPr="008E4185">
              <w:rPr>
                <w:rFonts w:ascii="Arial" w:hAnsi="Arial" w:cs="Arial"/>
                <w:color w:val="000000" w:themeColor="text1"/>
                <w:sz w:val="18"/>
                <w:szCs w:val="18"/>
              </w:rPr>
              <w:t>2.0</w:t>
            </w:r>
          </w:p>
        </w:tc>
      </w:tr>
    </w:tbl>
    <w:tbl>
      <w:tblPr>
        <w:tblStyle w:val="TableGrid"/>
        <w:tblpPr w:leftFromText="180" w:rightFromText="180" w:vertAnchor="text" w:horzAnchor="page" w:tblpX="1843" w:tblpY="222"/>
        <w:tblW w:w="396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1980"/>
      </w:tblGrid>
      <w:tr w:rsidR="00DB54E1" w:rsidRPr="008E4185" w14:paraId="1C5A9B61" w14:textId="77777777" w:rsidTr="00A92901">
        <w:trPr>
          <w:trHeight w:val="170"/>
        </w:trPr>
        <w:tc>
          <w:tcPr>
            <w:tcW w:w="1980" w:type="dxa"/>
            <w:shd w:val="clear" w:color="auto" w:fill="235043"/>
          </w:tcPr>
          <w:p w14:paraId="2173744D" w14:textId="77777777" w:rsidR="00DB54E1" w:rsidRPr="008E4185" w:rsidRDefault="00DB54E1" w:rsidP="00A92901">
            <w:pPr>
              <w:pStyle w:val="NoSpacing"/>
              <w:jc w:val="center"/>
              <w:rPr>
                <w:rFonts w:ascii="Arial" w:hAnsi="Arial" w:cs="Arial"/>
                <w:b/>
                <w:color w:val="FFFFFF" w:themeColor="background1"/>
                <w:sz w:val="18"/>
                <w:szCs w:val="18"/>
              </w:rPr>
            </w:pPr>
            <w:r w:rsidRPr="008E4185">
              <w:rPr>
                <w:rFonts w:ascii="Arial" w:hAnsi="Arial" w:cs="Arial"/>
                <w:b/>
                <w:color w:val="FFFFFF" w:themeColor="background1"/>
                <w:sz w:val="18"/>
                <w:szCs w:val="18"/>
              </w:rPr>
              <w:t>Quota attainment</w:t>
            </w:r>
          </w:p>
        </w:tc>
        <w:tc>
          <w:tcPr>
            <w:tcW w:w="1980" w:type="dxa"/>
            <w:shd w:val="clear" w:color="auto" w:fill="235043"/>
          </w:tcPr>
          <w:p w14:paraId="65417CB8" w14:textId="77777777" w:rsidR="00DB54E1" w:rsidRPr="008E4185" w:rsidRDefault="00DB54E1" w:rsidP="00A92901">
            <w:pPr>
              <w:pStyle w:val="NoSpacing"/>
              <w:jc w:val="center"/>
              <w:rPr>
                <w:rFonts w:ascii="Arial" w:hAnsi="Arial" w:cs="Arial"/>
                <w:b/>
                <w:color w:val="FFFFFF" w:themeColor="background1"/>
                <w:sz w:val="18"/>
                <w:szCs w:val="18"/>
              </w:rPr>
            </w:pPr>
            <w:r w:rsidRPr="008E4185">
              <w:rPr>
                <w:rFonts w:ascii="Arial" w:hAnsi="Arial" w:cs="Arial"/>
                <w:b/>
                <w:color w:val="FFFFFF" w:themeColor="background1"/>
                <w:sz w:val="18"/>
                <w:szCs w:val="18"/>
              </w:rPr>
              <w:t>Multiplier</w:t>
            </w:r>
          </w:p>
        </w:tc>
      </w:tr>
      <w:tr w:rsidR="00DB54E1" w:rsidRPr="008E4185" w14:paraId="357C5CE6" w14:textId="77777777" w:rsidTr="00A92901">
        <w:trPr>
          <w:trHeight w:val="125"/>
        </w:trPr>
        <w:tc>
          <w:tcPr>
            <w:tcW w:w="1980" w:type="dxa"/>
            <w:shd w:val="clear" w:color="auto" w:fill="F2F2F2" w:themeFill="background1" w:themeFillShade="F2"/>
          </w:tcPr>
          <w:p w14:paraId="5B07875E" w14:textId="77777777" w:rsidR="00DB54E1" w:rsidRPr="008E4185" w:rsidRDefault="00DB54E1" w:rsidP="00A92901">
            <w:pPr>
              <w:pStyle w:val="NoSpacing"/>
              <w:jc w:val="center"/>
              <w:rPr>
                <w:rFonts w:ascii="Arial" w:hAnsi="Arial" w:cs="Arial"/>
                <w:color w:val="000000" w:themeColor="text1"/>
                <w:sz w:val="18"/>
                <w:szCs w:val="18"/>
              </w:rPr>
            </w:pPr>
            <w:r w:rsidRPr="008E4185">
              <w:rPr>
                <w:rFonts w:ascii="Arial" w:hAnsi="Arial" w:cs="Arial"/>
                <w:color w:val="000000" w:themeColor="text1"/>
                <w:sz w:val="18"/>
                <w:szCs w:val="18"/>
              </w:rPr>
              <w:t>0% - &lt;</w:t>
            </w:r>
            <w:r>
              <w:rPr>
                <w:rFonts w:ascii="Arial" w:hAnsi="Arial" w:cs="Arial"/>
                <w:color w:val="000000" w:themeColor="text1"/>
                <w:sz w:val="18"/>
                <w:szCs w:val="18"/>
              </w:rPr>
              <w:t>10</w:t>
            </w:r>
            <w:r w:rsidRPr="008E4185">
              <w:rPr>
                <w:rFonts w:ascii="Arial" w:hAnsi="Arial" w:cs="Arial"/>
                <w:color w:val="000000" w:themeColor="text1"/>
                <w:sz w:val="18"/>
                <w:szCs w:val="18"/>
              </w:rPr>
              <w:t>0%</w:t>
            </w:r>
          </w:p>
        </w:tc>
        <w:tc>
          <w:tcPr>
            <w:tcW w:w="1980" w:type="dxa"/>
            <w:shd w:val="clear" w:color="auto" w:fill="F2F2F2" w:themeFill="background1" w:themeFillShade="F2"/>
          </w:tcPr>
          <w:p w14:paraId="4AE104A7" w14:textId="77777777" w:rsidR="00DB54E1" w:rsidRPr="008E4185" w:rsidRDefault="00DB54E1" w:rsidP="00A92901">
            <w:pPr>
              <w:pStyle w:val="NoSpacing"/>
              <w:jc w:val="center"/>
              <w:rPr>
                <w:rFonts w:ascii="Arial" w:hAnsi="Arial" w:cs="Arial"/>
                <w:color w:val="000000" w:themeColor="text1"/>
                <w:sz w:val="18"/>
                <w:szCs w:val="18"/>
              </w:rPr>
            </w:pPr>
            <w:r>
              <w:rPr>
                <w:rFonts w:ascii="Arial" w:hAnsi="Arial" w:cs="Arial"/>
                <w:color w:val="000000" w:themeColor="text1"/>
                <w:sz w:val="18"/>
                <w:szCs w:val="18"/>
              </w:rPr>
              <w:t>1.0</w:t>
            </w:r>
          </w:p>
        </w:tc>
      </w:tr>
      <w:tr w:rsidR="00DB54E1" w:rsidRPr="008E4185" w14:paraId="342988ED" w14:textId="77777777" w:rsidTr="00A92901">
        <w:trPr>
          <w:trHeight w:val="125"/>
        </w:trPr>
        <w:tc>
          <w:tcPr>
            <w:tcW w:w="1980" w:type="dxa"/>
            <w:shd w:val="clear" w:color="auto" w:fill="F2F2F2" w:themeFill="background1" w:themeFillShade="F2"/>
          </w:tcPr>
          <w:p w14:paraId="7F04C269" w14:textId="77777777" w:rsidR="00DB54E1" w:rsidRPr="008E4185" w:rsidRDefault="00DB54E1" w:rsidP="00A92901">
            <w:pPr>
              <w:pStyle w:val="NoSpacing"/>
              <w:jc w:val="center"/>
              <w:rPr>
                <w:rFonts w:ascii="Arial" w:hAnsi="Arial" w:cs="Arial"/>
                <w:color w:val="000000" w:themeColor="text1"/>
                <w:sz w:val="18"/>
                <w:szCs w:val="18"/>
              </w:rPr>
            </w:pPr>
            <w:r w:rsidRPr="008E4185">
              <w:rPr>
                <w:rFonts w:ascii="Arial" w:hAnsi="Arial" w:cs="Arial"/>
                <w:color w:val="000000" w:themeColor="text1"/>
                <w:sz w:val="18"/>
                <w:szCs w:val="18"/>
              </w:rPr>
              <w:t>100% - &lt;140%</w:t>
            </w:r>
          </w:p>
        </w:tc>
        <w:tc>
          <w:tcPr>
            <w:tcW w:w="1980" w:type="dxa"/>
            <w:shd w:val="clear" w:color="auto" w:fill="F2F2F2" w:themeFill="background1" w:themeFillShade="F2"/>
          </w:tcPr>
          <w:p w14:paraId="74A334B2" w14:textId="77777777" w:rsidR="00DB54E1" w:rsidRPr="008E4185" w:rsidRDefault="00DB54E1" w:rsidP="00A92901">
            <w:pPr>
              <w:pStyle w:val="NoSpacing"/>
              <w:jc w:val="center"/>
              <w:rPr>
                <w:rFonts w:ascii="Arial" w:hAnsi="Arial" w:cs="Arial"/>
                <w:color w:val="000000" w:themeColor="text1"/>
                <w:sz w:val="18"/>
                <w:szCs w:val="18"/>
              </w:rPr>
            </w:pPr>
            <w:r w:rsidRPr="008E4185">
              <w:rPr>
                <w:rFonts w:ascii="Arial" w:hAnsi="Arial" w:cs="Arial"/>
                <w:color w:val="000000" w:themeColor="text1"/>
                <w:sz w:val="18"/>
                <w:szCs w:val="18"/>
              </w:rPr>
              <w:t>1.5</w:t>
            </w:r>
          </w:p>
        </w:tc>
      </w:tr>
      <w:tr w:rsidR="00DB54E1" w:rsidRPr="008E4185" w14:paraId="33D1B456" w14:textId="77777777" w:rsidTr="00A92901">
        <w:trPr>
          <w:trHeight w:val="125"/>
        </w:trPr>
        <w:tc>
          <w:tcPr>
            <w:tcW w:w="1980" w:type="dxa"/>
            <w:shd w:val="clear" w:color="auto" w:fill="F2F2F2" w:themeFill="background1" w:themeFillShade="F2"/>
          </w:tcPr>
          <w:p w14:paraId="3876B41B" w14:textId="77777777" w:rsidR="00DB54E1" w:rsidRPr="008E4185" w:rsidRDefault="00DB54E1" w:rsidP="00A92901">
            <w:pPr>
              <w:pStyle w:val="NoSpacing"/>
              <w:jc w:val="center"/>
              <w:rPr>
                <w:rFonts w:ascii="Arial" w:hAnsi="Arial" w:cs="Arial"/>
                <w:color w:val="000000" w:themeColor="text1"/>
                <w:sz w:val="18"/>
                <w:szCs w:val="18"/>
              </w:rPr>
            </w:pPr>
            <w:r w:rsidRPr="008E4185">
              <w:rPr>
                <w:rFonts w:ascii="Arial" w:hAnsi="Arial" w:cs="Arial"/>
                <w:color w:val="000000" w:themeColor="text1"/>
                <w:sz w:val="18"/>
                <w:szCs w:val="18"/>
              </w:rPr>
              <w:t>&gt;=140%</w:t>
            </w:r>
          </w:p>
        </w:tc>
        <w:tc>
          <w:tcPr>
            <w:tcW w:w="1980" w:type="dxa"/>
            <w:shd w:val="clear" w:color="auto" w:fill="F2F2F2" w:themeFill="background1" w:themeFillShade="F2"/>
          </w:tcPr>
          <w:p w14:paraId="3CE838A4" w14:textId="77777777" w:rsidR="00DB54E1" w:rsidRPr="008E4185" w:rsidRDefault="00DB54E1" w:rsidP="00A92901">
            <w:pPr>
              <w:pStyle w:val="NoSpacing"/>
              <w:jc w:val="center"/>
              <w:rPr>
                <w:rFonts w:ascii="Arial" w:hAnsi="Arial" w:cs="Arial"/>
                <w:color w:val="000000" w:themeColor="text1"/>
                <w:sz w:val="18"/>
                <w:szCs w:val="18"/>
              </w:rPr>
            </w:pPr>
            <w:r w:rsidRPr="008E4185">
              <w:rPr>
                <w:rFonts w:ascii="Arial" w:hAnsi="Arial" w:cs="Arial"/>
                <w:color w:val="000000" w:themeColor="text1"/>
                <w:sz w:val="18"/>
                <w:szCs w:val="18"/>
              </w:rPr>
              <w:t>2.0</w:t>
            </w:r>
          </w:p>
        </w:tc>
      </w:tr>
    </w:tbl>
    <w:p w14:paraId="0F000908" w14:textId="77777777" w:rsidR="00DB54E1" w:rsidRPr="008E4185" w:rsidRDefault="00DB54E1" w:rsidP="00DB54E1">
      <w:pPr>
        <w:shd w:val="clear" w:color="auto" w:fill="FFFFFF"/>
        <w:rPr>
          <w:b/>
          <w:color w:val="000000" w:themeColor="text1"/>
          <w:sz w:val="28"/>
          <w:szCs w:val="28"/>
          <w:highlight w:val="white"/>
        </w:rPr>
      </w:pPr>
    </w:p>
    <w:p w14:paraId="3B2E1920" w14:textId="77777777" w:rsidR="00BD583A" w:rsidRPr="008E4185" w:rsidRDefault="00BD583A">
      <w:pPr>
        <w:widowControl w:val="0"/>
        <w:pBdr>
          <w:top w:val="nil"/>
          <w:left w:val="nil"/>
          <w:bottom w:val="nil"/>
          <w:right w:val="nil"/>
          <w:between w:val="nil"/>
        </w:pBdr>
        <w:rPr>
          <w:color w:val="000000" w:themeColor="text1"/>
          <w:highlight w:val="white"/>
        </w:rPr>
      </w:pPr>
    </w:p>
    <w:p w14:paraId="7286B2BE" w14:textId="72D45D47" w:rsidR="00BD583A" w:rsidRPr="008E4185" w:rsidRDefault="00000000">
      <w:pPr>
        <w:shd w:val="clear" w:color="auto" w:fill="FFFFFF"/>
        <w:rPr>
          <w:color w:val="000000" w:themeColor="text1"/>
          <w:highlight w:val="white"/>
        </w:rPr>
      </w:pPr>
      <w:r w:rsidRPr="008E4185">
        <w:rPr>
          <w:color w:val="000000" w:themeColor="text1"/>
          <w:highlight w:val="white"/>
        </w:rPr>
        <w:t xml:space="preserve">In </w:t>
      </w:r>
      <w:r w:rsidR="005C2C5F">
        <w:rPr>
          <w:color w:val="000000" w:themeColor="text1"/>
          <w:highlight w:val="white"/>
        </w:rPr>
        <w:t>Table 1</w:t>
      </w:r>
      <w:r w:rsidRPr="008E4185">
        <w:rPr>
          <w:color w:val="000000" w:themeColor="text1"/>
          <w:highlight w:val="white"/>
        </w:rPr>
        <w:t>, there is no deceleration penalty–the commission payout is linear up to 100% quota attainment</w:t>
      </w:r>
      <w:r w:rsidR="00D80CF8">
        <w:rPr>
          <w:color w:val="000000" w:themeColor="text1"/>
          <w:highlight w:val="white"/>
        </w:rPr>
        <w:t xml:space="preserve">. </w:t>
      </w:r>
      <w:r w:rsidRPr="008E4185">
        <w:rPr>
          <w:color w:val="000000" w:themeColor="text1"/>
          <w:highlight w:val="white"/>
        </w:rPr>
        <w:t>Afterward, commission multipliers increase up to a maximum of 2.</w:t>
      </w:r>
      <w:r w:rsidR="001B6400">
        <w:rPr>
          <w:color w:val="000000" w:themeColor="text1"/>
          <w:highlight w:val="white"/>
        </w:rPr>
        <w:t>0</w:t>
      </w:r>
      <w:r w:rsidRPr="008E4185">
        <w:rPr>
          <w:color w:val="000000" w:themeColor="text1"/>
          <w:highlight w:val="white"/>
        </w:rPr>
        <w:t xml:space="preserve">x (for </w:t>
      </w:r>
      <w:r w:rsidR="001B6400">
        <w:rPr>
          <w:color w:val="000000" w:themeColor="text1"/>
          <w:highlight w:val="white"/>
        </w:rPr>
        <w:t xml:space="preserve">attainment </w:t>
      </w:r>
      <w:r w:rsidR="001B6400">
        <w:rPr>
          <w:color w:val="000000" w:themeColor="text1"/>
          <w:highlight w:val="white"/>
        </w:rPr>
        <w:lastRenderedPageBreak/>
        <w:t xml:space="preserve">beyond </w:t>
      </w:r>
      <w:r w:rsidRPr="008E4185">
        <w:rPr>
          <w:color w:val="000000" w:themeColor="text1"/>
          <w:highlight w:val="white"/>
        </w:rPr>
        <w:t>1</w:t>
      </w:r>
      <w:r w:rsidR="001B6400">
        <w:rPr>
          <w:color w:val="000000" w:themeColor="text1"/>
          <w:highlight w:val="white"/>
        </w:rPr>
        <w:t>4</w:t>
      </w:r>
      <w:r w:rsidRPr="008E4185">
        <w:rPr>
          <w:color w:val="000000" w:themeColor="text1"/>
          <w:highlight w:val="white"/>
        </w:rPr>
        <w:t>0</w:t>
      </w:r>
      <w:r w:rsidR="001B6400">
        <w:rPr>
          <w:color w:val="000000" w:themeColor="text1"/>
          <w:highlight w:val="white"/>
        </w:rPr>
        <w:t>%</w:t>
      </w:r>
      <w:r w:rsidRPr="008E4185">
        <w:rPr>
          <w:color w:val="000000" w:themeColor="text1"/>
          <w:highlight w:val="white"/>
        </w:rPr>
        <w:t>)</w:t>
      </w:r>
      <w:r w:rsidR="001B6400">
        <w:rPr>
          <w:color w:val="000000" w:themeColor="text1"/>
          <w:highlight w:val="white"/>
        </w:rPr>
        <w:t xml:space="preserve">. </w:t>
      </w:r>
      <w:r w:rsidR="00DB54E1">
        <w:rPr>
          <w:color w:val="000000" w:themeColor="text1"/>
          <w:highlight w:val="white"/>
        </w:rPr>
        <w:t>These</w:t>
      </w:r>
      <w:r w:rsidRPr="008E4185">
        <w:rPr>
          <w:color w:val="000000" w:themeColor="text1"/>
          <w:highlight w:val="white"/>
        </w:rPr>
        <w:t xml:space="preserve"> multipliers, much like income tax rates, are marginal</w:t>
      </w:r>
      <w:r w:rsidR="00D80CF8">
        <w:rPr>
          <w:color w:val="000000" w:themeColor="text1"/>
          <w:highlight w:val="white"/>
        </w:rPr>
        <w:t xml:space="preserve">. </w:t>
      </w:r>
      <w:r w:rsidRPr="008E4185">
        <w:rPr>
          <w:color w:val="000000" w:themeColor="text1"/>
          <w:highlight w:val="white"/>
        </w:rPr>
        <w:t xml:space="preserve">If a rep achieves a </w:t>
      </w:r>
      <w:r w:rsidR="00710075">
        <w:rPr>
          <w:color w:val="000000" w:themeColor="text1"/>
          <w:highlight w:val="white"/>
        </w:rPr>
        <w:t>20</w:t>
      </w:r>
      <w:r w:rsidRPr="008E4185">
        <w:rPr>
          <w:color w:val="000000" w:themeColor="text1"/>
          <w:highlight w:val="white"/>
        </w:rPr>
        <w:t xml:space="preserve">0% attainment of a $100 quota in a given quota period, </w:t>
      </w:r>
      <w:r w:rsidR="00630BB3">
        <w:rPr>
          <w:color w:val="000000" w:themeColor="text1"/>
          <w:highlight w:val="white"/>
        </w:rPr>
        <w:t xml:space="preserve">using Table 1, </w:t>
      </w:r>
      <w:r w:rsidRPr="008E4185">
        <w:rPr>
          <w:color w:val="000000" w:themeColor="text1"/>
          <w:highlight w:val="white"/>
        </w:rPr>
        <w:t xml:space="preserve">they </w:t>
      </w:r>
      <w:proofErr w:type="gramStart"/>
      <w:r w:rsidRPr="008E4185">
        <w:rPr>
          <w:color w:val="000000" w:themeColor="text1"/>
          <w:highlight w:val="white"/>
        </w:rPr>
        <w:t>would</w:t>
      </w:r>
      <w:proofErr w:type="gramEnd"/>
      <w:r w:rsidRPr="008E4185">
        <w:rPr>
          <w:color w:val="000000" w:themeColor="text1"/>
          <w:highlight w:val="white"/>
        </w:rPr>
        <w:t xml:space="preserve"> earn the standard </w:t>
      </w:r>
      <w:r w:rsidR="00630BB3">
        <w:rPr>
          <w:color w:val="000000" w:themeColor="text1"/>
          <w:highlight w:val="white"/>
        </w:rPr>
        <w:t>commission</w:t>
      </w:r>
      <w:r w:rsidR="00D1252A">
        <w:rPr>
          <w:color w:val="000000" w:themeColor="text1"/>
          <w:highlight w:val="white"/>
        </w:rPr>
        <w:t xml:space="preserve"> </w:t>
      </w:r>
      <w:r w:rsidRPr="008E4185">
        <w:rPr>
          <w:color w:val="000000" w:themeColor="text1"/>
          <w:highlight w:val="white"/>
        </w:rPr>
        <w:t xml:space="preserve">on the first $100 of sales, </w:t>
      </w:r>
      <w:r w:rsidR="00630BB3">
        <w:rPr>
          <w:color w:val="000000" w:themeColor="text1"/>
          <w:highlight w:val="white"/>
        </w:rPr>
        <w:t>1.5</w:t>
      </w:r>
      <w:r w:rsidRPr="008E4185">
        <w:rPr>
          <w:color w:val="000000" w:themeColor="text1"/>
          <w:highlight w:val="white"/>
        </w:rPr>
        <w:t>x the standard commission on the next $</w:t>
      </w:r>
      <w:r w:rsidR="00630BB3">
        <w:rPr>
          <w:color w:val="000000" w:themeColor="text1"/>
          <w:highlight w:val="white"/>
        </w:rPr>
        <w:t>4</w:t>
      </w:r>
      <w:r w:rsidRPr="008E4185">
        <w:rPr>
          <w:color w:val="000000" w:themeColor="text1"/>
          <w:highlight w:val="white"/>
        </w:rPr>
        <w:t xml:space="preserve">0 of sales, </w:t>
      </w:r>
      <w:r w:rsidR="00630BB3">
        <w:rPr>
          <w:color w:val="000000" w:themeColor="text1"/>
          <w:highlight w:val="white"/>
        </w:rPr>
        <w:t xml:space="preserve">and </w:t>
      </w:r>
      <w:r w:rsidRPr="008E4185">
        <w:rPr>
          <w:color w:val="000000" w:themeColor="text1"/>
          <w:highlight w:val="white"/>
        </w:rPr>
        <w:t>2x the standard commission on the next $</w:t>
      </w:r>
      <w:r w:rsidR="00630BB3">
        <w:rPr>
          <w:color w:val="000000" w:themeColor="text1"/>
          <w:highlight w:val="white"/>
        </w:rPr>
        <w:t>6</w:t>
      </w:r>
      <w:r w:rsidRPr="008E4185">
        <w:rPr>
          <w:color w:val="000000" w:themeColor="text1"/>
          <w:highlight w:val="white"/>
        </w:rPr>
        <w:t>0 dollars of sales</w:t>
      </w:r>
      <w:r w:rsidR="0028109F">
        <w:rPr>
          <w:color w:val="000000" w:themeColor="text1"/>
          <w:highlight w:val="white"/>
        </w:rPr>
        <w:t>.</w:t>
      </w:r>
    </w:p>
    <w:p w14:paraId="34842639" w14:textId="77777777" w:rsidR="00BD583A" w:rsidRPr="008E4185" w:rsidRDefault="00BD583A">
      <w:pPr>
        <w:shd w:val="clear" w:color="auto" w:fill="FFFFFF"/>
        <w:rPr>
          <w:color w:val="000000" w:themeColor="text1"/>
          <w:highlight w:val="white"/>
        </w:rPr>
      </w:pPr>
    </w:p>
    <w:p w14:paraId="79C6FD9D" w14:textId="77777777" w:rsidR="00487EAA" w:rsidRDefault="004377FC" w:rsidP="00DB54E1">
      <w:pPr>
        <w:shd w:val="clear" w:color="auto" w:fill="FFFFFF"/>
        <w:rPr>
          <w:color w:val="000000" w:themeColor="text1"/>
          <w:highlight w:val="white"/>
        </w:rPr>
      </w:pPr>
      <w:r>
        <w:rPr>
          <w:color w:val="000000" w:themeColor="text1"/>
          <w:highlight w:val="white"/>
        </w:rPr>
        <w:t>Table 2</w:t>
      </w:r>
      <w:r w:rsidR="00000000" w:rsidRPr="008E4185">
        <w:rPr>
          <w:color w:val="000000" w:themeColor="text1"/>
          <w:highlight w:val="white"/>
        </w:rPr>
        <w:t xml:space="preserve"> is </w:t>
      </w:r>
      <w:proofErr w:type="gramStart"/>
      <w:r w:rsidR="00000000" w:rsidRPr="008E4185">
        <w:rPr>
          <w:color w:val="000000" w:themeColor="text1"/>
          <w:highlight w:val="white"/>
        </w:rPr>
        <w:t>similar to</w:t>
      </w:r>
      <w:proofErr w:type="gramEnd"/>
      <w:r w:rsidR="00000000" w:rsidRPr="008E4185">
        <w:rPr>
          <w:color w:val="000000" w:themeColor="text1"/>
          <w:highlight w:val="white"/>
        </w:rPr>
        <w:t xml:space="preserve"> the top table except that it includes deceleration–that is, the commission payout is </w:t>
      </w:r>
      <w:r w:rsidR="00000000" w:rsidRPr="008E4185">
        <w:rPr>
          <w:i/>
          <w:color w:val="000000" w:themeColor="text1"/>
          <w:highlight w:val="white"/>
        </w:rPr>
        <w:t xml:space="preserve">not </w:t>
      </w:r>
      <w:r w:rsidR="00000000" w:rsidRPr="008E4185">
        <w:rPr>
          <w:color w:val="000000" w:themeColor="text1"/>
          <w:highlight w:val="white"/>
        </w:rPr>
        <w:t>linear up to 100% attainment, which essentially punishes meaningful underperformance</w:t>
      </w:r>
      <w:r w:rsidR="00D80CF8">
        <w:rPr>
          <w:color w:val="000000" w:themeColor="text1"/>
          <w:highlight w:val="white"/>
        </w:rPr>
        <w:t>.</w:t>
      </w:r>
      <w:bookmarkStart w:id="6" w:name="_Toc179977924"/>
      <w:r w:rsidR="00487EAA">
        <w:rPr>
          <w:color w:val="000000" w:themeColor="text1"/>
          <w:highlight w:val="white"/>
        </w:rPr>
        <w:t xml:space="preserve">  </w:t>
      </w:r>
    </w:p>
    <w:p w14:paraId="2CE3607A" w14:textId="77777777" w:rsidR="00487EAA" w:rsidRDefault="00487EAA" w:rsidP="00DB54E1">
      <w:pPr>
        <w:shd w:val="clear" w:color="auto" w:fill="FFFFFF"/>
        <w:rPr>
          <w:color w:val="000000" w:themeColor="text1"/>
          <w:highlight w:val="white"/>
        </w:rPr>
      </w:pPr>
    </w:p>
    <w:p w14:paraId="11888710" w14:textId="4F5491DD" w:rsidR="00DB54E1" w:rsidRPr="00DB54E1" w:rsidRDefault="00487EAA" w:rsidP="00DB54E1">
      <w:pPr>
        <w:shd w:val="clear" w:color="auto" w:fill="FFFFFF"/>
        <w:rPr>
          <w:color w:val="000000" w:themeColor="text1"/>
          <w:highlight w:val="white"/>
        </w:rPr>
      </w:pPr>
      <w:r w:rsidRPr="008E4185">
        <w:rPr>
          <w:color w:val="000000" w:themeColor="text1"/>
          <w:highlight w:val="white"/>
        </w:rPr>
        <w:t>Please note that</w:t>
      </w:r>
      <w:r>
        <w:rPr>
          <w:color w:val="000000" w:themeColor="text1"/>
          <w:highlight w:val="white"/>
        </w:rPr>
        <w:t xml:space="preserve"> some companies</w:t>
      </w:r>
      <w:r w:rsidRPr="008E4185">
        <w:rPr>
          <w:color w:val="000000" w:themeColor="text1"/>
        </w:rPr>
        <w:t xml:space="preserve"> </w:t>
      </w:r>
      <w:r w:rsidR="00D85D15">
        <w:rPr>
          <w:color w:val="000000" w:themeColor="text1"/>
        </w:rPr>
        <w:t>design</w:t>
      </w:r>
      <w:r w:rsidR="00DD17A0">
        <w:rPr>
          <w:color w:val="000000" w:themeColor="text1"/>
        </w:rPr>
        <w:t xml:space="preserve"> </w:t>
      </w:r>
      <w:r>
        <w:rPr>
          <w:color w:val="000000" w:themeColor="text1"/>
        </w:rPr>
        <w:t>multipliers</w:t>
      </w:r>
      <w:r w:rsidR="00D1628A">
        <w:rPr>
          <w:color w:val="000000" w:themeColor="text1"/>
        </w:rPr>
        <w:t xml:space="preserve"> that</w:t>
      </w:r>
      <w:r>
        <w:rPr>
          <w:color w:val="000000" w:themeColor="text1"/>
        </w:rPr>
        <w:t xml:space="preserve"> </w:t>
      </w:r>
      <w:r w:rsidR="00DD17A0">
        <w:rPr>
          <w:color w:val="000000" w:themeColor="text1"/>
        </w:rPr>
        <w:t xml:space="preserve">trend </w:t>
      </w:r>
      <w:r w:rsidRPr="008E4185">
        <w:rPr>
          <w:color w:val="000000" w:themeColor="text1"/>
        </w:rPr>
        <w:t>back down</w:t>
      </w:r>
      <w:r w:rsidR="000256DF">
        <w:rPr>
          <w:color w:val="000000" w:themeColor="text1"/>
        </w:rPr>
        <w:t xml:space="preserve"> towards 1x for</w:t>
      </w:r>
      <w:r w:rsidRPr="008E4185">
        <w:rPr>
          <w:color w:val="000000" w:themeColor="text1"/>
        </w:rPr>
        <w:t xml:space="preserve"> </w:t>
      </w:r>
      <w:r w:rsidRPr="002A2479">
        <w:rPr>
          <w:i/>
          <w:iCs/>
          <w:color w:val="000000" w:themeColor="text1"/>
        </w:rPr>
        <w:t>extremely</w:t>
      </w:r>
      <w:r w:rsidRPr="008E4185">
        <w:rPr>
          <w:color w:val="000000" w:themeColor="text1"/>
        </w:rPr>
        <w:t xml:space="preserve"> </w:t>
      </w:r>
      <w:r w:rsidRPr="002A2479">
        <w:rPr>
          <w:i/>
          <w:iCs/>
          <w:color w:val="000000" w:themeColor="text1"/>
        </w:rPr>
        <w:t>high</w:t>
      </w:r>
      <w:r w:rsidRPr="008E4185">
        <w:rPr>
          <w:color w:val="000000" w:themeColor="text1"/>
        </w:rPr>
        <w:t xml:space="preserve"> levels of performance</w:t>
      </w:r>
      <w:r>
        <w:rPr>
          <w:color w:val="000000" w:themeColor="text1"/>
        </w:rPr>
        <w:t xml:space="preserve"> (e.g., &gt;</w:t>
      </w:r>
      <w:r w:rsidR="00B51D3A">
        <w:rPr>
          <w:color w:val="000000" w:themeColor="text1"/>
        </w:rPr>
        <w:t>3</w:t>
      </w:r>
      <w:r>
        <w:rPr>
          <w:color w:val="000000" w:themeColor="text1"/>
        </w:rPr>
        <w:t>00% performance</w:t>
      </w:r>
      <w:r w:rsidR="00D864D3">
        <w:rPr>
          <w:color w:val="000000" w:themeColor="text1"/>
        </w:rPr>
        <w:t>); this is</w:t>
      </w:r>
      <w:r>
        <w:rPr>
          <w:color w:val="000000" w:themeColor="text1"/>
        </w:rPr>
        <w:t xml:space="preserve"> to avoid overcompensating</w:t>
      </w:r>
      <w:r w:rsidR="00102C0D">
        <w:rPr>
          <w:color w:val="000000" w:themeColor="text1"/>
        </w:rPr>
        <w:t xml:space="preserve"> </w:t>
      </w:r>
      <w:r w:rsidR="00970602">
        <w:rPr>
          <w:color w:val="000000" w:themeColor="text1"/>
        </w:rPr>
        <w:t>reps</w:t>
      </w:r>
      <w:r w:rsidR="00656724">
        <w:rPr>
          <w:color w:val="000000" w:themeColor="text1"/>
        </w:rPr>
        <w:t xml:space="preserve"> who have already earned</w:t>
      </w:r>
      <w:r w:rsidR="004B0A2F">
        <w:rPr>
          <w:color w:val="000000" w:themeColor="text1"/>
        </w:rPr>
        <w:t xml:space="preserve"> a</w:t>
      </w:r>
      <w:r w:rsidR="00656724">
        <w:rPr>
          <w:color w:val="000000" w:themeColor="text1"/>
        </w:rPr>
        <w:t xml:space="preserve"> </w:t>
      </w:r>
      <w:r w:rsidR="00D864D3">
        <w:rPr>
          <w:color w:val="000000" w:themeColor="text1"/>
        </w:rPr>
        <w:t>very healthy commission for a uniquely successful period</w:t>
      </w:r>
      <w:r w:rsidRPr="008E4185">
        <w:rPr>
          <w:color w:val="000000" w:themeColor="text1"/>
        </w:rPr>
        <w:t>.</w:t>
      </w:r>
      <w:r w:rsidR="00D864D3">
        <w:rPr>
          <w:color w:val="000000" w:themeColor="text1"/>
        </w:rPr>
        <w:t xml:space="preserve"> </w:t>
      </w:r>
      <w:r w:rsidRPr="008E4185">
        <w:rPr>
          <w:color w:val="000000" w:themeColor="text1"/>
        </w:rPr>
        <w:t xml:space="preserve"> </w:t>
      </w:r>
      <w:r>
        <w:rPr>
          <w:color w:val="000000" w:themeColor="text1"/>
        </w:rPr>
        <w:t xml:space="preserve">However, </w:t>
      </w:r>
      <w:r w:rsidR="002D7E09">
        <w:rPr>
          <w:color w:val="000000" w:themeColor="text1"/>
        </w:rPr>
        <w:t xml:space="preserve">since </w:t>
      </w:r>
      <w:r w:rsidRPr="008E4185">
        <w:rPr>
          <w:color w:val="000000" w:themeColor="text1"/>
        </w:rPr>
        <w:t xml:space="preserve">you always want to incentivize </w:t>
      </w:r>
      <w:r w:rsidR="004B0A2F">
        <w:rPr>
          <w:color w:val="000000" w:themeColor="text1"/>
        </w:rPr>
        <w:t xml:space="preserve">your </w:t>
      </w:r>
      <w:r w:rsidRPr="008E4185">
        <w:rPr>
          <w:color w:val="000000" w:themeColor="text1"/>
        </w:rPr>
        <w:t xml:space="preserve">reps to close deals </w:t>
      </w:r>
      <w:r w:rsidRPr="00EB690B">
        <w:rPr>
          <w:i/>
          <w:iCs/>
          <w:color w:val="000000" w:themeColor="text1"/>
        </w:rPr>
        <w:t>today</w:t>
      </w:r>
      <w:r w:rsidRPr="008E4185">
        <w:rPr>
          <w:color w:val="000000" w:themeColor="text1"/>
        </w:rPr>
        <w:t xml:space="preserve"> versus the next quarter / year, </w:t>
      </w:r>
      <w:r w:rsidR="00E253A7">
        <w:rPr>
          <w:color w:val="000000" w:themeColor="text1"/>
        </w:rPr>
        <w:t xml:space="preserve">we do not advise </w:t>
      </w:r>
      <w:r w:rsidR="002D7E09">
        <w:rPr>
          <w:color w:val="000000" w:themeColor="text1"/>
        </w:rPr>
        <w:t>dro</w:t>
      </w:r>
      <w:r w:rsidR="00E253A7">
        <w:rPr>
          <w:color w:val="000000" w:themeColor="text1"/>
        </w:rPr>
        <w:t>p</w:t>
      </w:r>
      <w:r w:rsidR="002D7E09">
        <w:rPr>
          <w:color w:val="000000" w:themeColor="text1"/>
        </w:rPr>
        <w:t>p</w:t>
      </w:r>
      <w:r w:rsidR="00E253A7">
        <w:rPr>
          <w:color w:val="000000" w:themeColor="text1"/>
        </w:rPr>
        <w:t>ing</w:t>
      </w:r>
      <w:r w:rsidR="002D7E09">
        <w:rPr>
          <w:color w:val="000000" w:themeColor="text1"/>
        </w:rPr>
        <w:t xml:space="preserve"> these</w:t>
      </w:r>
      <w:r w:rsidR="004B03E0">
        <w:rPr>
          <w:color w:val="000000" w:themeColor="text1"/>
        </w:rPr>
        <w:t xml:space="preserve"> </w:t>
      </w:r>
      <w:r w:rsidR="00F65597">
        <w:rPr>
          <w:color w:val="000000" w:themeColor="text1"/>
        </w:rPr>
        <w:t>extremely-</w:t>
      </w:r>
      <w:r w:rsidR="004B03E0">
        <w:rPr>
          <w:color w:val="000000" w:themeColor="text1"/>
        </w:rPr>
        <w:t>high-performance</w:t>
      </w:r>
      <w:r w:rsidR="002D7E09">
        <w:rPr>
          <w:color w:val="000000" w:themeColor="text1"/>
        </w:rPr>
        <w:t xml:space="preserve"> multipliers all the way back down to 1x</w:t>
      </w:r>
      <w:r w:rsidR="002D7E09">
        <w:rPr>
          <w:color w:val="000000" w:themeColor="text1"/>
        </w:rPr>
        <w:t>.</w:t>
      </w:r>
    </w:p>
    <w:p w14:paraId="0C2DBC3F" w14:textId="2542DF98" w:rsidR="00BD583A" w:rsidRPr="008E4185" w:rsidRDefault="00000000" w:rsidP="00A87ACB">
      <w:pPr>
        <w:pStyle w:val="Heading3"/>
        <w:rPr>
          <w:b/>
          <w:bCs/>
          <w:color w:val="000000" w:themeColor="text1"/>
          <w:highlight w:val="white"/>
        </w:rPr>
      </w:pPr>
      <w:r w:rsidRPr="008E4185">
        <w:rPr>
          <w:b/>
          <w:bCs/>
          <w:color w:val="000000" w:themeColor="text1"/>
          <w:highlight w:val="white"/>
        </w:rPr>
        <w:t>Why it’s important to get accelerators right</w:t>
      </w:r>
      <w:bookmarkEnd w:id="6"/>
    </w:p>
    <w:p w14:paraId="519B70BD" w14:textId="77777777" w:rsidR="00BD583A" w:rsidRPr="008E4185" w:rsidRDefault="00000000" w:rsidP="00B464C3">
      <w:pPr>
        <w:shd w:val="clear" w:color="auto" w:fill="FFFFFF"/>
        <w:rPr>
          <w:color w:val="000000" w:themeColor="text1"/>
        </w:rPr>
      </w:pPr>
      <w:r w:rsidRPr="008E4185">
        <w:rPr>
          <w:color w:val="000000" w:themeColor="text1"/>
        </w:rPr>
        <w:t>Accelerators are the fundamental scale that determines your company’s total cost of commissions. The way you structure your accelerator should reflect the types of sales reps you want to reward and the culture you want to drive.</w:t>
      </w:r>
    </w:p>
    <w:p w14:paraId="5340D0CF" w14:textId="77777777" w:rsidR="00BD583A" w:rsidRPr="008E4185" w:rsidRDefault="00BD583A" w:rsidP="00B464C3">
      <w:pPr>
        <w:shd w:val="clear" w:color="auto" w:fill="FFFFFF"/>
        <w:rPr>
          <w:color w:val="000000" w:themeColor="text1"/>
        </w:rPr>
      </w:pPr>
    </w:p>
    <w:p w14:paraId="78978058" w14:textId="49E21E9B" w:rsidR="00BD583A" w:rsidRPr="008E4185" w:rsidRDefault="00000000" w:rsidP="00B464C3">
      <w:pPr>
        <w:shd w:val="clear" w:color="auto" w:fill="FFFFFF"/>
        <w:rPr>
          <w:color w:val="000000" w:themeColor="text1"/>
        </w:rPr>
      </w:pPr>
      <w:r w:rsidRPr="008E4185">
        <w:rPr>
          <w:color w:val="000000" w:themeColor="text1"/>
        </w:rPr>
        <w:t>For example, do you want to primarily reward a few of your biggest hitters (e.g., those with &gt;</w:t>
      </w:r>
      <w:r w:rsidR="00025D69">
        <w:rPr>
          <w:color w:val="000000" w:themeColor="text1"/>
        </w:rPr>
        <w:t>14</w:t>
      </w:r>
      <w:r w:rsidRPr="008E4185">
        <w:rPr>
          <w:color w:val="000000" w:themeColor="text1"/>
        </w:rPr>
        <w:t>0% attainment), or do you want to focus your incentives on a wider group of generally successful reps (e.g., those with 1</w:t>
      </w:r>
      <w:r w:rsidR="00025D69">
        <w:rPr>
          <w:color w:val="000000" w:themeColor="text1"/>
        </w:rPr>
        <w:t>0</w:t>
      </w:r>
      <w:r w:rsidRPr="008E4185">
        <w:rPr>
          <w:color w:val="000000" w:themeColor="text1"/>
        </w:rPr>
        <w:t>0-</w:t>
      </w:r>
      <w:r w:rsidR="00025D69">
        <w:rPr>
          <w:color w:val="000000" w:themeColor="text1"/>
        </w:rPr>
        <w:t>12</w:t>
      </w:r>
      <w:r w:rsidRPr="008E4185">
        <w:rPr>
          <w:color w:val="000000" w:themeColor="text1"/>
        </w:rPr>
        <w:t>0% attainment)?  How you structure your accelerators will depend on your answers to these types of questions, and on the feasibility of reps hitting or surpassing their quotas.</w:t>
      </w:r>
    </w:p>
    <w:p w14:paraId="6723A66E" w14:textId="77777777" w:rsidR="00BD583A" w:rsidRPr="008E4185" w:rsidRDefault="00BD583A" w:rsidP="00B464C3">
      <w:pPr>
        <w:shd w:val="clear" w:color="auto" w:fill="FFFFFF"/>
        <w:rPr>
          <w:b/>
          <w:color w:val="000000" w:themeColor="text1"/>
          <w:highlight w:val="white"/>
        </w:rPr>
      </w:pPr>
    </w:p>
    <w:p w14:paraId="76FF7581" w14:textId="67EEDDA2" w:rsidR="00BD583A" w:rsidRPr="008E4185" w:rsidRDefault="00000000">
      <w:pPr>
        <w:shd w:val="clear" w:color="auto" w:fill="FFFFFF"/>
        <w:rPr>
          <w:color w:val="000000" w:themeColor="text1"/>
        </w:rPr>
      </w:pPr>
      <w:r w:rsidRPr="008E4185">
        <w:rPr>
          <w:color w:val="000000" w:themeColor="text1"/>
          <w:highlight w:val="white"/>
        </w:rPr>
        <w:t>An additional point of consideration when crafting your accelerators is “leverage”, or what you want to pay your top performers (typically</w:t>
      </w:r>
      <w:r w:rsidR="00025D69">
        <w:rPr>
          <w:color w:val="000000" w:themeColor="text1"/>
          <w:highlight w:val="white"/>
        </w:rPr>
        <w:t xml:space="preserve"> your </w:t>
      </w:r>
      <w:r w:rsidRPr="008E4185">
        <w:rPr>
          <w:color w:val="000000" w:themeColor="text1"/>
          <w:highlight w:val="white"/>
        </w:rPr>
        <w:t>top</w:t>
      </w:r>
      <w:r w:rsidR="00025D69">
        <w:rPr>
          <w:color w:val="000000" w:themeColor="text1"/>
          <w:highlight w:val="white"/>
        </w:rPr>
        <w:t xml:space="preserve"> </w:t>
      </w:r>
      <w:r w:rsidRPr="008E4185">
        <w:rPr>
          <w:color w:val="000000" w:themeColor="text1"/>
          <w:highlight w:val="white"/>
        </w:rPr>
        <w:t>decile</w:t>
      </w:r>
      <w:r w:rsidR="009651BC">
        <w:rPr>
          <w:color w:val="000000" w:themeColor="text1"/>
          <w:highlight w:val="white"/>
        </w:rPr>
        <w:t xml:space="preserve"> of reps</w:t>
      </w:r>
      <w:r w:rsidRPr="008E4185">
        <w:rPr>
          <w:color w:val="000000" w:themeColor="text1"/>
          <w:highlight w:val="white"/>
        </w:rPr>
        <w:t xml:space="preserve">) as a multiple of their target incentive compensation. Leverage is usually set at around 3x, meaning that companies tend to want to compensate top performers 3 times as much as sales reps who just attain quota and nothing more. Once you have set your leverage target, you can use your accelerators to evaluate the achievement at which that target is met and determine </w:t>
      </w:r>
      <w:proofErr w:type="gramStart"/>
      <w:r w:rsidRPr="008E4185">
        <w:rPr>
          <w:color w:val="000000" w:themeColor="text1"/>
          <w:highlight w:val="white"/>
        </w:rPr>
        <w:t>whether or not</w:t>
      </w:r>
      <w:proofErr w:type="gramEnd"/>
      <w:r w:rsidRPr="008E4185">
        <w:rPr>
          <w:color w:val="000000" w:themeColor="text1"/>
          <w:highlight w:val="white"/>
        </w:rPr>
        <w:t xml:space="preserve"> it is appropriate for your definition of</w:t>
      </w:r>
      <w:r w:rsidR="0092283F">
        <w:rPr>
          <w:color w:val="000000" w:themeColor="text1"/>
          <w:highlight w:val="white"/>
        </w:rPr>
        <w:t xml:space="preserve"> a</w:t>
      </w:r>
      <w:r w:rsidRPr="008E4185">
        <w:rPr>
          <w:color w:val="000000" w:themeColor="text1"/>
          <w:highlight w:val="white"/>
        </w:rPr>
        <w:t xml:space="preserve"> “top performer.”  Using the top table above, the achievement level at which</w:t>
      </w:r>
      <w:r w:rsidR="00B464C3" w:rsidRPr="008E4185">
        <w:rPr>
          <w:color w:val="000000" w:themeColor="text1"/>
          <w:highlight w:val="white"/>
        </w:rPr>
        <w:t xml:space="preserve"> the </w:t>
      </w:r>
      <w:r w:rsidRPr="008E4185">
        <w:rPr>
          <w:color w:val="000000" w:themeColor="text1"/>
          <w:highlight w:val="white"/>
        </w:rPr>
        <w:t>leverage target is met is ~</w:t>
      </w:r>
      <w:r w:rsidR="003C3408">
        <w:rPr>
          <w:color w:val="000000" w:themeColor="text1"/>
          <w:highlight w:val="white"/>
        </w:rPr>
        <w:t>21</w:t>
      </w:r>
      <w:r w:rsidRPr="008E4185">
        <w:rPr>
          <w:color w:val="000000" w:themeColor="text1"/>
          <w:highlight w:val="white"/>
        </w:rPr>
        <w:t>0%</w:t>
      </w:r>
      <w:r w:rsidR="003C3408">
        <w:rPr>
          <w:color w:val="000000" w:themeColor="text1"/>
          <w:highlight w:val="white"/>
        </w:rPr>
        <w:t xml:space="preserve"> performance</w:t>
      </w:r>
      <w:r w:rsidRPr="008E4185">
        <w:rPr>
          <w:color w:val="000000" w:themeColor="text1"/>
          <w:highlight w:val="white"/>
        </w:rPr>
        <w:t xml:space="preserve"> (because (100% * 1) + (</w:t>
      </w:r>
      <w:r w:rsidR="003500F8">
        <w:rPr>
          <w:color w:val="000000" w:themeColor="text1"/>
          <w:highlight w:val="white"/>
        </w:rPr>
        <w:t>4</w:t>
      </w:r>
      <w:r w:rsidRPr="008E4185">
        <w:rPr>
          <w:color w:val="000000" w:themeColor="text1"/>
          <w:highlight w:val="white"/>
        </w:rPr>
        <w:t xml:space="preserve">0% * </w:t>
      </w:r>
      <w:r w:rsidR="003500F8">
        <w:rPr>
          <w:color w:val="000000" w:themeColor="text1"/>
          <w:highlight w:val="white"/>
        </w:rPr>
        <w:t>1.5</w:t>
      </w:r>
      <w:r w:rsidRPr="008E4185">
        <w:rPr>
          <w:color w:val="000000" w:themeColor="text1"/>
          <w:highlight w:val="white"/>
        </w:rPr>
        <w:t>) + (</w:t>
      </w:r>
      <w:r w:rsidR="003500F8">
        <w:rPr>
          <w:color w:val="000000" w:themeColor="text1"/>
          <w:highlight w:val="white"/>
        </w:rPr>
        <w:t>7</w:t>
      </w:r>
      <w:r w:rsidRPr="008E4185">
        <w:rPr>
          <w:color w:val="000000" w:themeColor="text1"/>
          <w:highlight w:val="white"/>
        </w:rPr>
        <w:t>0% * 2)</w:t>
      </w:r>
      <w:r w:rsidR="003500F8">
        <w:rPr>
          <w:color w:val="000000" w:themeColor="text1"/>
          <w:highlight w:val="white"/>
        </w:rPr>
        <w:t xml:space="preserve"> = </w:t>
      </w:r>
      <w:r w:rsidRPr="008E4185">
        <w:rPr>
          <w:color w:val="000000" w:themeColor="text1"/>
          <w:highlight w:val="white"/>
        </w:rPr>
        <w:t>300%)</w:t>
      </w:r>
      <w:r w:rsidR="00D80CF8">
        <w:rPr>
          <w:color w:val="000000" w:themeColor="text1"/>
          <w:highlight w:val="white"/>
        </w:rPr>
        <w:t xml:space="preserve">. </w:t>
      </w:r>
      <w:r w:rsidRPr="008E4185">
        <w:rPr>
          <w:color w:val="000000" w:themeColor="text1"/>
          <w:highlight w:val="white"/>
        </w:rPr>
        <w:t>This level is often referred to as the “excellence point.”</w:t>
      </w:r>
    </w:p>
    <w:p w14:paraId="56367F24" w14:textId="5C365F1F" w:rsidR="00A87ACB" w:rsidRPr="008E4185" w:rsidRDefault="00000000" w:rsidP="008E4185">
      <w:pPr>
        <w:pStyle w:val="Heading3"/>
        <w:rPr>
          <w:b/>
          <w:bCs/>
          <w:color w:val="000000" w:themeColor="text1"/>
          <w:highlight w:val="white"/>
        </w:rPr>
      </w:pPr>
      <w:bookmarkStart w:id="7" w:name="_Toc179977925"/>
      <w:r w:rsidRPr="008E4185">
        <w:rPr>
          <w:b/>
          <w:bCs/>
          <w:color w:val="000000" w:themeColor="text1"/>
          <w:highlight w:val="white"/>
        </w:rPr>
        <w:t>3 ways companies get accelerators wrong</w:t>
      </w:r>
      <w:bookmarkEnd w:id="7"/>
    </w:p>
    <w:p w14:paraId="0A721544" w14:textId="074AA8B3" w:rsidR="00BD583A" w:rsidRPr="008E4185" w:rsidRDefault="00000000" w:rsidP="00B464C3">
      <w:pPr>
        <w:widowControl w:val="0"/>
        <w:numPr>
          <w:ilvl w:val="0"/>
          <w:numId w:val="2"/>
        </w:numPr>
        <w:pBdr>
          <w:top w:val="nil"/>
          <w:left w:val="nil"/>
          <w:bottom w:val="nil"/>
          <w:right w:val="nil"/>
          <w:between w:val="nil"/>
        </w:pBdr>
        <w:rPr>
          <w:color w:val="000000" w:themeColor="text1"/>
        </w:rPr>
      </w:pPr>
      <w:r w:rsidRPr="008E4185">
        <w:rPr>
          <w:b/>
          <w:color w:val="000000" w:themeColor="text1"/>
        </w:rPr>
        <w:t xml:space="preserve">Accelerators are misaligned </w:t>
      </w:r>
      <w:r w:rsidRPr="008E4185">
        <w:rPr>
          <w:color w:val="000000" w:themeColor="text1"/>
        </w:rPr>
        <w:t>with the culture the company is trying to build.</w:t>
      </w:r>
      <w:r w:rsidR="00A87ACB" w:rsidRPr="008E4185">
        <w:rPr>
          <w:color w:val="000000" w:themeColor="text1"/>
        </w:rPr>
        <w:br/>
      </w:r>
    </w:p>
    <w:p w14:paraId="6DF182AB" w14:textId="6B2F9F61" w:rsidR="00BD583A" w:rsidRPr="008E4185" w:rsidRDefault="00000000" w:rsidP="00B464C3">
      <w:pPr>
        <w:widowControl w:val="0"/>
        <w:numPr>
          <w:ilvl w:val="0"/>
          <w:numId w:val="2"/>
        </w:numPr>
        <w:pBdr>
          <w:top w:val="nil"/>
          <w:left w:val="nil"/>
          <w:bottom w:val="nil"/>
          <w:right w:val="nil"/>
          <w:between w:val="nil"/>
        </w:pBdr>
        <w:rPr>
          <w:color w:val="000000" w:themeColor="text1"/>
        </w:rPr>
      </w:pPr>
      <w:r w:rsidRPr="008E4185">
        <w:rPr>
          <w:b/>
          <w:color w:val="000000" w:themeColor="text1"/>
        </w:rPr>
        <w:t>Accelerators result in overpayment</w:t>
      </w:r>
      <w:r w:rsidRPr="008E4185">
        <w:rPr>
          <w:color w:val="000000" w:themeColor="text1"/>
        </w:rPr>
        <w:t>, leading to an excessive cost of sales.</w:t>
      </w:r>
      <w:r w:rsidR="00A87ACB" w:rsidRPr="008E4185">
        <w:rPr>
          <w:color w:val="000000" w:themeColor="text1"/>
        </w:rPr>
        <w:br/>
      </w:r>
    </w:p>
    <w:p w14:paraId="4F7DAAB7" w14:textId="60D4687F" w:rsidR="00BD583A" w:rsidRPr="008E4185" w:rsidRDefault="00000000" w:rsidP="008E4185">
      <w:pPr>
        <w:widowControl w:val="0"/>
        <w:numPr>
          <w:ilvl w:val="0"/>
          <w:numId w:val="2"/>
        </w:numPr>
        <w:pBdr>
          <w:top w:val="nil"/>
          <w:left w:val="nil"/>
          <w:bottom w:val="nil"/>
          <w:right w:val="nil"/>
          <w:between w:val="nil"/>
        </w:pBdr>
        <w:rPr>
          <w:color w:val="000000" w:themeColor="text1"/>
        </w:rPr>
      </w:pPr>
      <w:r w:rsidRPr="008E4185">
        <w:rPr>
          <w:b/>
          <w:color w:val="000000" w:themeColor="text1"/>
        </w:rPr>
        <w:t>Accelerators under-incentivize overperformance</w:t>
      </w:r>
      <w:r w:rsidRPr="008E4185">
        <w:rPr>
          <w:color w:val="000000" w:themeColor="text1"/>
        </w:rPr>
        <w:t xml:space="preserve"> and, in turn,</w:t>
      </w:r>
      <w:r w:rsidRPr="008E4185">
        <w:rPr>
          <w:b/>
          <w:color w:val="000000" w:themeColor="text1"/>
        </w:rPr>
        <w:t xml:space="preserve"> </w:t>
      </w:r>
      <w:r w:rsidRPr="008E4185">
        <w:rPr>
          <w:color w:val="000000" w:themeColor="text1"/>
        </w:rPr>
        <w:t xml:space="preserve">lead to attrition and/or low </w:t>
      </w:r>
      <w:r w:rsidRPr="008E4185">
        <w:rPr>
          <w:color w:val="000000" w:themeColor="text1"/>
        </w:rPr>
        <w:lastRenderedPageBreak/>
        <w:t>morale among sales reps.</w:t>
      </w:r>
    </w:p>
    <w:p w14:paraId="794DE354" w14:textId="2CEC1A27" w:rsidR="00BD583A" w:rsidRPr="008E4185" w:rsidRDefault="00000000" w:rsidP="008E4185">
      <w:pPr>
        <w:pStyle w:val="Heading3"/>
        <w:rPr>
          <w:b/>
          <w:color w:val="000000" w:themeColor="text1"/>
          <w:sz w:val="22"/>
          <w:szCs w:val="22"/>
          <w:highlight w:val="white"/>
        </w:rPr>
      </w:pPr>
      <w:bookmarkStart w:id="8" w:name="_Toc179977926"/>
      <w:r w:rsidRPr="008E4185">
        <w:rPr>
          <w:b/>
          <w:color w:val="000000" w:themeColor="text1"/>
          <w:highlight w:val="white"/>
        </w:rPr>
        <w:t>Best practices for accelerators</w:t>
      </w:r>
      <w:bookmarkEnd w:id="8"/>
    </w:p>
    <w:p w14:paraId="3C170926" w14:textId="77777777" w:rsidR="00BD583A" w:rsidRPr="008E4185" w:rsidRDefault="00000000">
      <w:pPr>
        <w:numPr>
          <w:ilvl w:val="0"/>
          <w:numId w:val="4"/>
        </w:numPr>
        <w:pBdr>
          <w:top w:val="nil"/>
          <w:left w:val="nil"/>
          <w:bottom w:val="nil"/>
          <w:right w:val="nil"/>
          <w:between w:val="nil"/>
        </w:pBdr>
        <w:shd w:val="clear" w:color="auto" w:fill="FFFFFF"/>
        <w:rPr>
          <w:color w:val="000000" w:themeColor="text1"/>
        </w:rPr>
      </w:pPr>
      <w:r w:rsidRPr="008E4185">
        <w:rPr>
          <w:b/>
          <w:color w:val="000000" w:themeColor="text1"/>
        </w:rPr>
        <w:t>Define your culture</w:t>
      </w:r>
      <w:r w:rsidRPr="008E4185">
        <w:rPr>
          <w:color w:val="000000" w:themeColor="text1"/>
        </w:rPr>
        <w:t>. Decide on the sales culture you want to create and, in turn, what types of performance you want to reward.</w:t>
      </w:r>
    </w:p>
    <w:p w14:paraId="5AC6C567" w14:textId="77777777" w:rsidR="00BD583A" w:rsidRPr="008E4185" w:rsidRDefault="00BD583A">
      <w:pPr>
        <w:pBdr>
          <w:top w:val="nil"/>
          <w:left w:val="nil"/>
          <w:bottom w:val="nil"/>
          <w:right w:val="nil"/>
          <w:between w:val="nil"/>
        </w:pBdr>
        <w:shd w:val="clear" w:color="auto" w:fill="FFFFFF"/>
        <w:ind w:left="360"/>
        <w:rPr>
          <w:color w:val="000000" w:themeColor="text1"/>
        </w:rPr>
      </w:pPr>
    </w:p>
    <w:p w14:paraId="168FEF04" w14:textId="63E87520" w:rsidR="00BD583A" w:rsidRPr="008E4185" w:rsidRDefault="00000000">
      <w:pPr>
        <w:numPr>
          <w:ilvl w:val="0"/>
          <w:numId w:val="4"/>
        </w:numPr>
        <w:pBdr>
          <w:top w:val="nil"/>
          <w:left w:val="nil"/>
          <w:bottom w:val="nil"/>
          <w:right w:val="nil"/>
          <w:between w:val="nil"/>
        </w:pBdr>
        <w:shd w:val="clear" w:color="auto" w:fill="FFFFFF"/>
        <w:rPr>
          <w:b/>
          <w:color w:val="000000" w:themeColor="text1"/>
        </w:rPr>
      </w:pPr>
      <w:r w:rsidRPr="008E4185">
        <w:rPr>
          <w:b/>
          <w:color w:val="000000" w:themeColor="text1"/>
        </w:rPr>
        <w:t>Consider the feasibility of your quotas</w:t>
      </w:r>
      <w:r w:rsidRPr="008E4185">
        <w:rPr>
          <w:color w:val="000000" w:themeColor="text1"/>
        </w:rPr>
        <w:t xml:space="preserve"> as you define your accelerators</w:t>
      </w:r>
      <w:r w:rsidR="00D80CF8">
        <w:rPr>
          <w:color w:val="000000" w:themeColor="text1"/>
        </w:rPr>
        <w:t xml:space="preserve">. </w:t>
      </w:r>
      <w:r w:rsidRPr="008E4185">
        <w:rPr>
          <w:color w:val="000000" w:themeColor="text1"/>
        </w:rPr>
        <w:t xml:space="preserve">For example, extremely aggressive accelerators may be unnecessary if your reps already overachieve quota </w:t>
      </w:r>
      <w:proofErr w:type="gramStart"/>
      <w:r w:rsidRPr="008E4185">
        <w:rPr>
          <w:color w:val="000000" w:themeColor="text1"/>
        </w:rPr>
        <w:t>fairly easily</w:t>
      </w:r>
      <w:proofErr w:type="gramEnd"/>
      <w:r w:rsidR="00D80CF8">
        <w:rPr>
          <w:color w:val="000000" w:themeColor="text1"/>
        </w:rPr>
        <w:t xml:space="preserve">. </w:t>
      </w:r>
      <w:r w:rsidRPr="008E4185">
        <w:rPr>
          <w:color w:val="000000" w:themeColor="text1"/>
        </w:rPr>
        <w:t xml:space="preserve">In fact, deceleration might be necessary to ensure reps are not overcompensated for business that they win with relatively little effort. </w:t>
      </w:r>
    </w:p>
    <w:p w14:paraId="2AD123D4" w14:textId="77777777" w:rsidR="00BD583A" w:rsidRPr="008E4185" w:rsidRDefault="00BD583A">
      <w:pPr>
        <w:shd w:val="clear" w:color="auto" w:fill="FFFFFF"/>
        <w:rPr>
          <w:color w:val="000000" w:themeColor="text1"/>
        </w:rPr>
      </w:pPr>
    </w:p>
    <w:p w14:paraId="34583869" w14:textId="6CFE1177" w:rsidR="00BD583A" w:rsidRPr="008E4185" w:rsidRDefault="00000000">
      <w:pPr>
        <w:numPr>
          <w:ilvl w:val="0"/>
          <w:numId w:val="4"/>
        </w:numPr>
        <w:pBdr>
          <w:top w:val="nil"/>
          <w:left w:val="nil"/>
          <w:bottom w:val="nil"/>
          <w:right w:val="nil"/>
          <w:between w:val="nil"/>
        </w:pBdr>
        <w:shd w:val="clear" w:color="auto" w:fill="FFFFFF"/>
        <w:rPr>
          <w:color w:val="000000" w:themeColor="text1"/>
        </w:rPr>
      </w:pPr>
      <w:r w:rsidRPr="008E4185">
        <w:rPr>
          <w:b/>
          <w:color w:val="000000" w:themeColor="text1"/>
        </w:rPr>
        <w:t xml:space="preserve">Define your “leverage” and “excellence point” </w:t>
      </w:r>
      <w:r w:rsidRPr="008E4185">
        <w:rPr>
          <w:color w:val="000000" w:themeColor="text1"/>
        </w:rPr>
        <w:t>based on how you want to define and compensate top performers</w:t>
      </w:r>
      <w:r w:rsidR="00D80CF8">
        <w:rPr>
          <w:color w:val="000000" w:themeColor="text1"/>
        </w:rPr>
        <w:t xml:space="preserve">. </w:t>
      </w:r>
      <w:r w:rsidRPr="008E4185">
        <w:rPr>
          <w:color w:val="000000" w:themeColor="text1"/>
        </w:rPr>
        <w:t>Once those metrics are identified, you can take a more formulaic approach to designing your accelerators.</w:t>
      </w:r>
    </w:p>
    <w:p w14:paraId="3778D70E" w14:textId="77777777" w:rsidR="00BD583A" w:rsidRPr="008E4185" w:rsidRDefault="00BD583A">
      <w:pPr>
        <w:pBdr>
          <w:top w:val="nil"/>
          <w:left w:val="nil"/>
          <w:bottom w:val="nil"/>
          <w:right w:val="nil"/>
          <w:between w:val="nil"/>
        </w:pBdr>
        <w:ind w:left="720"/>
        <w:rPr>
          <w:color w:val="000000" w:themeColor="text1"/>
        </w:rPr>
      </w:pPr>
    </w:p>
    <w:p w14:paraId="6FC0F9A1" w14:textId="55BF3DDD" w:rsidR="008E4185" w:rsidRPr="008E4185" w:rsidRDefault="00000000" w:rsidP="008E4185">
      <w:pPr>
        <w:numPr>
          <w:ilvl w:val="0"/>
          <w:numId w:val="4"/>
        </w:numPr>
        <w:pBdr>
          <w:top w:val="nil"/>
          <w:left w:val="nil"/>
          <w:bottom w:val="nil"/>
          <w:right w:val="nil"/>
          <w:between w:val="nil"/>
        </w:pBdr>
        <w:shd w:val="clear" w:color="auto" w:fill="FFFFFF"/>
        <w:rPr>
          <w:color w:val="000000" w:themeColor="text1"/>
        </w:rPr>
      </w:pPr>
      <w:r w:rsidRPr="008E4185">
        <w:rPr>
          <w:b/>
          <w:color w:val="000000" w:themeColor="text1"/>
        </w:rPr>
        <w:t>Incentivize reps to close deals in the near term</w:t>
      </w:r>
      <w:r w:rsidRPr="008E4185">
        <w:rPr>
          <w:color w:val="000000" w:themeColor="text1"/>
        </w:rPr>
        <w:t xml:space="preserve">. </w:t>
      </w:r>
      <w:r w:rsidR="00ED24F7">
        <w:rPr>
          <w:color w:val="000000" w:themeColor="text1"/>
        </w:rPr>
        <w:t>If you decide to lower multipliers back down</w:t>
      </w:r>
      <w:r w:rsidR="00A245B5">
        <w:rPr>
          <w:color w:val="000000" w:themeColor="text1"/>
        </w:rPr>
        <w:t xml:space="preserve"> towards 1x</w:t>
      </w:r>
      <w:r w:rsidR="00B10E3B">
        <w:rPr>
          <w:color w:val="000000" w:themeColor="text1"/>
        </w:rPr>
        <w:t xml:space="preserve"> </w:t>
      </w:r>
      <w:r w:rsidR="00ED24F7">
        <w:rPr>
          <w:color w:val="000000" w:themeColor="text1"/>
        </w:rPr>
        <w:t xml:space="preserve">for the highest levels of performance, </w:t>
      </w:r>
      <w:r w:rsidR="00156F7B">
        <w:rPr>
          <w:color w:val="000000" w:themeColor="text1"/>
        </w:rPr>
        <w:t xml:space="preserve">make sure they </w:t>
      </w:r>
      <w:proofErr w:type="gramStart"/>
      <w:r w:rsidR="00166C32">
        <w:rPr>
          <w:color w:val="000000" w:themeColor="text1"/>
        </w:rPr>
        <w:t xml:space="preserve">still </w:t>
      </w:r>
      <w:r w:rsidR="00156F7B">
        <w:rPr>
          <w:color w:val="000000" w:themeColor="text1"/>
        </w:rPr>
        <w:t>remain</w:t>
      </w:r>
      <w:proofErr w:type="gramEnd"/>
      <w:r w:rsidR="00156F7B">
        <w:rPr>
          <w:color w:val="000000" w:themeColor="text1"/>
        </w:rPr>
        <w:t xml:space="preserve"> above 1x</w:t>
      </w:r>
      <w:r w:rsidR="00D80CF8">
        <w:rPr>
          <w:color w:val="000000" w:themeColor="text1"/>
        </w:rPr>
        <w:t xml:space="preserve">. </w:t>
      </w:r>
      <w:r w:rsidRPr="008E4185">
        <w:rPr>
          <w:color w:val="000000" w:themeColor="text1"/>
        </w:rPr>
        <w:t xml:space="preserve">The reason is that you always want to incentivize reps to close deals today versus the next quarter / year, when the base rate on the first quota’s worth of sales resets to 1x. </w:t>
      </w:r>
      <w:r w:rsidR="008E4185" w:rsidRPr="008E4185">
        <w:rPr>
          <w:color w:val="000000" w:themeColor="text1"/>
        </w:rPr>
        <w:br/>
      </w:r>
    </w:p>
    <w:p w14:paraId="224930E7" w14:textId="5DFB57D0" w:rsidR="008E4185" w:rsidRPr="008E4185" w:rsidRDefault="00000000" w:rsidP="008E4185">
      <w:pPr>
        <w:pStyle w:val="Heading2"/>
        <w:rPr>
          <w:b/>
          <w:bCs/>
          <w:color w:val="000000" w:themeColor="text1"/>
        </w:rPr>
      </w:pPr>
      <w:bookmarkStart w:id="9" w:name="_Toc179977927"/>
      <w:r w:rsidRPr="008E4185">
        <w:rPr>
          <w:b/>
          <w:bCs/>
          <w:color w:val="000000" w:themeColor="text1"/>
          <w:highlight w:val="white"/>
        </w:rPr>
        <w:t>Draw</w:t>
      </w:r>
      <w:r w:rsidR="008E4185" w:rsidRPr="008E4185">
        <w:rPr>
          <w:b/>
          <w:bCs/>
          <w:color w:val="000000" w:themeColor="text1"/>
        </w:rPr>
        <w:t>s</w:t>
      </w:r>
      <w:bookmarkEnd w:id="9"/>
    </w:p>
    <w:p w14:paraId="4A3B899C" w14:textId="77777777" w:rsidR="008E4185" w:rsidRPr="008E4185" w:rsidRDefault="008E4185" w:rsidP="008E4185">
      <w:pPr>
        <w:rPr>
          <w:color w:val="000000" w:themeColor="text1"/>
        </w:rPr>
      </w:pPr>
    </w:p>
    <w:p w14:paraId="3A4D287A" w14:textId="6594FB6D" w:rsidR="00BD583A" w:rsidRPr="008E4185" w:rsidRDefault="00000000">
      <w:pPr>
        <w:shd w:val="clear" w:color="auto" w:fill="FFFFFF"/>
        <w:rPr>
          <w:color w:val="000000" w:themeColor="text1"/>
        </w:rPr>
      </w:pPr>
      <w:r w:rsidRPr="008E4185">
        <w:rPr>
          <w:color w:val="000000" w:themeColor="text1"/>
        </w:rPr>
        <w:t>Draws are a compensation structure whereby salespeople receive a predetermined amount of money (a "draw") each period to stabilize their income during times when they may not be earning high commissions</w:t>
      </w:r>
      <w:r w:rsidR="00D80CF8">
        <w:rPr>
          <w:color w:val="000000" w:themeColor="text1"/>
        </w:rPr>
        <w:t xml:space="preserve">. </w:t>
      </w:r>
      <w:r w:rsidRPr="008E4185">
        <w:rPr>
          <w:color w:val="000000" w:themeColor="text1"/>
        </w:rPr>
        <w:t>Draws are typically offered to incentivize an active sales rep at one company to join a different company–given that it takes time for sales reps to ramp up their commission earnings when they start a new job, draws are used to buttress their earnings during the transition period.</w:t>
      </w:r>
    </w:p>
    <w:p w14:paraId="3D169721" w14:textId="77777777" w:rsidR="00BD583A" w:rsidRPr="008E4185" w:rsidRDefault="00BD583A">
      <w:pPr>
        <w:shd w:val="clear" w:color="auto" w:fill="FFFFFF"/>
        <w:rPr>
          <w:color w:val="000000" w:themeColor="text1"/>
        </w:rPr>
      </w:pPr>
    </w:p>
    <w:p w14:paraId="26B0996B" w14:textId="0A145F34" w:rsidR="00BD583A" w:rsidRPr="008E4185" w:rsidRDefault="00000000">
      <w:pPr>
        <w:shd w:val="clear" w:color="auto" w:fill="FFFFFF"/>
        <w:rPr>
          <w:color w:val="000000" w:themeColor="text1"/>
          <w:highlight w:val="white"/>
        </w:rPr>
      </w:pPr>
      <w:r w:rsidRPr="008E4185">
        <w:rPr>
          <w:color w:val="000000" w:themeColor="text1"/>
        </w:rPr>
        <w:t>There are two types of draws: recoverable and non-recoverable</w:t>
      </w:r>
      <w:r w:rsidR="00D80CF8">
        <w:rPr>
          <w:color w:val="000000" w:themeColor="text1"/>
        </w:rPr>
        <w:t xml:space="preserve">. </w:t>
      </w:r>
      <w:r w:rsidRPr="008E4185">
        <w:rPr>
          <w:color w:val="000000" w:themeColor="text1"/>
        </w:rPr>
        <w:t>A r</w:t>
      </w:r>
      <w:r w:rsidRPr="008E4185">
        <w:rPr>
          <w:color w:val="000000" w:themeColor="text1"/>
          <w:highlight w:val="white"/>
        </w:rPr>
        <w:t>ecoverable draw is essentially an advance against the sales rep’s commissions; the rep must pay the company back if they fail to earn enough commission to cover the draw</w:t>
      </w:r>
      <w:r w:rsidR="00D80CF8">
        <w:rPr>
          <w:color w:val="000000" w:themeColor="text1"/>
          <w:highlight w:val="white"/>
        </w:rPr>
        <w:t xml:space="preserve">. </w:t>
      </w:r>
      <w:r w:rsidRPr="008E4185">
        <w:rPr>
          <w:color w:val="000000" w:themeColor="text1"/>
          <w:highlight w:val="white"/>
        </w:rPr>
        <w:t>Meanwhile, a non-recoverable draw, which is the one the type typically employed when attracting new sales reps, is not contingent on sales rep performance.</w:t>
      </w:r>
    </w:p>
    <w:p w14:paraId="5FFA5BD6" w14:textId="77777777" w:rsidR="00BD583A" w:rsidRPr="008E4185" w:rsidRDefault="00BD583A">
      <w:pPr>
        <w:shd w:val="clear" w:color="auto" w:fill="FFFFFF"/>
        <w:rPr>
          <w:color w:val="000000" w:themeColor="text1"/>
          <w:highlight w:val="white"/>
        </w:rPr>
      </w:pPr>
    </w:p>
    <w:p w14:paraId="3C560972" w14:textId="4FDE3647" w:rsidR="00BD583A" w:rsidRPr="008E4185" w:rsidRDefault="00000000">
      <w:pPr>
        <w:shd w:val="clear" w:color="auto" w:fill="FFFFFF"/>
        <w:rPr>
          <w:color w:val="000000" w:themeColor="text1"/>
          <w:highlight w:val="white"/>
        </w:rPr>
      </w:pPr>
      <w:r w:rsidRPr="008E4185">
        <w:rPr>
          <w:color w:val="000000" w:themeColor="text1"/>
          <w:highlight w:val="white"/>
        </w:rPr>
        <w:t>Another compensation structure that often interacts with draws is the ramp quota</w:t>
      </w:r>
      <w:r w:rsidR="00D80CF8">
        <w:rPr>
          <w:color w:val="000000" w:themeColor="text1"/>
          <w:highlight w:val="white"/>
        </w:rPr>
        <w:t xml:space="preserve">. </w:t>
      </w:r>
      <w:r w:rsidRPr="008E4185">
        <w:rPr>
          <w:color w:val="000000" w:themeColor="text1"/>
          <w:highlight w:val="white"/>
        </w:rPr>
        <w:t>Given that new sales reps need time to build up a solid book of business, many companies choose to employ ramp quotas, or quotas that grow over time as the sales rep’s tenure lengthens.</w:t>
      </w:r>
    </w:p>
    <w:p w14:paraId="4BB536BA" w14:textId="77777777" w:rsidR="00BD583A" w:rsidRPr="008E4185" w:rsidRDefault="00000000" w:rsidP="008E4185">
      <w:pPr>
        <w:pStyle w:val="Heading3"/>
        <w:rPr>
          <w:b/>
          <w:bCs/>
          <w:color w:val="000000" w:themeColor="text1"/>
          <w:highlight w:val="white"/>
        </w:rPr>
      </w:pPr>
      <w:bookmarkStart w:id="10" w:name="_Toc179977928"/>
      <w:r w:rsidRPr="008E4185">
        <w:rPr>
          <w:b/>
          <w:bCs/>
          <w:color w:val="000000" w:themeColor="text1"/>
          <w:highlight w:val="white"/>
        </w:rPr>
        <w:t>Why it’s important to get draws right</w:t>
      </w:r>
      <w:bookmarkEnd w:id="10"/>
    </w:p>
    <w:p w14:paraId="0741374E" w14:textId="7F63670F" w:rsidR="00BD583A" w:rsidRPr="008E4185" w:rsidRDefault="00000000" w:rsidP="008E4185">
      <w:pPr>
        <w:widowControl w:val="0"/>
        <w:pBdr>
          <w:top w:val="nil"/>
          <w:left w:val="nil"/>
          <w:bottom w:val="nil"/>
          <w:right w:val="nil"/>
          <w:between w:val="nil"/>
        </w:pBdr>
        <w:rPr>
          <w:color w:val="000000" w:themeColor="text1"/>
        </w:rPr>
      </w:pPr>
      <w:r w:rsidRPr="008E4185">
        <w:rPr>
          <w:color w:val="000000" w:themeColor="text1"/>
        </w:rPr>
        <w:t xml:space="preserve">If your company does not offer a draw, you may struggle to hire strong hires that are currently </w:t>
      </w:r>
      <w:r w:rsidRPr="008E4185">
        <w:rPr>
          <w:color w:val="000000" w:themeColor="text1"/>
        </w:rPr>
        <w:lastRenderedPageBreak/>
        <w:t>employed and achieving success at their existing companies</w:t>
      </w:r>
      <w:r w:rsidR="00D80CF8">
        <w:rPr>
          <w:color w:val="000000" w:themeColor="text1"/>
        </w:rPr>
        <w:t xml:space="preserve">. </w:t>
      </w:r>
      <w:r w:rsidRPr="008E4185">
        <w:rPr>
          <w:color w:val="000000" w:themeColor="text1"/>
        </w:rPr>
        <w:t>Additionally, without a draw, the reps you hire could suffer from financial risk during the initial stages of their transition to your company, hurting the team’s morale and risking turnover.</w:t>
      </w:r>
    </w:p>
    <w:p w14:paraId="72A5F8EF" w14:textId="28F4888D" w:rsidR="00BD583A" w:rsidRPr="008E4185" w:rsidRDefault="00000000" w:rsidP="008E4185">
      <w:pPr>
        <w:pStyle w:val="Heading3"/>
        <w:rPr>
          <w:b/>
          <w:bCs/>
          <w:color w:val="000000" w:themeColor="text1"/>
          <w:highlight w:val="white"/>
        </w:rPr>
      </w:pPr>
      <w:bookmarkStart w:id="11" w:name="_Toc179977929"/>
      <w:r w:rsidRPr="008E4185">
        <w:rPr>
          <w:b/>
          <w:bCs/>
          <w:color w:val="000000" w:themeColor="text1"/>
          <w:highlight w:val="white"/>
        </w:rPr>
        <w:t>2 ways companies get draws wrong</w:t>
      </w:r>
      <w:bookmarkEnd w:id="11"/>
    </w:p>
    <w:p w14:paraId="644BCD73" w14:textId="77777777" w:rsidR="00BD583A" w:rsidRPr="008E4185" w:rsidRDefault="00000000">
      <w:pPr>
        <w:widowControl w:val="0"/>
        <w:numPr>
          <w:ilvl w:val="0"/>
          <w:numId w:val="3"/>
        </w:numPr>
        <w:pBdr>
          <w:top w:val="nil"/>
          <w:left w:val="nil"/>
          <w:bottom w:val="nil"/>
          <w:right w:val="nil"/>
          <w:between w:val="nil"/>
        </w:pBdr>
        <w:rPr>
          <w:color w:val="000000" w:themeColor="text1"/>
        </w:rPr>
      </w:pPr>
      <w:r w:rsidRPr="008E4185">
        <w:rPr>
          <w:b/>
          <w:color w:val="000000" w:themeColor="text1"/>
        </w:rPr>
        <w:t xml:space="preserve">Overly generous draws discourage sales reps </w:t>
      </w:r>
      <w:r w:rsidRPr="008E4185">
        <w:rPr>
          <w:color w:val="000000" w:themeColor="text1"/>
        </w:rPr>
        <w:t>from working hard to bring in business. This often happens if draws last longer than the time a sales rep needs to ramp.</w:t>
      </w:r>
    </w:p>
    <w:p w14:paraId="4B15B2E2" w14:textId="77777777" w:rsidR="00BD583A" w:rsidRPr="008E4185" w:rsidRDefault="00BD583A">
      <w:pPr>
        <w:widowControl w:val="0"/>
        <w:pBdr>
          <w:top w:val="nil"/>
          <w:left w:val="nil"/>
          <w:bottom w:val="nil"/>
          <w:right w:val="nil"/>
          <w:between w:val="nil"/>
        </w:pBdr>
        <w:ind w:left="360"/>
        <w:rPr>
          <w:color w:val="000000" w:themeColor="text1"/>
        </w:rPr>
      </w:pPr>
    </w:p>
    <w:p w14:paraId="2F0E6003" w14:textId="078F1A36" w:rsidR="00BD583A" w:rsidRPr="008E4185" w:rsidRDefault="00000000" w:rsidP="008E4185">
      <w:pPr>
        <w:widowControl w:val="0"/>
        <w:numPr>
          <w:ilvl w:val="0"/>
          <w:numId w:val="3"/>
        </w:numPr>
        <w:pBdr>
          <w:top w:val="nil"/>
          <w:left w:val="nil"/>
          <w:bottom w:val="nil"/>
          <w:right w:val="nil"/>
          <w:between w:val="nil"/>
        </w:pBdr>
        <w:shd w:val="clear" w:color="auto" w:fill="FFFFFF"/>
        <w:rPr>
          <w:color w:val="000000" w:themeColor="text1"/>
          <w:highlight w:val="white"/>
        </w:rPr>
      </w:pPr>
      <w:r w:rsidRPr="008E4185">
        <w:rPr>
          <w:b/>
          <w:color w:val="000000" w:themeColor="text1"/>
        </w:rPr>
        <w:t>Insufficient draws create dissatisfaction or turnover</w:t>
      </w:r>
      <w:r w:rsidRPr="008E4185">
        <w:rPr>
          <w:color w:val="000000" w:themeColor="text1"/>
        </w:rPr>
        <w:t xml:space="preserve"> among new hires.</w:t>
      </w:r>
      <w:r w:rsidRPr="008E4185">
        <w:rPr>
          <w:b/>
          <w:color w:val="000000" w:themeColor="text1"/>
        </w:rPr>
        <w:t xml:space="preserve"> </w:t>
      </w:r>
      <w:r w:rsidRPr="008E4185">
        <w:rPr>
          <w:color w:val="000000" w:themeColor="text1"/>
        </w:rPr>
        <w:t>This often happens when a substantial portion of quota comes from existing customers (i.e., cross-/upsells) and draws do not fully cover the time it takes for reps to acquire a healthy book of business.</w:t>
      </w:r>
    </w:p>
    <w:p w14:paraId="14267E49" w14:textId="17ED43D7" w:rsidR="00BD583A" w:rsidRPr="008E4185" w:rsidRDefault="00000000" w:rsidP="008E4185">
      <w:pPr>
        <w:pStyle w:val="Heading3"/>
        <w:rPr>
          <w:b/>
          <w:bCs/>
          <w:color w:val="000000" w:themeColor="text1"/>
          <w:highlight w:val="white"/>
        </w:rPr>
      </w:pPr>
      <w:bookmarkStart w:id="12" w:name="_Toc179977930"/>
      <w:r w:rsidRPr="008E4185">
        <w:rPr>
          <w:b/>
          <w:bCs/>
          <w:color w:val="000000" w:themeColor="text1"/>
          <w:highlight w:val="white"/>
        </w:rPr>
        <w:t>Best practices for draws</w:t>
      </w:r>
      <w:bookmarkEnd w:id="12"/>
    </w:p>
    <w:p w14:paraId="23C783FF" w14:textId="7445F8A8" w:rsidR="00BD583A" w:rsidRPr="008E4185" w:rsidRDefault="00000000">
      <w:pPr>
        <w:numPr>
          <w:ilvl w:val="0"/>
          <w:numId w:val="6"/>
        </w:numPr>
        <w:pBdr>
          <w:top w:val="nil"/>
          <w:left w:val="nil"/>
          <w:bottom w:val="nil"/>
          <w:right w:val="nil"/>
          <w:between w:val="nil"/>
        </w:pBdr>
        <w:ind w:left="360"/>
        <w:rPr>
          <w:color w:val="000000" w:themeColor="text1"/>
          <w:highlight w:val="white"/>
        </w:rPr>
      </w:pPr>
      <w:r w:rsidRPr="008E4185">
        <w:rPr>
          <w:b/>
          <w:color w:val="000000" w:themeColor="text1"/>
          <w:highlight w:val="white"/>
        </w:rPr>
        <w:t>Offer some type of draw</w:t>
      </w:r>
      <w:r w:rsidR="00D80CF8">
        <w:rPr>
          <w:b/>
          <w:color w:val="000000" w:themeColor="text1"/>
          <w:highlight w:val="white"/>
        </w:rPr>
        <w:t xml:space="preserve">. </w:t>
      </w:r>
      <w:r w:rsidRPr="008E4185">
        <w:rPr>
          <w:color w:val="000000" w:themeColor="text1"/>
          <w:highlight w:val="white"/>
        </w:rPr>
        <w:t>While the decision as to what you offer will depend on your sales cycle, draws are required to hire high-quality talent for long / enterprise sales cycles.</w:t>
      </w:r>
    </w:p>
    <w:p w14:paraId="381FA06F" w14:textId="77777777" w:rsidR="00BD583A" w:rsidRPr="008E4185" w:rsidRDefault="00BD583A">
      <w:pPr>
        <w:rPr>
          <w:color w:val="000000" w:themeColor="text1"/>
          <w:highlight w:val="white"/>
        </w:rPr>
      </w:pPr>
    </w:p>
    <w:p w14:paraId="24044210" w14:textId="77777777" w:rsidR="008E4185" w:rsidRDefault="00000000" w:rsidP="008E4185">
      <w:pPr>
        <w:numPr>
          <w:ilvl w:val="0"/>
          <w:numId w:val="6"/>
        </w:numPr>
        <w:pBdr>
          <w:top w:val="nil"/>
          <w:left w:val="nil"/>
          <w:bottom w:val="nil"/>
          <w:right w:val="nil"/>
          <w:between w:val="nil"/>
        </w:pBdr>
        <w:ind w:left="360"/>
        <w:rPr>
          <w:color w:val="000000" w:themeColor="text1"/>
          <w:highlight w:val="white"/>
        </w:rPr>
      </w:pPr>
      <w:r w:rsidRPr="008E4185">
        <w:rPr>
          <w:b/>
          <w:color w:val="000000" w:themeColor="text1"/>
          <w:highlight w:val="white"/>
        </w:rPr>
        <w:t>Align draws with ramp timelines.</w:t>
      </w:r>
      <w:r w:rsidRPr="008E4185">
        <w:rPr>
          <w:color w:val="000000" w:themeColor="text1"/>
          <w:highlight w:val="white"/>
        </w:rPr>
        <w:t xml:space="preserve"> See the sample scenarios below–in each case, reps received the higher of their draw or their actual commissions:</w:t>
      </w:r>
    </w:p>
    <w:p w14:paraId="7F8EF7F3" w14:textId="77777777" w:rsidR="008E4185" w:rsidRDefault="008E4185" w:rsidP="008E4185">
      <w:pPr>
        <w:pStyle w:val="ListParagraph"/>
        <w:rPr>
          <w:color w:val="000000" w:themeColor="text1"/>
          <w:highlight w:val="white"/>
        </w:rPr>
      </w:pPr>
    </w:p>
    <w:p w14:paraId="52671FCD" w14:textId="77777777" w:rsidR="008E4185" w:rsidRPr="008E4185" w:rsidRDefault="008E4185" w:rsidP="008E4185">
      <w:pPr>
        <w:rPr>
          <w:color w:val="000000" w:themeColor="text1"/>
          <w:sz w:val="11"/>
          <w:szCs w:val="11"/>
          <w:highlight w:val="white"/>
        </w:rPr>
      </w:pPr>
    </w:p>
    <w:tbl>
      <w:tblPr>
        <w:tblStyle w:val="TableGrid"/>
        <w:tblpPr w:leftFromText="180" w:rightFromText="180" w:vertAnchor="text" w:horzAnchor="margin" w:tblpXSpec="center" w:tblpY="408"/>
        <w:tblW w:w="422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2245"/>
      </w:tblGrid>
      <w:tr w:rsidR="008E4185" w:rsidRPr="008E4185" w14:paraId="3906D063" w14:textId="77777777" w:rsidTr="008E4185">
        <w:trPr>
          <w:trHeight w:val="170"/>
        </w:trPr>
        <w:tc>
          <w:tcPr>
            <w:tcW w:w="1980" w:type="dxa"/>
            <w:shd w:val="clear" w:color="auto" w:fill="235043"/>
          </w:tcPr>
          <w:p w14:paraId="2E3DBE4E" w14:textId="77777777" w:rsidR="008E4185" w:rsidRPr="008E4185" w:rsidRDefault="008E4185" w:rsidP="008E4185">
            <w:pPr>
              <w:pStyle w:val="NoSpacing"/>
              <w:jc w:val="center"/>
              <w:rPr>
                <w:rFonts w:ascii="Arial" w:hAnsi="Arial" w:cs="Arial"/>
                <w:b/>
                <w:color w:val="FFFFFF" w:themeColor="background1"/>
                <w:sz w:val="18"/>
                <w:szCs w:val="18"/>
              </w:rPr>
            </w:pPr>
            <w:r>
              <w:rPr>
                <w:rFonts w:ascii="Arial" w:hAnsi="Arial" w:cs="Arial"/>
                <w:b/>
                <w:color w:val="FFFFFF" w:themeColor="background1"/>
                <w:sz w:val="18"/>
                <w:szCs w:val="18"/>
              </w:rPr>
              <w:t>Ramp month</w:t>
            </w:r>
          </w:p>
        </w:tc>
        <w:tc>
          <w:tcPr>
            <w:tcW w:w="2245" w:type="dxa"/>
            <w:shd w:val="clear" w:color="auto" w:fill="235043"/>
          </w:tcPr>
          <w:p w14:paraId="11BA7428" w14:textId="77777777" w:rsidR="008E4185" w:rsidRPr="008E4185" w:rsidRDefault="008E4185" w:rsidP="008E4185">
            <w:pPr>
              <w:pStyle w:val="NoSpacing"/>
              <w:jc w:val="center"/>
              <w:rPr>
                <w:rFonts w:ascii="Arial" w:hAnsi="Arial" w:cs="Arial"/>
                <w:b/>
                <w:color w:val="FFFFFF" w:themeColor="background1"/>
                <w:sz w:val="18"/>
                <w:szCs w:val="18"/>
              </w:rPr>
            </w:pPr>
            <w:r>
              <w:rPr>
                <w:rFonts w:ascii="Arial" w:hAnsi="Arial" w:cs="Arial"/>
                <w:b/>
                <w:color w:val="FFFFFF" w:themeColor="background1"/>
                <w:sz w:val="18"/>
                <w:szCs w:val="18"/>
              </w:rPr>
              <w:t>Draw</w:t>
            </w:r>
          </w:p>
        </w:tc>
      </w:tr>
      <w:tr w:rsidR="008E4185" w:rsidRPr="008E4185" w14:paraId="4ECB7A6E" w14:textId="77777777" w:rsidTr="008E4185">
        <w:trPr>
          <w:trHeight w:val="125"/>
        </w:trPr>
        <w:tc>
          <w:tcPr>
            <w:tcW w:w="1980" w:type="dxa"/>
            <w:shd w:val="clear" w:color="auto" w:fill="F2F2F2" w:themeFill="background1" w:themeFillShade="F2"/>
          </w:tcPr>
          <w:p w14:paraId="55754619" w14:textId="77777777" w:rsidR="008E4185" w:rsidRPr="008E4185" w:rsidRDefault="008E4185" w:rsidP="008E4185">
            <w:pPr>
              <w:pStyle w:val="NoSpacing"/>
              <w:jc w:val="center"/>
              <w:rPr>
                <w:rFonts w:ascii="Arial" w:hAnsi="Arial" w:cs="Arial"/>
                <w:color w:val="000000" w:themeColor="text1"/>
                <w:sz w:val="18"/>
                <w:szCs w:val="18"/>
              </w:rPr>
            </w:pPr>
            <w:r>
              <w:rPr>
                <w:rFonts w:ascii="Arial" w:hAnsi="Arial" w:cs="Arial"/>
                <w:color w:val="000000" w:themeColor="text1"/>
                <w:sz w:val="18"/>
                <w:szCs w:val="18"/>
              </w:rPr>
              <w:t>Month 1</w:t>
            </w:r>
          </w:p>
        </w:tc>
        <w:tc>
          <w:tcPr>
            <w:tcW w:w="2245" w:type="dxa"/>
            <w:shd w:val="clear" w:color="auto" w:fill="F2F2F2" w:themeFill="background1" w:themeFillShade="F2"/>
          </w:tcPr>
          <w:p w14:paraId="0F0F08A6" w14:textId="77777777" w:rsidR="008E4185" w:rsidRPr="008E4185" w:rsidRDefault="008E4185" w:rsidP="008E4185">
            <w:pPr>
              <w:pStyle w:val="NoSpacing"/>
              <w:jc w:val="center"/>
              <w:rPr>
                <w:rFonts w:ascii="Arial" w:hAnsi="Arial" w:cs="Arial"/>
                <w:color w:val="000000" w:themeColor="text1"/>
                <w:sz w:val="18"/>
                <w:szCs w:val="18"/>
              </w:rPr>
            </w:pPr>
            <w:r>
              <w:rPr>
                <w:rFonts w:ascii="Arial" w:hAnsi="Arial" w:cs="Arial"/>
                <w:color w:val="000000" w:themeColor="text1"/>
                <w:sz w:val="18"/>
                <w:szCs w:val="18"/>
              </w:rPr>
              <w:t>100% of target incentive</w:t>
            </w:r>
          </w:p>
        </w:tc>
      </w:tr>
      <w:tr w:rsidR="008E4185" w:rsidRPr="008E4185" w14:paraId="035542F0" w14:textId="77777777" w:rsidTr="008E4185">
        <w:trPr>
          <w:trHeight w:val="125"/>
        </w:trPr>
        <w:tc>
          <w:tcPr>
            <w:tcW w:w="1980" w:type="dxa"/>
            <w:shd w:val="clear" w:color="auto" w:fill="F2F2F2" w:themeFill="background1" w:themeFillShade="F2"/>
          </w:tcPr>
          <w:p w14:paraId="6F24BBA7" w14:textId="77777777" w:rsidR="008E4185" w:rsidRPr="008E4185" w:rsidRDefault="008E4185" w:rsidP="008E4185">
            <w:pPr>
              <w:pStyle w:val="NoSpacing"/>
              <w:jc w:val="center"/>
              <w:rPr>
                <w:rFonts w:ascii="Arial" w:hAnsi="Arial" w:cs="Arial"/>
                <w:color w:val="000000" w:themeColor="text1"/>
                <w:sz w:val="18"/>
                <w:szCs w:val="18"/>
              </w:rPr>
            </w:pPr>
            <w:r>
              <w:rPr>
                <w:rFonts w:ascii="Arial" w:hAnsi="Arial" w:cs="Arial"/>
                <w:color w:val="000000" w:themeColor="text1"/>
                <w:sz w:val="18"/>
                <w:szCs w:val="18"/>
              </w:rPr>
              <w:t>Month 2</w:t>
            </w:r>
          </w:p>
        </w:tc>
        <w:tc>
          <w:tcPr>
            <w:tcW w:w="2245" w:type="dxa"/>
            <w:shd w:val="clear" w:color="auto" w:fill="F2F2F2" w:themeFill="background1" w:themeFillShade="F2"/>
          </w:tcPr>
          <w:p w14:paraId="6F3FF2DF" w14:textId="77777777" w:rsidR="008E4185" w:rsidRPr="008E4185" w:rsidRDefault="008E4185" w:rsidP="008E4185">
            <w:pPr>
              <w:pStyle w:val="NoSpacing"/>
              <w:jc w:val="center"/>
              <w:rPr>
                <w:rFonts w:ascii="Arial" w:hAnsi="Arial" w:cs="Arial"/>
                <w:color w:val="000000" w:themeColor="text1"/>
                <w:sz w:val="18"/>
                <w:szCs w:val="18"/>
              </w:rPr>
            </w:pPr>
            <w:r>
              <w:rPr>
                <w:rFonts w:ascii="Arial" w:hAnsi="Arial" w:cs="Arial"/>
                <w:color w:val="000000" w:themeColor="text1"/>
                <w:sz w:val="18"/>
                <w:szCs w:val="18"/>
              </w:rPr>
              <w:t>50% of target incentive</w:t>
            </w:r>
          </w:p>
        </w:tc>
      </w:tr>
      <w:tr w:rsidR="008E4185" w:rsidRPr="008E4185" w14:paraId="2B49ED05" w14:textId="77777777" w:rsidTr="008E4185">
        <w:trPr>
          <w:trHeight w:val="125"/>
        </w:trPr>
        <w:tc>
          <w:tcPr>
            <w:tcW w:w="1980" w:type="dxa"/>
            <w:shd w:val="clear" w:color="auto" w:fill="F2F2F2" w:themeFill="background1" w:themeFillShade="F2"/>
          </w:tcPr>
          <w:p w14:paraId="78F59048" w14:textId="77777777" w:rsidR="008E4185" w:rsidRPr="008E4185" w:rsidRDefault="008E4185" w:rsidP="008E4185">
            <w:pPr>
              <w:pStyle w:val="NoSpacing"/>
              <w:jc w:val="center"/>
              <w:rPr>
                <w:rFonts w:ascii="Arial" w:hAnsi="Arial" w:cs="Arial"/>
                <w:color w:val="000000" w:themeColor="text1"/>
                <w:sz w:val="18"/>
                <w:szCs w:val="18"/>
              </w:rPr>
            </w:pPr>
            <w:r>
              <w:rPr>
                <w:rFonts w:ascii="Arial" w:hAnsi="Arial" w:cs="Arial"/>
                <w:color w:val="000000" w:themeColor="text1"/>
                <w:sz w:val="18"/>
                <w:szCs w:val="18"/>
              </w:rPr>
              <w:t>Month 3</w:t>
            </w:r>
          </w:p>
        </w:tc>
        <w:tc>
          <w:tcPr>
            <w:tcW w:w="2245" w:type="dxa"/>
            <w:shd w:val="clear" w:color="auto" w:fill="F2F2F2" w:themeFill="background1" w:themeFillShade="F2"/>
          </w:tcPr>
          <w:p w14:paraId="7FAD029B" w14:textId="77777777" w:rsidR="008E4185" w:rsidRPr="008E4185" w:rsidRDefault="008E4185" w:rsidP="008E4185">
            <w:pPr>
              <w:pStyle w:val="NoSpacing"/>
              <w:jc w:val="center"/>
              <w:rPr>
                <w:rFonts w:ascii="Arial" w:hAnsi="Arial" w:cs="Arial"/>
                <w:color w:val="000000" w:themeColor="text1"/>
                <w:sz w:val="18"/>
                <w:szCs w:val="18"/>
              </w:rPr>
            </w:pPr>
            <w:r>
              <w:rPr>
                <w:rFonts w:ascii="Arial" w:hAnsi="Arial" w:cs="Arial"/>
                <w:color w:val="000000" w:themeColor="text1"/>
                <w:sz w:val="18"/>
                <w:szCs w:val="18"/>
              </w:rPr>
              <w:t>25% of target incentive</w:t>
            </w:r>
          </w:p>
        </w:tc>
      </w:tr>
    </w:tbl>
    <w:p w14:paraId="06367D04" w14:textId="4AC9E4E2" w:rsidR="008E4185" w:rsidRDefault="00000000" w:rsidP="008E4185">
      <w:pPr>
        <w:numPr>
          <w:ilvl w:val="1"/>
          <w:numId w:val="6"/>
        </w:numPr>
        <w:pBdr>
          <w:top w:val="nil"/>
          <w:left w:val="nil"/>
          <w:bottom w:val="nil"/>
          <w:right w:val="nil"/>
          <w:between w:val="nil"/>
        </w:pBdr>
        <w:rPr>
          <w:color w:val="000000" w:themeColor="text1"/>
          <w:highlight w:val="white"/>
        </w:rPr>
      </w:pPr>
      <w:r w:rsidRPr="008E4185">
        <w:rPr>
          <w:color w:val="000000" w:themeColor="text1"/>
          <w:highlight w:val="white"/>
        </w:rPr>
        <w:t>For sellers targeting the SMB segment, 3-month draw payments could be:</w:t>
      </w:r>
      <w:r w:rsidR="008E4185">
        <w:rPr>
          <w:color w:val="000000" w:themeColor="text1"/>
          <w:highlight w:val="white"/>
        </w:rPr>
        <w:br/>
      </w:r>
    </w:p>
    <w:p w14:paraId="4A59C32C" w14:textId="77777777" w:rsidR="008E4185" w:rsidRDefault="008E4185" w:rsidP="008E4185">
      <w:pPr>
        <w:pBdr>
          <w:top w:val="nil"/>
          <w:left w:val="nil"/>
          <w:bottom w:val="nil"/>
          <w:right w:val="nil"/>
          <w:between w:val="nil"/>
        </w:pBdr>
        <w:rPr>
          <w:color w:val="000000" w:themeColor="text1"/>
          <w:highlight w:val="white"/>
        </w:rPr>
      </w:pPr>
    </w:p>
    <w:p w14:paraId="78B27E75" w14:textId="77777777" w:rsidR="008E4185" w:rsidRDefault="008E4185" w:rsidP="008E4185">
      <w:pPr>
        <w:pBdr>
          <w:top w:val="nil"/>
          <w:left w:val="nil"/>
          <w:bottom w:val="nil"/>
          <w:right w:val="nil"/>
          <w:between w:val="nil"/>
        </w:pBdr>
        <w:rPr>
          <w:color w:val="000000" w:themeColor="text1"/>
          <w:highlight w:val="white"/>
        </w:rPr>
      </w:pPr>
    </w:p>
    <w:p w14:paraId="07C0285A" w14:textId="77777777" w:rsidR="008E4185" w:rsidRDefault="008E4185" w:rsidP="008E4185">
      <w:pPr>
        <w:pBdr>
          <w:top w:val="nil"/>
          <w:left w:val="nil"/>
          <w:bottom w:val="nil"/>
          <w:right w:val="nil"/>
          <w:between w:val="nil"/>
        </w:pBdr>
        <w:rPr>
          <w:color w:val="000000" w:themeColor="text1"/>
          <w:highlight w:val="white"/>
        </w:rPr>
      </w:pPr>
    </w:p>
    <w:p w14:paraId="72C9E8BD" w14:textId="13923F39" w:rsidR="008E4185" w:rsidRPr="008E4185" w:rsidRDefault="008E4185" w:rsidP="008E4185">
      <w:pPr>
        <w:numPr>
          <w:ilvl w:val="1"/>
          <w:numId w:val="6"/>
        </w:numPr>
        <w:pBdr>
          <w:top w:val="nil"/>
          <w:left w:val="nil"/>
          <w:bottom w:val="nil"/>
          <w:right w:val="nil"/>
          <w:between w:val="nil"/>
        </w:pBdr>
        <w:rPr>
          <w:color w:val="000000" w:themeColor="text1"/>
          <w:highlight w:val="white"/>
        </w:rPr>
      </w:pPr>
      <w:r w:rsidRPr="008E4185">
        <w:rPr>
          <w:color w:val="000000" w:themeColor="text1"/>
          <w:highlight w:val="white"/>
        </w:rPr>
        <w:t>For sellers targeting the mid-market segment, a 6-month draw could be:</w:t>
      </w:r>
    </w:p>
    <w:tbl>
      <w:tblPr>
        <w:tblStyle w:val="TableGrid"/>
        <w:tblpPr w:leftFromText="180" w:rightFromText="180" w:vertAnchor="text" w:horzAnchor="margin" w:tblpXSpec="center" w:tblpY="154"/>
        <w:tblW w:w="422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80"/>
        <w:gridCol w:w="2245"/>
      </w:tblGrid>
      <w:tr w:rsidR="008E4185" w:rsidRPr="008E4185" w14:paraId="6D255140" w14:textId="77777777" w:rsidTr="008E4185">
        <w:trPr>
          <w:trHeight w:val="170"/>
        </w:trPr>
        <w:tc>
          <w:tcPr>
            <w:tcW w:w="1980" w:type="dxa"/>
            <w:shd w:val="clear" w:color="auto" w:fill="235043"/>
          </w:tcPr>
          <w:p w14:paraId="229E5853" w14:textId="77777777" w:rsidR="008E4185" w:rsidRPr="008E4185" w:rsidRDefault="008E4185" w:rsidP="008E4185">
            <w:pPr>
              <w:pStyle w:val="NoSpacing"/>
              <w:jc w:val="center"/>
              <w:rPr>
                <w:rFonts w:ascii="Arial" w:hAnsi="Arial" w:cs="Arial"/>
                <w:b/>
                <w:color w:val="FFFFFF" w:themeColor="background1"/>
                <w:sz w:val="18"/>
                <w:szCs w:val="18"/>
              </w:rPr>
            </w:pPr>
            <w:r>
              <w:rPr>
                <w:rFonts w:ascii="Arial" w:hAnsi="Arial" w:cs="Arial"/>
                <w:b/>
                <w:color w:val="FFFFFF" w:themeColor="background1"/>
                <w:sz w:val="18"/>
                <w:szCs w:val="18"/>
              </w:rPr>
              <w:t>Ramp month</w:t>
            </w:r>
          </w:p>
        </w:tc>
        <w:tc>
          <w:tcPr>
            <w:tcW w:w="2245" w:type="dxa"/>
            <w:shd w:val="clear" w:color="auto" w:fill="235043"/>
          </w:tcPr>
          <w:p w14:paraId="2FAF24D8" w14:textId="77777777" w:rsidR="008E4185" w:rsidRPr="008E4185" w:rsidRDefault="008E4185" w:rsidP="008E4185">
            <w:pPr>
              <w:pStyle w:val="NoSpacing"/>
              <w:jc w:val="center"/>
              <w:rPr>
                <w:rFonts w:ascii="Arial" w:hAnsi="Arial" w:cs="Arial"/>
                <w:b/>
                <w:color w:val="FFFFFF" w:themeColor="background1"/>
                <w:sz w:val="18"/>
                <w:szCs w:val="18"/>
              </w:rPr>
            </w:pPr>
            <w:r>
              <w:rPr>
                <w:rFonts w:ascii="Arial" w:hAnsi="Arial" w:cs="Arial"/>
                <w:b/>
                <w:color w:val="FFFFFF" w:themeColor="background1"/>
                <w:sz w:val="18"/>
                <w:szCs w:val="18"/>
              </w:rPr>
              <w:t>Draw</w:t>
            </w:r>
          </w:p>
        </w:tc>
      </w:tr>
      <w:tr w:rsidR="008E4185" w:rsidRPr="008E4185" w14:paraId="0E4F1E87" w14:textId="77777777" w:rsidTr="008E4185">
        <w:trPr>
          <w:trHeight w:val="125"/>
        </w:trPr>
        <w:tc>
          <w:tcPr>
            <w:tcW w:w="1980" w:type="dxa"/>
            <w:shd w:val="clear" w:color="auto" w:fill="F2F2F2" w:themeFill="background1" w:themeFillShade="F2"/>
          </w:tcPr>
          <w:p w14:paraId="4BAAFBD6" w14:textId="77777777" w:rsidR="008E4185" w:rsidRPr="008E4185" w:rsidRDefault="008E4185" w:rsidP="008E4185">
            <w:pPr>
              <w:pStyle w:val="NoSpacing"/>
              <w:jc w:val="center"/>
              <w:rPr>
                <w:rFonts w:ascii="Arial" w:hAnsi="Arial" w:cs="Arial"/>
                <w:color w:val="000000" w:themeColor="text1"/>
                <w:sz w:val="18"/>
                <w:szCs w:val="18"/>
              </w:rPr>
            </w:pPr>
            <w:r>
              <w:rPr>
                <w:rFonts w:ascii="Arial" w:hAnsi="Arial" w:cs="Arial"/>
                <w:color w:val="000000" w:themeColor="text1"/>
                <w:sz w:val="18"/>
                <w:szCs w:val="18"/>
              </w:rPr>
              <w:t>Month 1</w:t>
            </w:r>
          </w:p>
        </w:tc>
        <w:tc>
          <w:tcPr>
            <w:tcW w:w="2245" w:type="dxa"/>
            <w:shd w:val="clear" w:color="auto" w:fill="F2F2F2" w:themeFill="background1" w:themeFillShade="F2"/>
          </w:tcPr>
          <w:p w14:paraId="798C16AF" w14:textId="77777777" w:rsidR="008E4185" w:rsidRPr="008E4185" w:rsidRDefault="008E4185" w:rsidP="008E4185">
            <w:pPr>
              <w:pStyle w:val="NoSpacing"/>
              <w:jc w:val="center"/>
              <w:rPr>
                <w:rFonts w:ascii="Arial" w:hAnsi="Arial" w:cs="Arial"/>
                <w:color w:val="000000" w:themeColor="text1"/>
                <w:sz w:val="18"/>
                <w:szCs w:val="18"/>
              </w:rPr>
            </w:pPr>
            <w:r>
              <w:rPr>
                <w:rFonts w:ascii="Arial" w:hAnsi="Arial" w:cs="Arial"/>
                <w:color w:val="000000" w:themeColor="text1"/>
                <w:sz w:val="18"/>
                <w:szCs w:val="18"/>
              </w:rPr>
              <w:t>100% of target incentive</w:t>
            </w:r>
          </w:p>
        </w:tc>
      </w:tr>
      <w:tr w:rsidR="008E4185" w:rsidRPr="008E4185" w14:paraId="76DC3627" w14:textId="77777777" w:rsidTr="008E4185">
        <w:trPr>
          <w:trHeight w:val="125"/>
        </w:trPr>
        <w:tc>
          <w:tcPr>
            <w:tcW w:w="1980" w:type="dxa"/>
            <w:shd w:val="clear" w:color="auto" w:fill="F2F2F2" w:themeFill="background1" w:themeFillShade="F2"/>
          </w:tcPr>
          <w:p w14:paraId="0C52EA8D" w14:textId="77777777" w:rsidR="008E4185" w:rsidRPr="008E4185" w:rsidRDefault="008E4185" w:rsidP="008E4185">
            <w:pPr>
              <w:pStyle w:val="NoSpacing"/>
              <w:jc w:val="center"/>
              <w:rPr>
                <w:rFonts w:ascii="Arial" w:hAnsi="Arial" w:cs="Arial"/>
                <w:color w:val="000000" w:themeColor="text1"/>
                <w:sz w:val="18"/>
                <w:szCs w:val="18"/>
              </w:rPr>
            </w:pPr>
            <w:r>
              <w:rPr>
                <w:rFonts w:ascii="Arial" w:hAnsi="Arial" w:cs="Arial"/>
                <w:color w:val="000000" w:themeColor="text1"/>
                <w:sz w:val="18"/>
                <w:szCs w:val="18"/>
              </w:rPr>
              <w:t>Month 2</w:t>
            </w:r>
          </w:p>
        </w:tc>
        <w:tc>
          <w:tcPr>
            <w:tcW w:w="2245" w:type="dxa"/>
            <w:shd w:val="clear" w:color="auto" w:fill="F2F2F2" w:themeFill="background1" w:themeFillShade="F2"/>
          </w:tcPr>
          <w:p w14:paraId="63FCDDF7" w14:textId="4C4E24DC" w:rsidR="008E4185" w:rsidRPr="008E4185" w:rsidRDefault="008E4185" w:rsidP="008E4185">
            <w:pPr>
              <w:pStyle w:val="NoSpacing"/>
              <w:jc w:val="center"/>
              <w:rPr>
                <w:rFonts w:ascii="Arial" w:hAnsi="Arial" w:cs="Arial"/>
                <w:color w:val="000000" w:themeColor="text1"/>
                <w:sz w:val="18"/>
                <w:szCs w:val="18"/>
              </w:rPr>
            </w:pPr>
            <w:r>
              <w:rPr>
                <w:rFonts w:ascii="Arial" w:hAnsi="Arial" w:cs="Arial"/>
                <w:color w:val="000000" w:themeColor="text1"/>
                <w:sz w:val="18"/>
                <w:szCs w:val="18"/>
              </w:rPr>
              <w:t>75</w:t>
            </w:r>
            <w:r>
              <w:rPr>
                <w:rFonts w:ascii="Arial" w:hAnsi="Arial" w:cs="Arial"/>
                <w:color w:val="000000" w:themeColor="text1"/>
                <w:sz w:val="18"/>
                <w:szCs w:val="18"/>
              </w:rPr>
              <w:t>% of target incentive</w:t>
            </w:r>
          </w:p>
        </w:tc>
      </w:tr>
      <w:tr w:rsidR="008E4185" w:rsidRPr="008E4185" w14:paraId="76F336B3" w14:textId="77777777" w:rsidTr="008E4185">
        <w:trPr>
          <w:trHeight w:val="125"/>
        </w:trPr>
        <w:tc>
          <w:tcPr>
            <w:tcW w:w="1980" w:type="dxa"/>
            <w:shd w:val="clear" w:color="auto" w:fill="F2F2F2" w:themeFill="background1" w:themeFillShade="F2"/>
          </w:tcPr>
          <w:p w14:paraId="791665CF" w14:textId="77777777" w:rsidR="008E4185" w:rsidRPr="008E4185" w:rsidRDefault="008E4185" w:rsidP="008E4185">
            <w:pPr>
              <w:pStyle w:val="NoSpacing"/>
              <w:jc w:val="center"/>
              <w:rPr>
                <w:rFonts w:ascii="Arial" w:hAnsi="Arial" w:cs="Arial"/>
                <w:color w:val="000000" w:themeColor="text1"/>
                <w:sz w:val="18"/>
                <w:szCs w:val="18"/>
              </w:rPr>
            </w:pPr>
            <w:r>
              <w:rPr>
                <w:rFonts w:ascii="Arial" w:hAnsi="Arial" w:cs="Arial"/>
                <w:color w:val="000000" w:themeColor="text1"/>
                <w:sz w:val="18"/>
                <w:szCs w:val="18"/>
              </w:rPr>
              <w:t>Month 3</w:t>
            </w:r>
          </w:p>
        </w:tc>
        <w:tc>
          <w:tcPr>
            <w:tcW w:w="2245" w:type="dxa"/>
            <w:shd w:val="clear" w:color="auto" w:fill="F2F2F2" w:themeFill="background1" w:themeFillShade="F2"/>
          </w:tcPr>
          <w:p w14:paraId="6B4CA8C3" w14:textId="5B699F02" w:rsidR="008E4185" w:rsidRPr="008E4185" w:rsidRDefault="008E4185" w:rsidP="008E4185">
            <w:pPr>
              <w:pStyle w:val="NoSpacing"/>
              <w:jc w:val="center"/>
              <w:rPr>
                <w:rFonts w:ascii="Arial" w:hAnsi="Arial" w:cs="Arial"/>
                <w:color w:val="000000" w:themeColor="text1"/>
                <w:sz w:val="18"/>
                <w:szCs w:val="18"/>
              </w:rPr>
            </w:pPr>
            <w:r>
              <w:rPr>
                <w:rFonts w:ascii="Arial" w:hAnsi="Arial" w:cs="Arial"/>
                <w:color w:val="000000" w:themeColor="text1"/>
                <w:sz w:val="18"/>
                <w:szCs w:val="18"/>
              </w:rPr>
              <w:t>50</w:t>
            </w:r>
            <w:r>
              <w:rPr>
                <w:rFonts w:ascii="Arial" w:hAnsi="Arial" w:cs="Arial"/>
                <w:color w:val="000000" w:themeColor="text1"/>
                <w:sz w:val="18"/>
                <w:szCs w:val="18"/>
              </w:rPr>
              <w:t>% of target incentive</w:t>
            </w:r>
          </w:p>
        </w:tc>
      </w:tr>
      <w:tr w:rsidR="008E4185" w:rsidRPr="008E4185" w14:paraId="11E0C091" w14:textId="77777777" w:rsidTr="008E4185">
        <w:trPr>
          <w:trHeight w:val="125"/>
        </w:trPr>
        <w:tc>
          <w:tcPr>
            <w:tcW w:w="1980" w:type="dxa"/>
            <w:shd w:val="clear" w:color="auto" w:fill="F2F2F2" w:themeFill="background1" w:themeFillShade="F2"/>
          </w:tcPr>
          <w:p w14:paraId="7AF526AB" w14:textId="16513926" w:rsidR="008E4185" w:rsidRDefault="008E4185" w:rsidP="008E4185">
            <w:pPr>
              <w:pStyle w:val="NoSpacing"/>
              <w:jc w:val="center"/>
              <w:rPr>
                <w:rFonts w:ascii="Arial" w:hAnsi="Arial" w:cs="Arial"/>
                <w:color w:val="000000" w:themeColor="text1"/>
                <w:sz w:val="18"/>
                <w:szCs w:val="18"/>
              </w:rPr>
            </w:pPr>
            <w:r>
              <w:rPr>
                <w:rFonts w:ascii="Arial" w:hAnsi="Arial" w:cs="Arial"/>
                <w:color w:val="000000" w:themeColor="text1"/>
                <w:sz w:val="18"/>
                <w:szCs w:val="18"/>
              </w:rPr>
              <w:t>Month 4</w:t>
            </w:r>
          </w:p>
        </w:tc>
        <w:tc>
          <w:tcPr>
            <w:tcW w:w="2245" w:type="dxa"/>
            <w:shd w:val="clear" w:color="auto" w:fill="F2F2F2" w:themeFill="background1" w:themeFillShade="F2"/>
          </w:tcPr>
          <w:p w14:paraId="29D956B9" w14:textId="1398C631" w:rsidR="008E4185" w:rsidRDefault="008E4185" w:rsidP="008E4185">
            <w:pPr>
              <w:pStyle w:val="NoSpacing"/>
              <w:jc w:val="center"/>
              <w:rPr>
                <w:rFonts w:ascii="Arial" w:hAnsi="Arial" w:cs="Arial"/>
                <w:color w:val="000000" w:themeColor="text1"/>
                <w:sz w:val="18"/>
                <w:szCs w:val="18"/>
              </w:rPr>
            </w:pPr>
            <w:r>
              <w:rPr>
                <w:rFonts w:ascii="Arial" w:hAnsi="Arial" w:cs="Arial"/>
                <w:color w:val="000000" w:themeColor="text1"/>
                <w:sz w:val="18"/>
                <w:szCs w:val="18"/>
              </w:rPr>
              <w:t>50% of target incentive</w:t>
            </w:r>
          </w:p>
        </w:tc>
      </w:tr>
      <w:tr w:rsidR="008E4185" w:rsidRPr="008E4185" w14:paraId="5A31C44D" w14:textId="77777777" w:rsidTr="008E4185">
        <w:trPr>
          <w:trHeight w:val="125"/>
        </w:trPr>
        <w:tc>
          <w:tcPr>
            <w:tcW w:w="1980" w:type="dxa"/>
            <w:shd w:val="clear" w:color="auto" w:fill="F2F2F2" w:themeFill="background1" w:themeFillShade="F2"/>
          </w:tcPr>
          <w:p w14:paraId="7648277B" w14:textId="7E382500" w:rsidR="008E4185" w:rsidRDefault="008E4185" w:rsidP="008E4185">
            <w:pPr>
              <w:pStyle w:val="NoSpacing"/>
              <w:jc w:val="center"/>
              <w:rPr>
                <w:rFonts w:ascii="Arial" w:hAnsi="Arial" w:cs="Arial"/>
                <w:color w:val="000000" w:themeColor="text1"/>
                <w:sz w:val="18"/>
                <w:szCs w:val="18"/>
              </w:rPr>
            </w:pPr>
            <w:r>
              <w:rPr>
                <w:rFonts w:ascii="Arial" w:hAnsi="Arial" w:cs="Arial"/>
                <w:color w:val="000000" w:themeColor="text1"/>
                <w:sz w:val="18"/>
                <w:szCs w:val="18"/>
              </w:rPr>
              <w:t>Month 5</w:t>
            </w:r>
          </w:p>
        </w:tc>
        <w:tc>
          <w:tcPr>
            <w:tcW w:w="2245" w:type="dxa"/>
            <w:shd w:val="clear" w:color="auto" w:fill="F2F2F2" w:themeFill="background1" w:themeFillShade="F2"/>
          </w:tcPr>
          <w:p w14:paraId="491F8B59" w14:textId="1425D6F6" w:rsidR="008E4185" w:rsidRDefault="008E4185" w:rsidP="008E4185">
            <w:pPr>
              <w:pStyle w:val="NoSpacing"/>
              <w:jc w:val="center"/>
              <w:rPr>
                <w:rFonts w:ascii="Arial" w:hAnsi="Arial" w:cs="Arial"/>
                <w:color w:val="000000" w:themeColor="text1"/>
                <w:sz w:val="18"/>
                <w:szCs w:val="18"/>
              </w:rPr>
            </w:pPr>
            <w:r>
              <w:rPr>
                <w:rFonts w:ascii="Arial" w:hAnsi="Arial" w:cs="Arial"/>
                <w:color w:val="000000" w:themeColor="text1"/>
                <w:sz w:val="18"/>
                <w:szCs w:val="18"/>
              </w:rPr>
              <w:t>25</w:t>
            </w:r>
            <w:r>
              <w:rPr>
                <w:rFonts w:ascii="Arial" w:hAnsi="Arial" w:cs="Arial"/>
                <w:color w:val="000000" w:themeColor="text1"/>
                <w:sz w:val="18"/>
                <w:szCs w:val="18"/>
              </w:rPr>
              <w:t>% of target incentive</w:t>
            </w:r>
          </w:p>
        </w:tc>
      </w:tr>
      <w:tr w:rsidR="008E4185" w:rsidRPr="008E4185" w14:paraId="7D5460A3" w14:textId="77777777" w:rsidTr="008E4185">
        <w:trPr>
          <w:trHeight w:val="125"/>
        </w:trPr>
        <w:tc>
          <w:tcPr>
            <w:tcW w:w="1980" w:type="dxa"/>
            <w:shd w:val="clear" w:color="auto" w:fill="F2F2F2" w:themeFill="background1" w:themeFillShade="F2"/>
          </w:tcPr>
          <w:p w14:paraId="42449830" w14:textId="77AE93A3" w:rsidR="008E4185" w:rsidRDefault="008E4185" w:rsidP="008E4185">
            <w:pPr>
              <w:pStyle w:val="NoSpacing"/>
              <w:jc w:val="center"/>
              <w:rPr>
                <w:rFonts w:ascii="Arial" w:hAnsi="Arial" w:cs="Arial"/>
                <w:color w:val="000000" w:themeColor="text1"/>
                <w:sz w:val="18"/>
                <w:szCs w:val="18"/>
              </w:rPr>
            </w:pPr>
            <w:r>
              <w:rPr>
                <w:rFonts w:ascii="Arial" w:hAnsi="Arial" w:cs="Arial"/>
                <w:color w:val="000000" w:themeColor="text1"/>
                <w:sz w:val="18"/>
                <w:szCs w:val="18"/>
              </w:rPr>
              <w:t>Month 6</w:t>
            </w:r>
          </w:p>
        </w:tc>
        <w:tc>
          <w:tcPr>
            <w:tcW w:w="2245" w:type="dxa"/>
            <w:shd w:val="clear" w:color="auto" w:fill="F2F2F2" w:themeFill="background1" w:themeFillShade="F2"/>
          </w:tcPr>
          <w:p w14:paraId="5C8F3796" w14:textId="6C063B59" w:rsidR="008E4185" w:rsidRDefault="008E4185" w:rsidP="008E4185">
            <w:pPr>
              <w:pStyle w:val="NoSpacing"/>
              <w:jc w:val="center"/>
              <w:rPr>
                <w:rFonts w:ascii="Arial" w:hAnsi="Arial" w:cs="Arial"/>
                <w:color w:val="000000" w:themeColor="text1"/>
                <w:sz w:val="18"/>
                <w:szCs w:val="18"/>
              </w:rPr>
            </w:pPr>
            <w:r>
              <w:rPr>
                <w:rFonts w:ascii="Arial" w:hAnsi="Arial" w:cs="Arial"/>
                <w:color w:val="000000" w:themeColor="text1"/>
                <w:sz w:val="18"/>
                <w:szCs w:val="18"/>
              </w:rPr>
              <w:t>25</w:t>
            </w:r>
            <w:r>
              <w:rPr>
                <w:rFonts w:ascii="Arial" w:hAnsi="Arial" w:cs="Arial"/>
                <w:color w:val="000000" w:themeColor="text1"/>
                <w:sz w:val="18"/>
                <w:szCs w:val="18"/>
              </w:rPr>
              <w:t>% of target incentive</w:t>
            </w:r>
          </w:p>
        </w:tc>
      </w:tr>
    </w:tbl>
    <w:p w14:paraId="52A4B5F8" w14:textId="77777777" w:rsidR="008E4185" w:rsidRDefault="008E4185" w:rsidP="008E4185">
      <w:pPr>
        <w:pBdr>
          <w:top w:val="nil"/>
          <w:left w:val="nil"/>
          <w:bottom w:val="nil"/>
          <w:right w:val="nil"/>
          <w:between w:val="nil"/>
        </w:pBdr>
        <w:rPr>
          <w:color w:val="000000" w:themeColor="text1"/>
          <w:highlight w:val="white"/>
        </w:rPr>
      </w:pPr>
    </w:p>
    <w:p w14:paraId="7133D152" w14:textId="77777777" w:rsidR="008E4185" w:rsidRDefault="008E4185" w:rsidP="008E4185">
      <w:pPr>
        <w:pBdr>
          <w:top w:val="nil"/>
          <w:left w:val="nil"/>
          <w:bottom w:val="nil"/>
          <w:right w:val="nil"/>
          <w:between w:val="nil"/>
        </w:pBdr>
        <w:rPr>
          <w:color w:val="000000" w:themeColor="text1"/>
          <w:highlight w:val="white"/>
        </w:rPr>
      </w:pPr>
    </w:p>
    <w:p w14:paraId="446E5474" w14:textId="77777777" w:rsidR="008E4185" w:rsidRDefault="008E4185" w:rsidP="008E4185">
      <w:pPr>
        <w:pBdr>
          <w:top w:val="nil"/>
          <w:left w:val="nil"/>
          <w:bottom w:val="nil"/>
          <w:right w:val="nil"/>
          <w:between w:val="nil"/>
        </w:pBdr>
        <w:rPr>
          <w:color w:val="000000" w:themeColor="text1"/>
          <w:highlight w:val="white"/>
        </w:rPr>
      </w:pPr>
    </w:p>
    <w:p w14:paraId="11A6FCB2" w14:textId="77777777" w:rsidR="008E4185" w:rsidRDefault="008E4185" w:rsidP="008E4185">
      <w:pPr>
        <w:pBdr>
          <w:top w:val="nil"/>
          <w:left w:val="nil"/>
          <w:bottom w:val="nil"/>
          <w:right w:val="nil"/>
          <w:between w:val="nil"/>
        </w:pBdr>
        <w:rPr>
          <w:color w:val="000000" w:themeColor="text1"/>
          <w:highlight w:val="white"/>
        </w:rPr>
      </w:pPr>
    </w:p>
    <w:p w14:paraId="7C90A72A" w14:textId="77777777" w:rsidR="008E4185" w:rsidRDefault="008E4185" w:rsidP="008E4185">
      <w:pPr>
        <w:pBdr>
          <w:top w:val="nil"/>
          <w:left w:val="nil"/>
          <w:bottom w:val="nil"/>
          <w:right w:val="nil"/>
          <w:between w:val="nil"/>
        </w:pBdr>
        <w:rPr>
          <w:color w:val="000000" w:themeColor="text1"/>
          <w:highlight w:val="white"/>
        </w:rPr>
      </w:pPr>
    </w:p>
    <w:p w14:paraId="65CAF13C" w14:textId="461FAE75" w:rsidR="008E4185" w:rsidRDefault="008E4185" w:rsidP="008E4185">
      <w:pPr>
        <w:pBdr>
          <w:top w:val="nil"/>
          <w:left w:val="nil"/>
          <w:bottom w:val="nil"/>
          <w:right w:val="nil"/>
          <w:between w:val="nil"/>
        </w:pBdr>
        <w:rPr>
          <w:color w:val="000000" w:themeColor="text1"/>
          <w:highlight w:val="white"/>
        </w:rPr>
      </w:pPr>
      <w:r>
        <w:rPr>
          <w:color w:val="000000" w:themeColor="text1"/>
          <w:highlight w:val="white"/>
        </w:rPr>
        <w:br/>
      </w:r>
    </w:p>
    <w:p w14:paraId="3B1F43FD" w14:textId="77777777" w:rsidR="008E4185" w:rsidRPr="008E4185" w:rsidRDefault="008E4185" w:rsidP="008E4185">
      <w:pPr>
        <w:pBdr>
          <w:top w:val="nil"/>
          <w:left w:val="nil"/>
          <w:bottom w:val="nil"/>
          <w:right w:val="nil"/>
          <w:between w:val="nil"/>
        </w:pBdr>
        <w:rPr>
          <w:color w:val="000000" w:themeColor="text1"/>
          <w:sz w:val="11"/>
          <w:szCs w:val="11"/>
          <w:highlight w:val="white"/>
        </w:rPr>
      </w:pPr>
    </w:p>
    <w:p w14:paraId="4C98E145" w14:textId="77777777" w:rsidR="008E4185" w:rsidRDefault="00000000" w:rsidP="008E4185">
      <w:pPr>
        <w:numPr>
          <w:ilvl w:val="1"/>
          <w:numId w:val="7"/>
        </w:numPr>
        <w:pBdr>
          <w:top w:val="nil"/>
          <w:left w:val="nil"/>
          <w:bottom w:val="nil"/>
          <w:right w:val="nil"/>
          <w:between w:val="nil"/>
        </w:pBdr>
        <w:rPr>
          <w:color w:val="000000" w:themeColor="text1"/>
          <w:highlight w:val="white"/>
        </w:rPr>
      </w:pPr>
      <w:r w:rsidRPr="008E4185">
        <w:rPr>
          <w:color w:val="000000" w:themeColor="text1"/>
          <w:highlight w:val="white"/>
        </w:rPr>
        <w:t>For sellers targeting larger enterprises, draws can last up to a year. Ideally, you would accompany these draws with a ramp quota.</w:t>
      </w:r>
    </w:p>
    <w:p w14:paraId="357F3435" w14:textId="6638B60F" w:rsidR="008E4185" w:rsidRDefault="008E4185" w:rsidP="008E4185">
      <w:pPr>
        <w:pBdr>
          <w:top w:val="nil"/>
          <w:left w:val="nil"/>
          <w:bottom w:val="nil"/>
          <w:right w:val="nil"/>
          <w:between w:val="nil"/>
        </w:pBdr>
        <w:rPr>
          <w:color w:val="000000" w:themeColor="text1"/>
          <w:highlight w:val="white"/>
        </w:rPr>
      </w:pPr>
    </w:p>
    <w:p w14:paraId="0BB5C13B" w14:textId="2409FA19" w:rsidR="00BD583A" w:rsidRPr="009E3DB0" w:rsidRDefault="008E4185" w:rsidP="008E4185">
      <w:pPr>
        <w:numPr>
          <w:ilvl w:val="0"/>
          <w:numId w:val="6"/>
        </w:numPr>
        <w:pBdr>
          <w:top w:val="nil"/>
          <w:left w:val="nil"/>
          <w:bottom w:val="nil"/>
          <w:right w:val="nil"/>
          <w:between w:val="nil"/>
        </w:pBdr>
        <w:ind w:left="360"/>
        <w:rPr>
          <w:color w:val="000000" w:themeColor="text1"/>
          <w:highlight w:val="white"/>
        </w:rPr>
      </w:pPr>
      <w:r w:rsidRPr="008E4185">
        <w:rPr>
          <w:b/>
          <w:color w:val="000000" w:themeColor="text1"/>
          <w:highlight w:val="white"/>
        </w:rPr>
        <w:t xml:space="preserve">Protect your company </w:t>
      </w:r>
      <w:r w:rsidRPr="008E4185">
        <w:rPr>
          <w:color w:val="000000" w:themeColor="text1"/>
          <w:highlight w:val="white"/>
        </w:rPr>
        <w:t>by restricting draw payments to only those reps who do not turnover. Pay draws only if the participant is active on the last day of a draw month.</w:t>
      </w:r>
    </w:p>
    <w:p w14:paraId="06AD306E" w14:textId="6A5B9196" w:rsidR="00BD583A" w:rsidRPr="008E4185" w:rsidRDefault="00000000" w:rsidP="008E4185">
      <w:pPr>
        <w:pStyle w:val="Heading2"/>
        <w:rPr>
          <w:b/>
          <w:bCs/>
          <w:color w:val="000000" w:themeColor="text1"/>
          <w:highlight w:val="white"/>
        </w:rPr>
      </w:pPr>
      <w:bookmarkStart w:id="13" w:name="_Toc179977931"/>
      <w:r w:rsidRPr="008E4185">
        <w:rPr>
          <w:b/>
          <w:bCs/>
          <w:color w:val="000000" w:themeColor="text1"/>
          <w:highlight w:val="white"/>
        </w:rPr>
        <w:t>Payments &amp; Debookings</w:t>
      </w:r>
      <w:bookmarkEnd w:id="13"/>
    </w:p>
    <w:p w14:paraId="6D1069A8" w14:textId="77777777" w:rsidR="008E4185" w:rsidRPr="008E4185" w:rsidRDefault="008E4185" w:rsidP="008E4185">
      <w:pPr>
        <w:rPr>
          <w:color w:val="000000" w:themeColor="text1"/>
          <w:highlight w:val="white"/>
        </w:rPr>
      </w:pPr>
    </w:p>
    <w:p w14:paraId="3D279E77" w14:textId="2F7C3267" w:rsidR="00BD583A" w:rsidRPr="008E4185" w:rsidRDefault="00000000">
      <w:pPr>
        <w:spacing w:after="200"/>
        <w:rPr>
          <w:color w:val="000000" w:themeColor="text1"/>
          <w:highlight w:val="white"/>
        </w:rPr>
      </w:pPr>
      <w:r w:rsidRPr="008E4185">
        <w:rPr>
          <w:color w:val="000000" w:themeColor="text1"/>
          <w:highlight w:val="white"/>
        </w:rPr>
        <w:lastRenderedPageBreak/>
        <w:t>When a company books a sale, its reps do not normally receive commission until at least 30 days later–for example, if a deal is booked June 15</w:t>
      </w:r>
      <w:r w:rsidRPr="008E4185">
        <w:rPr>
          <w:color w:val="000000" w:themeColor="text1"/>
          <w:highlight w:val="white"/>
          <w:vertAlign w:val="superscript"/>
        </w:rPr>
        <w:t>th</w:t>
      </w:r>
      <w:r w:rsidRPr="008E4185">
        <w:rPr>
          <w:color w:val="000000" w:themeColor="text1"/>
          <w:highlight w:val="white"/>
        </w:rPr>
        <w:t>, commission is often paid out at the end of July</w:t>
      </w:r>
      <w:r w:rsidR="00D80CF8">
        <w:rPr>
          <w:color w:val="000000" w:themeColor="text1"/>
          <w:highlight w:val="white"/>
        </w:rPr>
        <w:t xml:space="preserve">. </w:t>
      </w:r>
      <w:r w:rsidRPr="008E4185">
        <w:rPr>
          <w:color w:val="000000" w:themeColor="text1"/>
          <w:highlight w:val="white"/>
        </w:rPr>
        <w:t>Further, even after commission is paid out, it is not final</w:t>
      </w:r>
      <w:r w:rsidR="00D80CF8">
        <w:rPr>
          <w:color w:val="000000" w:themeColor="text1"/>
          <w:highlight w:val="white"/>
        </w:rPr>
        <w:t xml:space="preserve">. </w:t>
      </w:r>
      <w:r w:rsidRPr="008E4185">
        <w:rPr>
          <w:color w:val="000000" w:themeColor="text1"/>
          <w:highlight w:val="white"/>
        </w:rPr>
        <w:t>Rather, it is treated as an advance, subject to recalculation once the total payment period ends (usually ~3 months for sellers targeting the mass market or 6 to 12 months for sellers targeting the mid-market or enterprise)</w:t>
      </w:r>
      <w:r w:rsidR="00D80CF8">
        <w:rPr>
          <w:color w:val="000000" w:themeColor="text1"/>
          <w:highlight w:val="white"/>
        </w:rPr>
        <w:t xml:space="preserve">. </w:t>
      </w:r>
      <w:r w:rsidRPr="008E4185">
        <w:rPr>
          <w:color w:val="000000" w:themeColor="text1"/>
          <w:highlight w:val="white"/>
        </w:rPr>
        <w:t>Only at the end of the payment period are the finalized commissions calculated (including the effects of accelerators, bonuses, and debookings) and paid out</w:t>
      </w:r>
      <w:r w:rsidR="00D80CF8">
        <w:rPr>
          <w:color w:val="000000" w:themeColor="text1"/>
          <w:highlight w:val="white"/>
        </w:rPr>
        <w:t xml:space="preserve">. </w:t>
      </w:r>
      <w:r w:rsidRPr="008E4185">
        <w:rPr>
          <w:color w:val="000000" w:themeColor="text1"/>
          <w:highlight w:val="white"/>
        </w:rPr>
        <w:t xml:space="preserve">In most cases, that final calculation requires the company to make an additional payment to a rep; in rare cases, it requires the rep to pay back a portion of their received commissions to the company. </w:t>
      </w:r>
    </w:p>
    <w:p w14:paraId="33F6FF0B" w14:textId="6D22EB80" w:rsidR="00BD583A" w:rsidRPr="008E4185" w:rsidRDefault="00000000">
      <w:pPr>
        <w:spacing w:after="200"/>
        <w:rPr>
          <w:color w:val="000000" w:themeColor="text1"/>
          <w:highlight w:val="white"/>
        </w:rPr>
      </w:pPr>
      <w:r w:rsidRPr="008E4185">
        <w:rPr>
          <w:color w:val="000000" w:themeColor="text1"/>
          <w:highlight w:val="white"/>
        </w:rPr>
        <w:t>One of the reasons reps wait several months for finalized commissions is that companies often account for debookings when doling out compensation</w:t>
      </w:r>
      <w:r w:rsidR="00D80CF8">
        <w:rPr>
          <w:color w:val="000000" w:themeColor="text1"/>
          <w:highlight w:val="white"/>
        </w:rPr>
        <w:t xml:space="preserve">. </w:t>
      </w:r>
      <w:r w:rsidRPr="008E4185">
        <w:rPr>
          <w:color w:val="000000" w:themeColor="text1"/>
          <w:highlight w:val="white"/>
        </w:rPr>
        <w:t>A debooking occurs when a booked sale is subsequently reversed or canceled</w:t>
      </w:r>
      <w:r w:rsidR="00D80CF8">
        <w:rPr>
          <w:color w:val="000000" w:themeColor="text1"/>
          <w:highlight w:val="white"/>
        </w:rPr>
        <w:t xml:space="preserve">. </w:t>
      </w:r>
      <w:r w:rsidRPr="008E4185">
        <w:rPr>
          <w:color w:val="000000" w:themeColor="text1"/>
          <w:highlight w:val="white"/>
        </w:rPr>
        <w:t xml:space="preserve">In such cases, a debooking clause protects the company from paying out commission on canceled or </w:t>
      </w:r>
      <w:proofErr w:type="spellStart"/>
      <w:r w:rsidRPr="008E4185">
        <w:rPr>
          <w:color w:val="000000" w:themeColor="text1"/>
          <w:highlight w:val="white"/>
        </w:rPr>
        <w:t>downsold</w:t>
      </w:r>
      <w:proofErr w:type="spellEnd"/>
      <w:r w:rsidRPr="008E4185">
        <w:rPr>
          <w:color w:val="000000" w:themeColor="text1"/>
          <w:highlight w:val="white"/>
        </w:rPr>
        <w:t xml:space="preserve"> contracts</w:t>
      </w:r>
      <w:r w:rsidR="00D80CF8">
        <w:rPr>
          <w:color w:val="000000" w:themeColor="text1"/>
          <w:highlight w:val="white"/>
        </w:rPr>
        <w:t xml:space="preserve">. </w:t>
      </w:r>
      <w:r w:rsidRPr="008E4185">
        <w:rPr>
          <w:color w:val="000000" w:themeColor="text1"/>
          <w:highlight w:val="white"/>
        </w:rPr>
        <w:t xml:space="preserve">For example, a clause may establish that the company does not have to pay out commission on any sale that gets cancelled or </w:t>
      </w:r>
      <w:proofErr w:type="spellStart"/>
      <w:r w:rsidRPr="008E4185">
        <w:rPr>
          <w:color w:val="000000" w:themeColor="text1"/>
          <w:highlight w:val="white"/>
        </w:rPr>
        <w:t>downsold</w:t>
      </w:r>
      <w:proofErr w:type="spellEnd"/>
      <w:r w:rsidRPr="008E4185">
        <w:rPr>
          <w:color w:val="000000" w:themeColor="text1"/>
          <w:highlight w:val="white"/>
        </w:rPr>
        <w:t xml:space="preserve"> within a set time (e.g., 6 months)</w:t>
      </w:r>
      <w:r w:rsidR="00D80CF8">
        <w:rPr>
          <w:color w:val="000000" w:themeColor="text1"/>
          <w:highlight w:val="white"/>
        </w:rPr>
        <w:t xml:space="preserve">. </w:t>
      </w:r>
    </w:p>
    <w:p w14:paraId="7AF2C626" w14:textId="7159409C" w:rsidR="00BD583A" w:rsidRPr="008E4185" w:rsidRDefault="00000000" w:rsidP="008E4185">
      <w:pPr>
        <w:pStyle w:val="Heading3"/>
        <w:rPr>
          <w:b/>
          <w:bCs/>
          <w:color w:val="000000" w:themeColor="text1"/>
          <w:highlight w:val="white"/>
        </w:rPr>
      </w:pPr>
      <w:bookmarkStart w:id="14" w:name="_Toc179977932"/>
      <w:r w:rsidRPr="008E4185">
        <w:rPr>
          <w:b/>
          <w:bCs/>
          <w:color w:val="000000" w:themeColor="text1"/>
          <w:highlight w:val="white"/>
        </w:rPr>
        <w:t>Why it’s important to get payments &amp; debookings right</w:t>
      </w:r>
      <w:bookmarkEnd w:id="14"/>
    </w:p>
    <w:p w14:paraId="1A44D895" w14:textId="054355DB" w:rsidR="008E4185" w:rsidRPr="008E4185" w:rsidRDefault="008E4185" w:rsidP="008E4185">
      <w:pPr>
        <w:spacing w:after="200"/>
        <w:rPr>
          <w:b/>
          <w:color w:val="000000" w:themeColor="text1"/>
          <w:sz w:val="28"/>
          <w:szCs w:val="28"/>
          <w:highlight w:val="white"/>
        </w:rPr>
      </w:pPr>
      <w:r w:rsidRPr="008E4185">
        <w:rPr>
          <w:color w:val="000000" w:themeColor="text1"/>
          <w:highlight w:val="white"/>
        </w:rPr>
        <w:t>Good compensation plans pay out advances very carefully. Otherwise, reps can end up owing the company money at the end of the quota period, which harms rep morale</w:t>
      </w:r>
      <w:r w:rsidR="00D80CF8">
        <w:rPr>
          <w:color w:val="000000" w:themeColor="text1"/>
          <w:highlight w:val="white"/>
        </w:rPr>
        <w:t xml:space="preserve">. </w:t>
      </w:r>
      <w:r w:rsidRPr="008E4185">
        <w:rPr>
          <w:color w:val="000000" w:themeColor="text1"/>
          <w:highlight w:val="white"/>
        </w:rPr>
        <w:t xml:space="preserve">In general, </w:t>
      </w:r>
      <w:r w:rsidRPr="008E4185">
        <w:rPr>
          <w:color w:val="000000" w:themeColor="text1"/>
        </w:rPr>
        <w:t>reps should only owe commissions / advances back to the company in rare circumstances.</w:t>
      </w:r>
    </w:p>
    <w:p w14:paraId="350F69E9" w14:textId="43E624FC" w:rsidR="00BD583A" w:rsidRPr="008E4185" w:rsidRDefault="00000000" w:rsidP="008E4185">
      <w:pPr>
        <w:pStyle w:val="Heading3"/>
        <w:rPr>
          <w:b/>
          <w:bCs/>
          <w:color w:val="000000" w:themeColor="text1"/>
          <w:highlight w:val="white"/>
        </w:rPr>
      </w:pPr>
      <w:bookmarkStart w:id="15" w:name="_Toc179977933"/>
      <w:r w:rsidRPr="008E4185">
        <w:rPr>
          <w:b/>
          <w:bCs/>
          <w:color w:val="000000" w:themeColor="text1"/>
          <w:highlight w:val="white"/>
        </w:rPr>
        <w:t>2 ways companies get debookings wrong</w:t>
      </w:r>
      <w:bookmarkEnd w:id="15"/>
    </w:p>
    <w:p w14:paraId="2B5ED82D" w14:textId="77777777" w:rsidR="00BD583A" w:rsidRPr="008E4185" w:rsidRDefault="00000000">
      <w:pPr>
        <w:widowControl w:val="0"/>
        <w:numPr>
          <w:ilvl w:val="0"/>
          <w:numId w:val="9"/>
        </w:numPr>
        <w:pBdr>
          <w:top w:val="nil"/>
          <w:left w:val="nil"/>
          <w:bottom w:val="nil"/>
          <w:right w:val="nil"/>
          <w:between w:val="nil"/>
        </w:pBdr>
        <w:rPr>
          <w:color w:val="000000" w:themeColor="text1"/>
        </w:rPr>
      </w:pPr>
      <w:r w:rsidRPr="008E4185">
        <w:rPr>
          <w:b/>
          <w:color w:val="000000" w:themeColor="text1"/>
        </w:rPr>
        <w:t>A lack of debooking policies</w:t>
      </w:r>
      <w:r w:rsidRPr="008E4185">
        <w:rPr>
          <w:color w:val="000000" w:themeColor="text1"/>
        </w:rPr>
        <w:t>, common among startups, requires them to pay out commissions for which they did not collect proportional sums of cash.</w:t>
      </w:r>
    </w:p>
    <w:p w14:paraId="70980997" w14:textId="77777777" w:rsidR="00BD583A" w:rsidRPr="008E4185" w:rsidRDefault="00BD583A">
      <w:pPr>
        <w:widowControl w:val="0"/>
        <w:pBdr>
          <w:top w:val="nil"/>
          <w:left w:val="nil"/>
          <w:bottom w:val="nil"/>
          <w:right w:val="nil"/>
          <w:between w:val="nil"/>
        </w:pBdr>
        <w:ind w:left="360"/>
        <w:rPr>
          <w:color w:val="000000" w:themeColor="text1"/>
        </w:rPr>
      </w:pPr>
    </w:p>
    <w:p w14:paraId="1CC84C2F" w14:textId="17E2CC50" w:rsidR="00BD583A" w:rsidRPr="008E4185" w:rsidRDefault="00000000" w:rsidP="008E4185">
      <w:pPr>
        <w:widowControl w:val="0"/>
        <w:numPr>
          <w:ilvl w:val="0"/>
          <w:numId w:val="9"/>
        </w:numPr>
        <w:pBdr>
          <w:top w:val="nil"/>
          <w:left w:val="nil"/>
          <w:bottom w:val="nil"/>
          <w:right w:val="nil"/>
          <w:between w:val="nil"/>
        </w:pBdr>
        <w:rPr>
          <w:color w:val="000000" w:themeColor="text1"/>
        </w:rPr>
      </w:pPr>
      <w:r w:rsidRPr="008E4185">
        <w:rPr>
          <w:b/>
          <w:color w:val="000000" w:themeColor="text1"/>
        </w:rPr>
        <w:t>Debooking policies punish reps for working on short-term deals</w:t>
      </w:r>
      <w:r w:rsidR="00D80CF8">
        <w:rPr>
          <w:color w:val="000000" w:themeColor="text1"/>
        </w:rPr>
        <w:t xml:space="preserve">. </w:t>
      </w:r>
      <w:r w:rsidRPr="008E4185">
        <w:rPr>
          <w:color w:val="000000" w:themeColor="text1"/>
        </w:rPr>
        <w:t xml:space="preserve">This can be a big problem when customers want to purchase services for a shorter </w:t>
      </w:r>
      <w:proofErr w:type="gramStart"/>
      <w:r w:rsidRPr="008E4185">
        <w:rPr>
          <w:color w:val="000000" w:themeColor="text1"/>
        </w:rPr>
        <w:t>period of time</w:t>
      </w:r>
      <w:proofErr w:type="gramEnd"/>
      <w:r w:rsidRPr="008E4185">
        <w:rPr>
          <w:color w:val="000000" w:themeColor="text1"/>
        </w:rPr>
        <w:t xml:space="preserve"> than the company's debooking period</w:t>
      </w:r>
      <w:r w:rsidR="00D80CF8">
        <w:rPr>
          <w:color w:val="000000" w:themeColor="text1"/>
        </w:rPr>
        <w:t xml:space="preserve">. </w:t>
      </w:r>
      <w:r w:rsidRPr="008E4185">
        <w:rPr>
          <w:color w:val="000000" w:themeColor="text1"/>
        </w:rPr>
        <w:t>In those cases, unless the debooking clause has a carve-out for those types of sales (see the best practice below), reps will not feel incentivized to serve the customer</w:t>
      </w:r>
      <w:r w:rsidR="00D80CF8">
        <w:rPr>
          <w:color w:val="000000" w:themeColor="text1"/>
        </w:rPr>
        <w:t xml:space="preserve">. </w:t>
      </w:r>
      <w:r w:rsidRPr="008E4185">
        <w:rPr>
          <w:color w:val="000000" w:themeColor="text1"/>
        </w:rPr>
        <w:t>As a result, the company may face a customer experience issue or risk the loss of short-term business to competitors.</w:t>
      </w:r>
    </w:p>
    <w:p w14:paraId="11B2CD6B" w14:textId="5C8D50DD" w:rsidR="00BD583A" w:rsidRPr="008E4185" w:rsidRDefault="00000000" w:rsidP="008E4185">
      <w:pPr>
        <w:pStyle w:val="Heading3"/>
        <w:rPr>
          <w:b/>
          <w:bCs/>
          <w:color w:val="000000" w:themeColor="text1"/>
        </w:rPr>
      </w:pPr>
      <w:bookmarkStart w:id="16" w:name="_Toc179977934"/>
      <w:r w:rsidRPr="008E4185">
        <w:rPr>
          <w:b/>
          <w:bCs/>
          <w:color w:val="000000" w:themeColor="text1"/>
          <w:highlight w:val="white"/>
        </w:rPr>
        <w:t>Best practices for debooking payments</w:t>
      </w:r>
      <w:bookmarkEnd w:id="16"/>
    </w:p>
    <w:p w14:paraId="137F31AE" w14:textId="29E2340A" w:rsidR="00BD583A" w:rsidRPr="008E4185" w:rsidRDefault="00000000">
      <w:pPr>
        <w:widowControl w:val="0"/>
        <w:numPr>
          <w:ilvl w:val="0"/>
          <w:numId w:val="8"/>
        </w:numPr>
        <w:pBdr>
          <w:top w:val="nil"/>
          <w:left w:val="nil"/>
          <w:bottom w:val="nil"/>
          <w:right w:val="nil"/>
          <w:between w:val="nil"/>
        </w:pBdr>
        <w:rPr>
          <w:color w:val="000000" w:themeColor="text1"/>
        </w:rPr>
      </w:pPr>
      <w:r w:rsidRPr="008E4185">
        <w:rPr>
          <w:b/>
          <w:color w:val="000000" w:themeColor="text1"/>
        </w:rPr>
        <w:t xml:space="preserve">Account for the run rate of debookings when assigning </w:t>
      </w:r>
      <w:r w:rsidRPr="008E4185">
        <w:rPr>
          <w:b/>
          <w:i/>
          <w:color w:val="000000" w:themeColor="text1"/>
        </w:rPr>
        <w:t xml:space="preserve">net </w:t>
      </w:r>
      <w:r w:rsidRPr="008E4185">
        <w:rPr>
          <w:b/>
          <w:color w:val="000000" w:themeColor="text1"/>
        </w:rPr>
        <w:t>quotas</w:t>
      </w:r>
      <w:r w:rsidR="00D80CF8">
        <w:rPr>
          <w:b/>
          <w:color w:val="000000" w:themeColor="text1"/>
        </w:rPr>
        <w:t xml:space="preserve">. </w:t>
      </w:r>
      <w:r w:rsidRPr="008E4185">
        <w:rPr>
          <w:color w:val="000000" w:themeColor="text1"/>
        </w:rPr>
        <w:t xml:space="preserve">For example, if last year’s </w:t>
      </w:r>
      <w:r w:rsidRPr="008E4185">
        <w:rPr>
          <w:i/>
          <w:color w:val="000000" w:themeColor="text1"/>
        </w:rPr>
        <w:t>gross</w:t>
      </w:r>
      <w:r w:rsidRPr="008E4185">
        <w:rPr>
          <w:color w:val="000000" w:themeColor="text1"/>
        </w:rPr>
        <w:t xml:space="preserve"> quotas were $1M and the rate of debookings was 10%, your company only netted $900K per individual quota attainment</w:t>
      </w:r>
      <w:r w:rsidR="00D80CF8">
        <w:rPr>
          <w:color w:val="000000" w:themeColor="text1"/>
        </w:rPr>
        <w:t xml:space="preserve">. </w:t>
      </w:r>
      <w:r w:rsidRPr="008E4185">
        <w:rPr>
          <w:color w:val="000000" w:themeColor="text1"/>
        </w:rPr>
        <w:t xml:space="preserve">Next year, let’s assume you want each quota-attaining rep to generate $950K in </w:t>
      </w:r>
      <w:r w:rsidRPr="008E4185">
        <w:rPr>
          <w:i/>
          <w:color w:val="000000" w:themeColor="text1"/>
        </w:rPr>
        <w:t>cash</w:t>
      </w:r>
      <w:r w:rsidRPr="008E4185">
        <w:rPr>
          <w:color w:val="000000" w:themeColor="text1"/>
        </w:rPr>
        <w:t xml:space="preserve"> for the company (a $50K improvement over last year)</w:t>
      </w:r>
      <w:r w:rsidR="00D80CF8">
        <w:rPr>
          <w:color w:val="000000" w:themeColor="text1"/>
        </w:rPr>
        <w:t xml:space="preserve">. </w:t>
      </w:r>
      <w:r w:rsidRPr="008E4185">
        <w:rPr>
          <w:color w:val="000000" w:themeColor="text1"/>
        </w:rPr>
        <w:t xml:space="preserve">In that case, instead of setting gross quotas, you might set </w:t>
      </w:r>
      <w:r w:rsidRPr="008E4185">
        <w:rPr>
          <w:i/>
          <w:color w:val="000000" w:themeColor="text1"/>
        </w:rPr>
        <w:t>net</w:t>
      </w:r>
      <w:r w:rsidRPr="008E4185">
        <w:rPr>
          <w:color w:val="000000" w:themeColor="text1"/>
        </w:rPr>
        <w:t xml:space="preserve"> quotas (factoring debookings into account) at $950K.</w:t>
      </w:r>
    </w:p>
    <w:p w14:paraId="11A18F58" w14:textId="77777777" w:rsidR="00BD583A" w:rsidRPr="008E4185" w:rsidRDefault="00BD583A">
      <w:pPr>
        <w:widowControl w:val="0"/>
        <w:pBdr>
          <w:top w:val="nil"/>
          <w:left w:val="nil"/>
          <w:bottom w:val="nil"/>
          <w:right w:val="nil"/>
          <w:between w:val="nil"/>
        </w:pBdr>
        <w:ind w:left="360"/>
        <w:rPr>
          <w:color w:val="000000" w:themeColor="text1"/>
        </w:rPr>
      </w:pPr>
    </w:p>
    <w:p w14:paraId="7E04E01B" w14:textId="3E876845" w:rsidR="00BD583A" w:rsidRPr="008E4185" w:rsidRDefault="00000000">
      <w:pPr>
        <w:widowControl w:val="0"/>
        <w:numPr>
          <w:ilvl w:val="0"/>
          <w:numId w:val="8"/>
        </w:numPr>
        <w:pBdr>
          <w:top w:val="nil"/>
          <w:left w:val="nil"/>
          <w:bottom w:val="nil"/>
          <w:right w:val="nil"/>
          <w:between w:val="nil"/>
        </w:pBdr>
        <w:rPr>
          <w:color w:val="000000" w:themeColor="text1"/>
        </w:rPr>
      </w:pPr>
      <w:r w:rsidRPr="008E4185">
        <w:rPr>
          <w:b/>
          <w:color w:val="000000" w:themeColor="text1"/>
        </w:rPr>
        <w:t>Start the clock at the contract date</w:t>
      </w:r>
      <w:r w:rsidR="00D80CF8">
        <w:rPr>
          <w:b/>
          <w:color w:val="000000" w:themeColor="text1"/>
        </w:rPr>
        <w:t xml:space="preserve">. </w:t>
      </w:r>
      <w:r w:rsidRPr="008E4185">
        <w:rPr>
          <w:color w:val="000000" w:themeColor="text1"/>
        </w:rPr>
        <w:t>I</w:t>
      </w:r>
      <w:r w:rsidRPr="008E4185">
        <w:rPr>
          <w:color w:val="000000" w:themeColor="text1"/>
          <w:highlight w:val="white"/>
        </w:rPr>
        <w:t xml:space="preserve">f a booking is agreed to begin on a future date (for example, if billing starts in three months), then the commissions payments should not start </w:t>
      </w:r>
      <w:r w:rsidRPr="008E4185">
        <w:rPr>
          <w:color w:val="000000" w:themeColor="text1"/>
          <w:highlight w:val="white"/>
        </w:rPr>
        <w:lastRenderedPageBreak/>
        <w:t xml:space="preserve">until at least 30 days after that date. </w:t>
      </w:r>
    </w:p>
    <w:p w14:paraId="1C167468" w14:textId="77777777" w:rsidR="00BD583A" w:rsidRPr="008E4185" w:rsidRDefault="00BD583A">
      <w:pPr>
        <w:pBdr>
          <w:top w:val="nil"/>
          <w:left w:val="nil"/>
          <w:bottom w:val="nil"/>
          <w:right w:val="nil"/>
          <w:between w:val="nil"/>
        </w:pBdr>
        <w:ind w:left="720"/>
        <w:rPr>
          <w:color w:val="000000" w:themeColor="text1"/>
        </w:rPr>
      </w:pPr>
    </w:p>
    <w:p w14:paraId="27B07097" w14:textId="6DFB3471" w:rsidR="00D40711" w:rsidRPr="008E4185" w:rsidRDefault="00000000" w:rsidP="00D40711">
      <w:pPr>
        <w:numPr>
          <w:ilvl w:val="0"/>
          <w:numId w:val="10"/>
        </w:numPr>
        <w:pBdr>
          <w:top w:val="nil"/>
          <w:left w:val="nil"/>
          <w:bottom w:val="nil"/>
          <w:right w:val="nil"/>
          <w:between w:val="nil"/>
        </w:pBdr>
        <w:rPr>
          <w:color w:val="000000" w:themeColor="text1"/>
          <w:highlight w:val="white"/>
        </w:rPr>
      </w:pPr>
      <w:r w:rsidRPr="008E4185">
        <w:rPr>
          <w:b/>
          <w:color w:val="000000" w:themeColor="text1"/>
          <w:highlight w:val="white"/>
        </w:rPr>
        <w:t>Create debookings carve-outs for short-term projects</w:t>
      </w:r>
      <w:r w:rsidR="00D80CF8">
        <w:rPr>
          <w:b/>
          <w:color w:val="000000" w:themeColor="text1"/>
          <w:highlight w:val="white"/>
        </w:rPr>
        <w:t xml:space="preserve">. </w:t>
      </w:r>
      <w:r w:rsidRPr="008E4185">
        <w:rPr>
          <w:color w:val="000000" w:themeColor="text1"/>
          <w:highlight w:val="white"/>
        </w:rPr>
        <w:t>If a customer needs your solution for a short-term project, enable your reps to account for that upfront</w:t>
      </w:r>
      <w:r w:rsidR="00D80CF8">
        <w:rPr>
          <w:color w:val="000000" w:themeColor="text1"/>
          <w:highlight w:val="white"/>
        </w:rPr>
        <w:t xml:space="preserve">. </w:t>
      </w:r>
      <w:r w:rsidRPr="008E4185">
        <w:rPr>
          <w:color w:val="000000" w:themeColor="text1"/>
          <w:highlight w:val="white"/>
        </w:rPr>
        <w:t>This way, they can get commission for the sale as a one-time payment versus treating it as recurring and receiving nothing based on a 6-month debooking period.</w:t>
      </w:r>
    </w:p>
    <w:p w14:paraId="12868FFA" w14:textId="77777777" w:rsidR="008E4185" w:rsidRPr="008E4185" w:rsidRDefault="008E4185" w:rsidP="008E4185">
      <w:pPr>
        <w:pBdr>
          <w:top w:val="nil"/>
          <w:left w:val="nil"/>
          <w:bottom w:val="nil"/>
          <w:right w:val="nil"/>
          <w:between w:val="nil"/>
        </w:pBdr>
        <w:rPr>
          <w:color w:val="000000" w:themeColor="text1"/>
        </w:rPr>
      </w:pPr>
    </w:p>
    <w:p w14:paraId="056A3FE5" w14:textId="77777777" w:rsidR="008E4185" w:rsidRPr="008E4185" w:rsidRDefault="008E4185" w:rsidP="008E4185">
      <w:pPr>
        <w:pBdr>
          <w:top w:val="nil"/>
          <w:left w:val="nil"/>
          <w:bottom w:val="nil"/>
          <w:right w:val="nil"/>
          <w:between w:val="nil"/>
        </w:pBdr>
        <w:rPr>
          <w:color w:val="000000" w:themeColor="text1"/>
        </w:rPr>
      </w:pPr>
    </w:p>
    <w:p w14:paraId="2648CDBD" w14:textId="77777777" w:rsidR="008E4185" w:rsidRPr="008E4185" w:rsidRDefault="008E4185" w:rsidP="008E4185">
      <w:pPr>
        <w:pBdr>
          <w:top w:val="nil"/>
          <w:left w:val="nil"/>
          <w:bottom w:val="nil"/>
          <w:right w:val="nil"/>
          <w:between w:val="nil"/>
        </w:pBdr>
        <w:rPr>
          <w:color w:val="000000" w:themeColor="text1"/>
        </w:rPr>
      </w:pPr>
    </w:p>
    <w:p w14:paraId="51B84F60" w14:textId="77777777" w:rsidR="008E4185" w:rsidRPr="008E4185" w:rsidRDefault="008E4185" w:rsidP="008E4185">
      <w:pPr>
        <w:pBdr>
          <w:top w:val="nil"/>
          <w:left w:val="nil"/>
          <w:bottom w:val="nil"/>
          <w:right w:val="nil"/>
          <w:between w:val="nil"/>
        </w:pBdr>
        <w:rPr>
          <w:color w:val="000000" w:themeColor="text1"/>
          <w:highlight w:val="white"/>
        </w:rPr>
      </w:pPr>
    </w:p>
    <w:sectPr w:rsidR="008E4185" w:rsidRPr="008E4185">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579BCE" w14:textId="77777777" w:rsidR="000F6C4A" w:rsidRDefault="000F6C4A">
      <w:pPr>
        <w:spacing w:line="240" w:lineRule="auto"/>
      </w:pPr>
      <w:r>
        <w:separator/>
      </w:r>
    </w:p>
  </w:endnote>
  <w:endnote w:type="continuationSeparator" w:id="0">
    <w:p w14:paraId="2A008FFD" w14:textId="77777777" w:rsidR="000F6C4A" w:rsidRDefault="000F6C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6608AAF-BA3C-3042-836A-C1D829A95704}"/>
  </w:font>
  <w:font w:name="Courier New">
    <w:panose1 w:val="02070309020205020404"/>
    <w:charset w:val="00"/>
    <w:family w:val="modern"/>
    <w:pitch w:val="fixed"/>
    <w:sig w:usb0="E0002AFF" w:usb1="C0007843" w:usb2="00000009" w:usb3="00000000" w:csb0="000001FF" w:csb1="00000000"/>
    <w:embedRegular r:id="rId2" w:fontKey="{D5D25D04-060F-7944-8294-2C9C9DBF494F}"/>
  </w:font>
  <w:font w:name="Arial">
    <w:panose1 w:val="020B0604020202020204"/>
    <w:charset w:val="00"/>
    <w:family w:val="swiss"/>
    <w:pitch w:val="variable"/>
    <w:sig w:usb0="E0002AFF" w:usb1="C0007843" w:usb2="00000009" w:usb3="00000000" w:csb0="000001FF" w:csb1="00000000"/>
    <w:embedRegular r:id="rId3" w:fontKey="{FFDC13EB-66CE-674D-8422-777862EF0323}"/>
    <w:embedBold r:id="rId4" w:fontKey="{183D7299-787E-1546-A357-AB860EF66381}"/>
    <w:embedItalic r:id="rId5" w:fontKey="{3402B4CF-94E1-834A-BCC1-5A04BC26BB1A}"/>
    <w:embedBoldItalic r:id="rId6" w:fontKey="{7AEDDE0C-6785-DE47-B196-814DEF2A50D9}"/>
  </w:font>
  <w:font w:name="Times New Roman">
    <w:panose1 w:val="02020603050405020304"/>
    <w:charset w:val="00"/>
    <w:family w:val="roman"/>
    <w:pitch w:val="variable"/>
    <w:sig w:usb0="E0002EFF" w:usb1="C000785B" w:usb2="00000009" w:usb3="00000000" w:csb0="000001FF" w:csb1="00000000"/>
    <w:embedRegular r:id="rId7" w:fontKey="{E1461D38-7333-0A44-B9EB-B016D7DF5B96}"/>
    <w:embedBold r:id="rId8" w:fontKey="{8DBFDE62-C165-1C40-A6B4-9B9A6FFEEEBD}"/>
  </w:font>
  <w:font w:name="Symbol">
    <w:panose1 w:val="05050102010706020507"/>
    <w:charset w:val="02"/>
    <w:family w:val="decorative"/>
    <w:pitch w:val="variable"/>
    <w:sig w:usb0="00000003" w:usb1="10000000" w:usb2="00000000" w:usb3="00000000" w:csb0="80000001" w:csb1="00000000"/>
    <w:embedRegular r:id="rId9" w:fontKey="{72509E51-C064-E043-8618-0E6A9ED780E5}"/>
  </w:font>
  <w:font w:name="Wingdings">
    <w:panose1 w:val="05000000000000000000"/>
    <w:charset w:val="4D"/>
    <w:family w:val="decorative"/>
    <w:pitch w:val="variable"/>
    <w:sig w:usb0="00000003" w:usb1="00000000" w:usb2="00000000" w:usb3="00000000" w:csb0="80000001" w:csb1="00000000"/>
    <w:embedRegular r:id="rId10" w:fontKey="{360FE3B7-BCD1-6842-A988-82652BA68D53}"/>
  </w:font>
  <w:font w:name="Calibri">
    <w:panose1 w:val="020F0502020204030204"/>
    <w:charset w:val="00"/>
    <w:family w:val="swiss"/>
    <w:pitch w:val="variable"/>
    <w:sig w:usb0="E0002AFF" w:usb1="C000ACFF" w:usb2="00000009" w:usb3="00000000" w:csb0="000001FF" w:csb1="00000000"/>
    <w:embedRegular r:id="rId11" w:fontKey="{5A9B730C-A4B5-D440-B8F8-47F448D47BBA}"/>
    <w:embedBold r:id="rId12" w:fontKey="{410CE9BC-0795-0049-B20D-555AF6CE3EAE}"/>
  </w:font>
  <w:font w:name="Cambria">
    <w:panose1 w:val="02040503050406030204"/>
    <w:charset w:val="00"/>
    <w:family w:val="roman"/>
    <w:pitch w:val="variable"/>
    <w:sig w:usb0="E00002FF" w:usb1="400004FF" w:usb2="00000000" w:usb3="00000000" w:csb0="0000019F" w:csb1="00000000"/>
    <w:embedRegular r:id="rId13" w:fontKey="{18909E80-CD83-EF4D-AC61-D1A75B97B674}"/>
    <w:embedBold r:id="rId14" w:fontKey="{2DA7B970-291B-8549-BB16-48EC8C98448D}"/>
    <w:embedBoldItalic r:id="rId15" w:fontKey="{B88165E1-9C40-D740-8E56-B1B7B5EBE2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1CAD14" w14:textId="77777777" w:rsidR="000F6C4A" w:rsidRDefault="000F6C4A">
      <w:pPr>
        <w:spacing w:line="240" w:lineRule="auto"/>
      </w:pPr>
      <w:r>
        <w:separator/>
      </w:r>
    </w:p>
  </w:footnote>
  <w:footnote w:type="continuationSeparator" w:id="0">
    <w:p w14:paraId="4CB67BFC" w14:textId="77777777" w:rsidR="000F6C4A" w:rsidRDefault="000F6C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A0411" w14:textId="694F913F" w:rsidR="00BD583A" w:rsidRDefault="008F4D89" w:rsidP="008F4D89">
    <w:pPr>
      <w:jc w:val="right"/>
    </w:pPr>
    <w:r>
      <w:rPr>
        <w:noProof/>
      </w:rPr>
      <w:drawing>
        <wp:inline distT="0" distB="0" distL="0" distR="0" wp14:anchorId="2C8413C0" wp14:editId="2D9166DC">
          <wp:extent cx="1059490" cy="231820"/>
          <wp:effectExtent l="0" t="0" r="0" b="0"/>
          <wp:docPr id="1860948218" name="Picture 1" descr="A green lett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48218" name="Picture 1" descr="A green letter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10153" cy="2647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D5268"/>
    <w:multiLevelType w:val="multilevel"/>
    <w:tmpl w:val="516AB1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4A03EB0"/>
    <w:multiLevelType w:val="multilevel"/>
    <w:tmpl w:val="691A9F6C"/>
    <w:lvl w:ilvl="0">
      <w:start w:val="1"/>
      <w:numFmt w:val="decimal"/>
      <w:lvlText w:val="%1."/>
      <w:lvlJc w:val="left"/>
      <w:pPr>
        <w:ind w:left="360" w:hanging="360"/>
      </w:pPr>
      <w:rPr>
        <w:rFonts w:ascii="Arial" w:eastAsia="Arial" w:hAnsi="Arial" w:cs="Arial"/>
        <w:b w:val="0"/>
        <w:color w:val="000000"/>
        <w:sz w:val="22"/>
        <w:szCs w:val="22"/>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2" w15:restartNumberingAfterBreak="0">
    <w:nsid w:val="3858394F"/>
    <w:multiLevelType w:val="multilevel"/>
    <w:tmpl w:val="771CD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B421EFF"/>
    <w:multiLevelType w:val="multilevel"/>
    <w:tmpl w:val="A3DEE9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4" w15:restartNumberingAfterBreak="0">
    <w:nsid w:val="479736F5"/>
    <w:multiLevelType w:val="multilevel"/>
    <w:tmpl w:val="4AE225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E5C5A23"/>
    <w:multiLevelType w:val="multilevel"/>
    <w:tmpl w:val="86946416"/>
    <w:lvl w:ilvl="0">
      <w:start w:val="1"/>
      <w:numFmt w:val="decimal"/>
      <w:lvlText w:val="%1."/>
      <w:lvlJc w:val="left"/>
      <w:pPr>
        <w:ind w:left="360" w:hanging="360"/>
      </w:p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6" w15:restartNumberingAfterBreak="0">
    <w:nsid w:val="506C1279"/>
    <w:multiLevelType w:val="multilevel"/>
    <w:tmpl w:val="A410A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733025B"/>
    <w:multiLevelType w:val="hybridMultilevel"/>
    <w:tmpl w:val="061254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29528F5"/>
    <w:multiLevelType w:val="multilevel"/>
    <w:tmpl w:val="0F522D1C"/>
    <w:lvl w:ilvl="0">
      <w:start w:val="1"/>
      <w:numFmt w:val="decimal"/>
      <w:lvlText w:val="%1."/>
      <w:lvlJc w:val="left"/>
      <w:pPr>
        <w:ind w:left="360" w:hanging="360"/>
      </w:pPr>
      <w:rPr>
        <w:rFonts w:ascii="Arial" w:eastAsia="Arial" w:hAnsi="Arial" w:cs="Arial"/>
        <w:b w:val="0"/>
        <w:color w:val="000000"/>
        <w:sz w:val="20"/>
        <w:szCs w:val="20"/>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9" w15:restartNumberingAfterBreak="0">
    <w:nsid w:val="71F0456A"/>
    <w:multiLevelType w:val="multilevel"/>
    <w:tmpl w:val="5788774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AE9103F"/>
    <w:multiLevelType w:val="multilevel"/>
    <w:tmpl w:val="F03E0F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04420396">
    <w:abstractNumId w:val="4"/>
  </w:num>
  <w:num w:numId="2" w16cid:durableId="74132446">
    <w:abstractNumId w:val="8"/>
  </w:num>
  <w:num w:numId="3" w16cid:durableId="780227826">
    <w:abstractNumId w:val="1"/>
  </w:num>
  <w:num w:numId="4" w16cid:durableId="832330961">
    <w:abstractNumId w:val="0"/>
  </w:num>
  <w:num w:numId="5" w16cid:durableId="611061279">
    <w:abstractNumId w:val="6"/>
  </w:num>
  <w:num w:numId="6" w16cid:durableId="1259019843">
    <w:abstractNumId w:val="2"/>
  </w:num>
  <w:num w:numId="7" w16cid:durableId="1648167324">
    <w:abstractNumId w:val="9"/>
  </w:num>
  <w:num w:numId="8" w16cid:durableId="770394620">
    <w:abstractNumId w:val="3"/>
  </w:num>
  <w:num w:numId="9" w16cid:durableId="3174610">
    <w:abstractNumId w:val="5"/>
  </w:num>
  <w:num w:numId="10" w16cid:durableId="2043938158">
    <w:abstractNumId w:val="10"/>
  </w:num>
  <w:num w:numId="11" w16cid:durableId="16340991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83A"/>
    <w:rsid w:val="000256DF"/>
    <w:rsid w:val="00025D69"/>
    <w:rsid w:val="00026A6F"/>
    <w:rsid w:val="000F6C4A"/>
    <w:rsid w:val="00102C0D"/>
    <w:rsid w:val="00156F7B"/>
    <w:rsid w:val="00166C32"/>
    <w:rsid w:val="001B6400"/>
    <w:rsid w:val="0020254F"/>
    <w:rsid w:val="00276975"/>
    <w:rsid w:val="0028109F"/>
    <w:rsid w:val="002A2479"/>
    <w:rsid w:val="002D7E09"/>
    <w:rsid w:val="003500F8"/>
    <w:rsid w:val="00352AF7"/>
    <w:rsid w:val="003C3408"/>
    <w:rsid w:val="004377FC"/>
    <w:rsid w:val="004456AC"/>
    <w:rsid w:val="00475FD5"/>
    <w:rsid w:val="00487EAA"/>
    <w:rsid w:val="004B03E0"/>
    <w:rsid w:val="004B0A2F"/>
    <w:rsid w:val="00590F68"/>
    <w:rsid w:val="005C2C5F"/>
    <w:rsid w:val="00604CD2"/>
    <w:rsid w:val="00623A4B"/>
    <w:rsid w:val="00630BB3"/>
    <w:rsid w:val="00656724"/>
    <w:rsid w:val="0070350A"/>
    <w:rsid w:val="00703FE6"/>
    <w:rsid w:val="00710075"/>
    <w:rsid w:val="00793294"/>
    <w:rsid w:val="008B15E8"/>
    <w:rsid w:val="008E4185"/>
    <w:rsid w:val="008F4D89"/>
    <w:rsid w:val="0092283F"/>
    <w:rsid w:val="009651BC"/>
    <w:rsid w:val="00970602"/>
    <w:rsid w:val="009E3DB0"/>
    <w:rsid w:val="00A15103"/>
    <w:rsid w:val="00A245B5"/>
    <w:rsid w:val="00A32EE5"/>
    <w:rsid w:val="00A87ACB"/>
    <w:rsid w:val="00B10E3B"/>
    <w:rsid w:val="00B22082"/>
    <w:rsid w:val="00B464C3"/>
    <w:rsid w:val="00B51D3A"/>
    <w:rsid w:val="00BD583A"/>
    <w:rsid w:val="00CF1F06"/>
    <w:rsid w:val="00D1252A"/>
    <w:rsid w:val="00D1628A"/>
    <w:rsid w:val="00D168B0"/>
    <w:rsid w:val="00D40711"/>
    <w:rsid w:val="00D459FF"/>
    <w:rsid w:val="00D637A0"/>
    <w:rsid w:val="00D80CF8"/>
    <w:rsid w:val="00D85D15"/>
    <w:rsid w:val="00D864D3"/>
    <w:rsid w:val="00DB54E1"/>
    <w:rsid w:val="00DD17A0"/>
    <w:rsid w:val="00E253A7"/>
    <w:rsid w:val="00EB690B"/>
    <w:rsid w:val="00ED24F7"/>
    <w:rsid w:val="00F65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A0478"/>
  <w15:docId w15:val="{D017E40A-3BEE-204E-8B63-CFE610F51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D168B0"/>
    <w:pPr>
      <w:ind w:left="720"/>
      <w:contextualSpacing/>
    </w:pPr>
  </w:style>
  <w:style w:type="table" w:styleId="TableGrid">
    <w:name w:val="Table Grid"/>
    <w:basedOn w:val="TableNormal"/>
    <w:rsid w:val="00D40711"/>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40711"/>
    <w:pPr>
      <w:spacing w:line="240" w:lineRule="auto"/>
    </w:pPr>
    <w:rPr>
      <w:rFonts w:ascii="Times New Roman" w:eastAsia="Times New Roman" w:hAnsi="Times New Roman" w:cs="Times New Roman"/>
      <w:sz w:val="20"/>
      <w:szCs w:val="20"/>
      <w:lang w:val="en-US"/>
    </w:rPr>
  </w:style>
  <w:style w:type="paragraph" w:styleId="TOCHeading">
    <w:name w:val="TOC Heading"/>
    <w:basedOn w:val="Heading1"/>
    <w:next w:val="Normal"/>
    <w:uiPriority w:val="39"/>
    <w:unhideWhenUsed/>
    <w:qFormat/>
    <w:rsid w:val="008B15E8"/>
    <w:pPr>
      <w:spacing w:before="480" w:after="0"/>
      <w:outlineLvl w:val="9"/>
    </w:pPr>
    <w:rPr>
      <w:rFonts w:asciiTheme="majorHAnsi" w:eastAsiaTheme="majorEastAsia" w:hAnsiTheme="majorHAnsi" w:cstheme="majorBidi"/>
      <w:b/>
      <w:bCs/>
      <w:color w:val="365F91" w:themeColor="accent1" w:themeShade="BF"/>
      <w:sz w:val="28"/>
      <w:szCs w:val="28"/>
      <w:lang w:val="en-US"/>
    </w:rPr>
  </w:style>
  <w:style w:type="paragraph" w:styleId="TOC3">
    <w:name w:val="toc 3"/>
    <w:basedOn w:val="Normal"/>
    <w:next w:val="Normal"/>
    <w:autoRedefine/>
    <w:uiPriority w:val="39"/>
    <w:unhideWhenUsed/>
    <w:rsid w:val="008B15E8"/>
    <w:pPr>
      <w:ind w:left="440"/>
    </w:pPr>
    <w:rPr>
      <w:rFonts w:asciiTheme="minorHAnsi" w:hAnsiTheme="minorHAnsi"/>
      <w:sz w:val="20"/>
      <w:szCs w:val="20"/>
    </w:rPr>
  </w:style>
  <w:style w:type="paragraph" w:styleId="TOC2">
    <w:name w:val="toc 2"/>
    <w:basedOn w:val="Normal"/>
    <w:next w:val="Normal"/>
    <w:autoRedefine/>
    <w:uiPriority w:val="39"/>
    <w:unhideWhenUsed/>
    <w:rsid w:val="008B15E8"/>
    <w:pPr>
      <w:spacing w:before="120"/>
      <w:ind w:left="220"/>
    </w:pPr>
    <w:rPr>
      <w:rFonts w:asciiTheme="minorHAnsi" w:hAnsiTheme="minorHAnsi"/>
      <w:b/>
      <w:bCs/>
    </w:rPr>
  </w:style>
  <w:style w:type="character" w:styleId="Hyperlink">
    <w:name w:val="Hyperlink"/>
    <w:basedOn w:val="DefaultParagraphFont"/>
    <w:uiPriority w:val="99"/>
    <w:unhideWhenUsed/>
    <w:rsid w:val="008B15E8"/>
    <w:rPr>
      <w:color w:val="0000FF" w:themeColor="hyperlink"/>
      <w:u w:val="single"/>
    </w:rPr>
  </w:style>
  <w:style w:type="paragraph" w:styleId="TOC1">
    <w:name w:val="toc 1"/>
    <w:basedOn w:val="Normal"/>
    <w:next w:val="Normal"/>
    <w:autoRedefine/>
    <w:uiPriority w:val="39"/>
    <w:unhideWhenUsed/>
    <w:rsid w:val="008B15E8"/>
    <w:pPr>
      <w:spacing w:before="120"/>
    </w:pPr>
    <w:rPr>
      <w:rFonts w:asciiTheme="minorHAnsi" w:hAnsiTheme="minorHAnsi"/>
      <w:b/>
      <w:bCs/>
      <w:i/>
      <w:iCs/>
      <w:sz w:val="24"/>
      <w:szCs w:val="24"/>
    </w:rPr>
  </w:style>
  <w:style w:type="paragraph" w:styleId="TOC4">
    <w:name w:val="toc 4"/>
    <w:basedOn w:val="Normal"/>
    <w:next w:val="Normal"/>
    <w:autoRedefine/>
    <w:uiPriority w:val="39"/>
    <w:semiHidden/>
    <w:unhideWhenUsed/>
    <w:rsid w:val="008B15E8"/>
    <w:pPr>
      <w:ind w:left="660"/>
    </w:pPr>
    <w:rPr>
      <w:rFonts w:asciiTheme="minorHAnsi" w:hAnsiTheme="minorHAnsi"/>
      <w:sz w:val="20"/>
      <w:szCs w:val="20"/>
    </w:rPr>
  </w:style>
  <w:style w:type="paragraph" w:styleId="TOC5">
    <w:name w:val="toc 5"/>
    <w:basedOn w:val="Normal"/>
    <w:next w:val="Normal"/>
    <w:autoRedefine/>
    <w:uiPriority w:val="39"/>
    <w:semiHidden/>
    <w:unhideWhenUsed/>
    <w:rsid w:val="008B15E8"/>
    <w:pPr>
      <w:ind w:left="880"/>
    </w:pPr>
    <w:rPr>
      <w:rFonts w:asciiTheme="minorHAnsi" w:hAnsiTheme="minorHAnsi"/>
      <w:sz w:val="20"/>
      <w:szCs w:val="20"/>
    </w:rPr>
  </w:style>
  <w:style w:type="paragraph" w:styleId="TOC6">
    <w:name w:val="toc 6"/>
    <w:basedOn w:val="Normal"/>
    <w:next w:val="Normal"/>
    <w:autoRedefine/>
    <w:uiPriority w:val="39"/>
    <w:semiHidden/>
    <w:unhideWhenUsed/>
    <w:rsid w:val="008B15E8"/>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8B15E8"/>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8B15E8"/>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8B15E8"/>
    <w:pPr>
      <w:ind w:left="1760"/>
    </w:pPr>
    <w:rPr>
      <w:rFonts w:asciiTheme="minorHAnsi" w:hAnsiTheme="minorHAnsi"/>
      <w:sz w:val="20"/>
      <w:szCs w:val="20"/>
    </w:rPr>
  </w:style>
  <w:style w:type="paragraph" w:styleId="Header">
    <w:name w:val="header"/>
    <w:basedOn w:val="Normal"/>
    <w:link w:val="HeaderChar"/>
    <w:uiPriority w:val="99"/>
    <w:unhideWhenUsed/>
    <w:rsid w:val="008B15E8"/>
    <w:pPr>
      <w:tabs>
        <w:tab w:val="center" w:pos="4680"/>
        <w:tab w:val="right" w:pos="9360"/>
      </w:tabs>
      <w:spacing w:line="240" w:lineRule="auto"/>
    </w:pPr>
  </w:style>
  <w:style w:type="character" w:customStyle="1" w:styleId="HeaderChar">
    <w:name w:val="Header Char"/>
    <w:basedOn w:val="DefaultParagraphFont"/>
    <w:link w:val="Header"/>
    <w:uiPriority w:val="99"/>
    <w:rsid w:val="008B15E8"/>
  </w:style>
  <w:style w:type="paragraph" w:styleId="Footer">
    <w:name w:val="footer"/>
    <w:basedOn w:val="Normal"/>
    <w:link w:val="FooterChar"/>
    <w:uiPriority w:val="99"/>
    <w:unhideWhenUsed/>
    <w:rsid w:val="008B15E8"/>
    <w:pPr>
      <w:tabs>
        <w:tab w:val="center" w:pos="4680"/>
        <w:tab w:val="right" w:pos="9360"/>
      </w:tabs>
      <w:spacing w:line="240" w:lineRule="auto"/>
    </w:pPr>
  </w:style>
  <w:style w:type="character" w:customStyle="1" w:styleId="FooterChar">
    <w:name w:val="Footer Char"/>
    <w:basedOn w:val="DefaultParagraphFont"/>
    <w:link w:val="Footer"/>
    <w:uiPriority w:val="99"/>
    <w:rsid w:val="008B1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mark.gustaferro@scalevp.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DF898-5424-2745-9050-A76A1F17D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2714</Words>
  <Characters>15472</Characters>
  <Application>Microsoft Office Word</Application>
  <DocSecurity>0</DocSecurity>
  <Lines>128</Lines>
  <Paragraphs>36</Paragraphs>
  <ScaleCrop>false</ScaleCrop>
  <Company/>
  <LinksUpToDate>false</LinksUpToDate>
  <CharactersWithSpaces>18150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Gustaferro</cp:lastModifiedBy>
  <cp:revision>2</cp:revision>
  <dcterms:created xsi:type="dcterms:W3CDTF">2024-10-16T21:00:00Z</dcterms:created>
  <dcterms:modified xsi:type="dcterms:W3CDTF">2024-10-16T21:00:00Z</dcterms:modified>
</cp:coreProperties>
</file>