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9B92B" w14:textId="056E3D8A" w:rsidR="001B4663" w:rsidRPr="00C36D3F" w:rsidRDefault="00775E32" w:rsidP="007B0927">
      <w:pPr>
        <w:jc w:val="center"/>
      </w:pPr>
      <w:r w:rsidRPr="00C36D3F">
        <w:rPr>
          <w:noProof/>
        </w:rPr>
        <w:drawing>
          <wp:inline distT="0" distB="0" distL="0" distR="0" wp14:anchorId="713B8D14" wp14:editId="43822EF4">
            <wp:extent cx="5354726" cy="5354726"/>
            <wp:effectExtent l="0" t="0" r="0" b="0"/>
            <wp:docPr id="1553201045" name="Picture 2" descr="A logo with a dotted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01045" name="Picture 2" descr="A logo with a dotted design&#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368468" cy="5368468"/>
                    </a:xfrm>
                    <a:prstGeom prst="rect">
                      <a:avLst/>
                    </a:prstGeom>
                  </pic:spPr>
                </pic:pic>
              </a:graphicData>
            </a:graphic>
          </wp:inline>
        </w:drawing>
      </w:r>
    </w:p>
    <w:p w14:paraId="303AAF9A" w14:textId="19E2AC3C" w:rsidR="00345929" w:rsidRPr="00693B0A" w:rsidRDefault="00345929" w:rsidP="007B0927">
      <w:pPr>
        <w:jc w:val="center"/>
        <w:rPr>
          <w:b/>
          <w:bCs/>
          <w:color w:val="647D96"/>
          <w:sz w:val="40"/>
          <w:szCs w:val="44"/>
        </w:rPr>
      </w:pPr>
    </w:p>
    <w:tbl>
      <w:tblPr>
        <w:tblStyle w:val="TableGrid"/>
        <w:tblpPr w:leftFromText="180" w:rightFromText="180" w:vertAnchor="text" w:horzAnchor="margin" w:tblpY="139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12"/>
        <w:gridCol w:w="6594"/>
      </w:tblGrid>
      <w:tr w:rsidR="00646CF8" w:rsidRPr="00C36D3F" w14:paraId="1F73A9EE" w14:textId="77777777" w:rsidTr="00AA3A7C">
        <w:trPr>
          <w:trHeight w:hRule="exact" w:val="340"/>
        </w:trPr>
        <w:tc>
          <w:tcPr>
            <w:tcW w:w="2412" w:type="dxa"/>
            <w:shd w:val="clear" w:color="auto" w:fill="D9D9D9" w:themeFill="background1" w:themeFillShade="D9"/>
            <w:vAlign w:val="center"/>
          </w:tcPr>
          <w:p w14:paraId="4265444A" w14:textId="6AD5D7A2" w:rsidR="00646CF8" w:rsidRPr="00C36D3F" w:rsidRDefault="00646CF8" w:rsidP="00263BB7">
            <w:pPr>
              <w:rPr>
                <w:lang w:val="en-ZA"/>
              </w:rPr>
            </w:pPr>
            <w:r w:rsidRPr="00C36D3F">
              <w:rPr>
                <w:lang w:val="en-ZA"/>
              </w:rPr>
              <w:t>Name</w:t>
            </w:r>
          </w:p>
        </w:tc>
        <w:tc>
          <w:tcPr>
            <w:tcW w:w="6594" w:type="dxa"/>
            <w:vAlign w:val="center"/>
          </w:tcPr>
          <w:p w14:paraId="41F9991C" w14:textId="14C8D343" w:rsidR="00646CF8" w:rsidRPr="00B872D3" w:rsidRDefault="00174B1D" w:rsidP="00263BB7">
            <w:pPr>
              <w:rPr>
                <w:b/>
                <w:bCs/>
                <w:lang w:val="en-ZA"/>
              </w:rPr>
            </w:pPr>
            <w:proofErr w:type="spellStart"/>
            <w:r w:rsidRPr="00174B1D">
              <w:rPr>
                <w:b/>
                <w:bCs/>
                <w:color w:val="647D96"/>
                <w:lang w:val="en-ZA"/>
              </w:rPr>
              <w:t>xAI</w:t>
            </w:r>
            <w:proofErr w:type="spellEnd"/>
            <w:r w:rsidRPr="00174B1D">
              <w:rPr>
                <w:b/>
                <w:bCs/>
                <w:color w:val="647D96"/>
                <w:lang w:val="en-ZA"/>
              </w:rPr>
              <w:t xml:space="preserve"> </w:t>
            </w:r>
            <w:r w:rsidR="009F0E00">
              <w:rPr>
                <w:b/>
                <w:bCs/>
                <w:color w:val="647D96"/>
                <w:lang w:val="en-ZA"/>
              </w:rPr>
              <w:t xml:space="preserve">Global </w:t>
            </w:r>
            <w:r w:rsidR="00C16F2D">
              <w:rPr>
                <w:b/>
                <w:bCs/>
                <w:color w:val="647D96"/>
                <w:lang w:val="en-ZA"/>
              </w:rPr>
              <w:t>Balanced Plan</w:t>
            </w:r>
          </w:p>
        </w:tc>
      </w:tr>
      <w:tr w:rsidR="00AA3A7C" w:rsidRPr="00C36D3F" w14:paraId="56D81EB5" w14:textId="77777777" w:rsidTr="00AA3A7C">
        <w:trPr>
          <w:trHeight w:hRule="exact" w:val="340"/>
        </w:trPr>
        <w:tc>
          <w:tcPr>
            <w:tcW w:w="2412" w:type="dxa"/>
            <w:shd w:val="clear" w:color="auto" w:fill="D9D9D9" w:themeFill="background1" w:themeFillShade="D9"/>
            <w:vAlign w:val="center"/>
          </w:tcPr>
          <w:p w14:paraId="6041AC47" w14:textId="629964BC" w:rsidR="00AA3A7C" w:rsidRPr="00C36D3F" w:rsidRDefault="00345929" w:rsidP="00263BB7">
            <w:pPr>
              <w:rPr>
                <w:lang w:val="en-ZA"/>
              </w:rPr>
            </w:pPr>
            <w:r w:rsidRPr="00C36D3F">
              <w:rPr>
                <w:lang w:val="en-ZA"/>
              </w:rPr>
              <w:br w:type="page"/>
            </w:r>
            <w:r w:rsidR="00AA3A7C" w:rsidRPr="00C36D3F">
              <w:rPr>
                <w:lang w:val="en-ZA"/>
              </w:rPr>
              <w:t>Version</w:t>
            </w:r>
          </w:p>
        </w:tc>
        <w:tc>
          <w:tcPr>
            <w:tcW w:w="6594" w:type="dxa"/>
            <w:vAlign w:val="center"/>
          </w:tcPr>
          <w:p w14:paraId="527B14C1" w14:textId="77777777" w:rsidR="00AA3A7C" w:rsidRPr="00C36D3F" w:rsidRDefault="00AA3A7C" w:rsidP="00263BB7">
            <w:pPr>
              <w:rPr>
                <w:lang w:val="en-ZA"/>
              </w:rPr>
            </w:pPr>
            <w:r w:rsidRPr="00C36D3F">
              <w:rPr>
                <w:lang w:val="en-ZA"/>
              </w:rPr>
              <w:t>Version 1</w:t>
            </w:r>
          </w:p>
        </w:tc>
      </w:tr>
      <w:tr w:rsidR="00AA3A7C" w:rsidRPr="00C36D3F" w14:paraId="783A2BDB" w14:textId="77777777" w:rsidTr="00AA3A7C">
        <w:trPr>
          <w:trHeight w:hRule="exact" w:val="340"/>
        </w:trPr>
        <w:tc>
          <w:tcPr>
            <w:tcW w:w="2412" w:type="dxa"/>
            <w:shd w:val="clear" w:color="auto" w:fill="D9D9D9" w:themeFill="background1" w:themeFillShade="D9"/>
            <w:vAlign w:val="center"/>
          </w:tcPr>
          <w:p w14:paraId="373EA41D" w14:textId="77777777" w:rsidR="00AA3A7C" w:rsidRPr="00C36D3F" w:rsidRDefault="00AA3A7C" w:rsidP="00263BB7">
            <w:pPr>
              <w:rPr>
                <w:lang w:val="en-ZA"/>
              </w:rPr>
            </w:pPr>
            <w:r w:rsidRPr="00C36D3F">
              <w:rPr>
                <w:lang w:val="en-ZA"/>
              </w:rPr>
              <w:t>Last Review Date</w:t>
            </w:r>
          </w:p>
        </w:tc>
        <w:tc>
          <w:tcPr>
            <w:tcW w:w="6594" w:type="dxa"/>
            <w:vAlign w:val="center"/>
          </w:tcPr>
          <w:p w14:paraId="792AC0FA" w14:textId="07C37FA9" w:rsidR="00AA3A7C" w:rsidRPr="00C36D3F" w:rsidRDefault="00393CEB" w:rsidP="00263BB7">
            <w:pPr>
              <w:rPr>
                <w:lang w:val="en-ZA"/>
              </w:rPr>
            </w:pPr>
            <w:r>
              <w:rPr>
                <w:lang w:val="en-ZA"/>
              </w:rPr>
              <w:t>7 January 2026</w:t>
            </w:r>
          </w:p>
        </w:tc>
      </w:tr>
      <w:tr w:rsidR="00AA3A7C" w:rsidRPr="00C36D3F" w14:paraId="3D640428" w14:textId="77777777" w:rsidTr="00AA3A7C">
        <w:trPr>
          <w:trHeight w:hRule="exact" w:val="340"/>
        </w:trPr>
        <w:tc>
          <w:tcPr>
            <w:tcW w:w="2412" w:type="dxa"/>
            <w:shd w:val="clear" w:color="auto" w:fill="D9D9D9" w:themeFill="background1" w:themeFillShade="D9"/>
            <w:vAlign w:val="center"/>
          </w:tcPr>
          <w:p w14:paraId="6AB16645" w14:textId="77777777" w:rsidR="00AA3A7C" w:rsidRPr="00C36D3F" w:rsidRDefault="00AA3A7C" w:rsidP="00263BB7">
            <w:pPr>
              <w:rPr>
                <w:lang w:val="en-ZA"/>
              </w:rPr>
            </w:pPr>
            <w:r w:rsidRPr="00C36D3F">
              <w:rPr>
                <w:lang w:val="en-ZA"/>
              </w:rPr>
              <w:t>Frequency of Review</w:t>
            </w:r>
          </w:p>
        </w:tc>
        <w:tc>
          <w:tcPr>
            <w:tcW w:w="6594" w:type="dxa"/>
            <w:vAlign w:val="center"/>
          </w:tcPr>
          <w:p w14:paraId="32AD4CB2" w14:textId="686B47D7" w:rsidR="00AA3A7C" w:rsidRPr="00C36D3F" w:rsidRDefault="005E07BB" w:rsidP="00263BB7">
            <w:pPr>
              <w:rPr>
                <w:lang w:val="en-ZA"/>
              </w:rPr>
            </w:pPr>
            <w:r>
              <w:rPr>
                <w:lang w:val="en-ZA"/>
              </w:rPr>
              <w:t>Quarterly or Rebalance Triggers</w:t>
            </w:r>
          </w:p>
        </w:tc>
      </w:tr>
      <w:tr w:rsidR="00AA3A7C" w:rsidRPr="00C36D3F" w14:paraId="08AECE01" w14:textId="77777777" w:rsidTr="00AA3A7C">
        <w:trPr>
          <w:trHeight w:hRule="exact" w:val="340"/>
        </w:trPr>
        <w:tc>
          <w:tcPr>
            <w:tcW w:w="2412" w:type="dxa"/>
            <w:shd w:val="clear" w:color="auto" w:fill="D9D9D9" w:themeFill="background1" w:themeFillShade="D9"/>
            <w:vAlign w:val="center"/>
          </w:tcPr>
          <w:p w14:paraId="410054EA" w14:textId="77777777" w:rsidR="00AA3A7C" w:rsidRPr="00C36D3F" w:rsidRDefault="00AA3A7C" w:rsidP="00263BB7">
            <w:pPr>
              <w:rPr>
                <w:lang w:val="en-ZA"/>
              </w:rPr>
            </w:pPr>
            <w:r w:rsidRPr="00C36D3F">
              <w:rPr>
                <w:lang w:val="en-ZA"/>
              </w:rPr>
              <w:t>Next Review Date</w:t>
            </w:r>
          </w:p>
        </w:tc>
        <w:tc>
          <w:tcPr>
            <w:tcW w:w="6594" w:type="dxa"/>
            <w:vAlign w:val="center"/>
          </w:tcPr>
          <w:p w14:paraId="44C65B71" w14:textId="0639934F" w:rsidR="00AA3A7C" w:rsidRPr="00C36D3F" w:rsidRDefault="00365833" w:rsidP="00263BB7">
            <w:pPr>
              <w:rPr>
                <w:lang w:val="en-ZA"/>
              </w:rPr>
            </w:pPr>
            <w:r w:rsidRPr="00C36D3F">
              <w:rPr>
                <w:lang w:val="en-ZA"/>
              </w:rPr>
              <w:t xml:space="preserve">31 </w:t>
            </w:r>
            <w:r w:rsidR="005E07BB">
              <w:rPr>
                <w:lang w:val="en-ZA"/>
              </w:rPr>
              <w:t>March</w:t>
            </w:r>
            <w:r w:rsidRPr="00C36D3F">
              <w:rPr>
                <w:lang w:val="en-ZA"/>
              </w:rPr>
              <w:t xml:space="preserve"> 2026</w:t>
            </w:r>
          </w:p>
        </w:tc>
      </w:tr>
      <w:tr w:rsidR="00AA3A7C" w:rsidRPr="00C36D3F" w14:paraId="07D4384B" w14:textId="77777777" w:rsidTr="00AA3A7C">
        <w:trPr>
          <w:trHeight w:hRule="exact" w:val="340"/>
        </w:trPr>
        <w:tc>
          <w:tcPr>
            <w:tcW w:w="2412" w:type="dxa"/>
            <w:shd w:val="clear" w:color="auto" w:fill="D9D9D9" w:themeFill="background1" w:themeFillShade="D9"/>
            <w:vAlign w:val="center"/>
          </w:tcPr>
          <w:p w14:paraId="3521A892" w14:textId="77777777" w:rsidR="00AA3A7C" w:rsidRPr="00C36D3F" w:rsidRDefault="00AA3A7C" w:rsidP="00263BB7">
            <w:pPr>
              <w:rPr>
                <w:lang w:val="en-ZA"/>
              </w:rPr>
            </w:pPr>
            <w:r w:rsidRPr="00C36D3F">
              <w:rPr>
                <w:lang w:val="en-ZA"/>
              </w:rPr>
              <w:t>Plan Owner</w:t>
            </w:r>
          </w:p>
        </w:tc>
        <w:tc>
          <w:tcPr>
            <w:tcW w:w="6594" w:type="dxa"/>
            <w:vAlign w:val="center"/>
          </w:tcPr>
          <w:p w14:paraId="674CC952" w14:textId="77777777" w:rsidR="00AA3A7C" w:rsidRPr="00C36D3F" w:rsidRDefault="00AA3A7C" w:rsidP="00263BB7">
            <w:pPr>
              <w:rPr>
                <w:lang w:val="en-ZA"/>
              </w:rPr>
            </w:pPr>
            <w:r w:rsidRPr="00C36D3F">
              <w:rPr>
                <w:lang w:val="en-ZA"/>
              </w:rPr>
              <w:t>Windall Bekker</w:t>
            </w:r>
          </w:p>
        </w:tc>
      </w:tr>
      <w:tr w:rsidR="00AA3A7C" w:rsidRPr="00C36D3F" w14:paraId="77104945" w14:textId="77777777" w:rsidTr="00AA3A7C">
        <w:trPr>
          <w:trHeight w:hRule="exact" w:val="340"/>
        </w:trPr>
        <w:tc>
          <w:tcPr>
            <w:tcW w:w="2412" w:type="dxa"/>
            <w:shd w:val="clear" w:color="auto" w:fill="D9D9D9" w:themeFill="background1" w:themeFillShade="D9"/>
            <w:vAlign w:val="center"/>
          </w:tcPr>
          <w:p w14:paraId="73803F21" w14:textId="4A607A5E" w:rsidR="00AA3A7C" w:rsidRPr="00C36D3F" w:rsidRDefault="00AA3A7C" w:rsidP="00263BB7">
            <w:pPr>
              <w:rPr>
                <w:lang w:val="en-ZA"/>
              </w:rPr>
            </w:pPr>
            <w:r w:rsidRPr="00C36D3F">
              <w:rPr>
                <w:lang w:val="en-ZA"/>
              </w:rPr>
              <w:t xml:space="preserve">Responsible </w:t>
            </w:r>
            <w:r w:rsidR="00D61264">
              <w:rPr>
                <w:lang w:val="en-ZA"/>
              </w:rPr>
              <w:t>Team</w:t>
            </w:r>
            <w:r w:rsidRPr="00C36D3F">
              <w:rPr>
                <w:lang w:val="en-ZA"/>
              </w:rPr>
              <w:t xml:space="preserve"> Unit</w:t>
            </w:r>
          </w:p>
        </w:tc>
        <w:tc>
          <w:tcPr>
            <w:tcW w:w="6594" w:type="dxa"/>
            <w:vAlign w:val="center"/>
          </w:tcPr>
          <w:p w14:paraId="1A02C36F" w14:textId="28FFC490" w:rsidR="00AA3A7C" w:rsidRPr="00C36D3F" w:rsidRDefault="00D61264" w:rsidP="00263BB7">
            <w:pPr>
              <w:rPr>
                <w:lang w:val="en-ZA"/>
              </w:rPr>
            </w:pPr>
            <w:r>
              <w:rPr>
                <w:lang w:val="en-ZA"/>
              </w:rPr>
              <w:t>Investments</w:t>
            </w:r>
          </w:p>
        </w:tc>
      </w:tr>
    </w:tbl>
    <w:p w14:paraId="37F4618D" w14:textId="65C4E3EC" w:rsidR="00430027" w:rsidRPr="00C36D3F" w:rsidRDefault="006D3E10" w:rsidP="00F845F8">
      <w:pPr>
        <w:pStyle w:val="Heading1"/>
        <w:spacing w:after="120"/>
        <w:ind w:left="431" w:hanging="431"/>
        <w:rPr>
          <w:color w:val="647D96"/>
          <w:sz w:val="16"/>
          <w:szCs w:val="16"/>
        </w:rPr>
      </w:pPr>
      <w:r>
        <w:rPr>
          <w:color w:val="647D96"/>
        </w:rPr>
        <w:lastRenderedPageBreak/>
        <w:t>x</w:t>
      </w:r>
      <w:r w:rsidR="00365833" w:rsidRPr="00C36D3F">
        <w:rPr>
          <w:color w:val="647D96"/>
        </w:rPr>
        <w:t xml:space="preserve">AI </w:t>
      </w:r>
      <w:r>
        <w:rPr>
          <w:color w:val="647D96"/>
        </w:rPr>
        <w:t xml:space="preserve">global </w:t>
      </w:r>
      <w:r w:rsidR="00370E4E">
        <w:rPr>
          <w:color w:val="647D96"/>
        </w:rPr>
        <w:t>BALANCED PLAN</w:t>
      </w:r>
    </w:p>
    <w:p w14:paraId="5744E65F" w14:textId="1217B594" w:rsidR="00D30209" w:rsidRPr="00D30209" w:rsidRDefault="00F845F8" w:rsidP="00D30209">
      <w:pPr>
        <w:pStyle w:val="Heading2"/>
        <w:rPr>
          <w:lang w:val="en-ZA"/>
        </w:rPr>
      </w:pPr>
      <w:r w:rsidRPr="00C36D3F">
        <w:rPr>
          <w:lang w:val="en-ZA"/>
        </w:rPr>
        <w:t>Background</w:t>
      </w:r>
    </w:p>
    <w:p w14:paraId="0946A687" w14:textId="5AC5602B" w:rsidR="00D30209" w:rsidRPr="00D30209" w:rsidRDefault="00C6048A" w:rsidP="00D30209">
      <w:pPr>
        <w:rPr>
          <w:rFonts w:eastAsia="Times New Roman" w:cs="Times New Roman"/>
          <w:kern w:val="0"/>
          <w:lang w:eastAsia="af-ZA"/>
          <w14:ligatures w14:val="none"/>
        </w:rPr>
      </w:pPr>
      <w:r w:rsidRPr="00C6048A">
        <w:rPr>
          <w:rFonts w:eastAsia="Times New Roman" w:cs="Times New Roman"/>
          <w:kern w:val="0"/>
          <w:lang w:eastAsia="af-ZA"/>
          <w14:ligatures w14:val="none"/>
        </w:rPr>
        <w:t xml:space="preserve">We created the optimal global balanced </w:t>
      </w:r>
      <w:r w:rsidR="008F1B52">
        <w:rPr>
          <w:rFonts w:eastAsia="Times New Roman" w:cs="Times New Roman"/>
          <w:kern w:val="0"/>
          <w:lang w:eastAsia="af-ZA"/>
          <w14:ligatures w14:val="none"/>
        </w:rPr>
        <w:t>strategy</w:t>
      </w:r>
      <w:r w:rsidRPr="00C6048A">
        <w:rPr>
          <w:rFonts w:eastAsia="Times New Roman" w:cs="Times New Roman"/>
          <w:kern w:val="0"/>
          <w:lang w:eastAsia="af-ZA"/>
          <w14:ligatures w14:val="none"/>
        </w:rPr>
        <w:t xml:space="preserve"> using Satrix ETFs by allocating 60% to equities for growth (primarily Satrix MSCI World for broad developed market exposure, with tilts to Satrix Nasdaq 100 for tech growth and Satrix MSCI Emerging Markets for EM upside) and 40% to bonds for stability and income (split between Satrix Global Aggregate Bond for international fixed income diversification and Satrix SA Bond for local yield and inflation protection). This provides a moderate risk profile, reducing volatility compared to pure equity </w:t>
      </w:r>
      <w:r w:rsidR="008F1B52">
        <w:rPr>
          <w:rFonts w:eastAsia="Times New Roman" w:cs="Times New Roman"/>
          <w:kern w:val="0"/>
          <w:lang w:eastAsia="af-ZA"/>
          <w14:ligatures w14:val="none"/>
        </w:rPr>
        <w:t>strategy</w:t>
      </w:r>
      <w:r w:rsidR="008F1B52" w:rsidRPr="00C6048A">
        <w:rPr>
          <w:rFonts w:eastAsia="Times New Roman" w:cs="Times New Roman"/>
          <w:kern w:val="0"/>
          <w:lang w:eastAsia="af-ZA"/>
          <w14:ligatures w14:val="none"/>
        </w:rPr>
        <w:t>’s</w:t>
      </w:r>
      <w:r w:rsidRPr="00C6048A">
        <w:rPr>
          <w:rFonts w:eastAsia="Times New Roman" w:cs="Times New Roman"/>
          <w:kern w:val="0"/>
          <w:lang w:eastAsia="af-ZA"/>
          <w14:ligatures w14:val="none"/>
        </w:rPr>
        <w:t xml:space="preserve"> while maintaining global exposure and potential for capital appreciation</w:t>
      </w:r>
      <w:r w:rsidR="00D30209" w:rsidRPr="00D30209">
        <w:rPr>
          <w:rFonts w:eastAsia="Times New Roman" w:cs="Times New Roman"/>
          <w:kern w:val="0"/>
          <w:lang w:eastAsia="af-ZA"/>
          <w14:ligatures w14:val="none"/>
        </w:rPr>
        <w:t>.</w:t>
      </w:r>
    </w:p>
    <w:p w14:paraId="24C2085E" w14:textId="4B8E7843" w:rsidR="00D30209" w:rsidRPr="00266531" w:rsidRDefault="00D30209" w:rsidP="00266531">
      <w:pPr>
        <w:pStyle w:val="Heading2"/>
        <w:rPr>
          <w:lang w:val="en-ZA"/>
        </w:rPr>
      </w:pPr>
      <w:r w:rsidRPr="00266531">
        <w:rPr>
          <w:lang w:val="en-ZA"/>
        </w:rPr>
        <w:t>Key Updates</w:t>
      </w:r>
    </w:p>
    <w:p w14:paraId="079ED79F" w14:textId="4FA85FBF" w:rsidR="00D30209" w:rsidRPr="00D30209" w:rsidRDefault="00D30209" w:rsidP="00D30209">
      <w:pPr>
        <w:rPr>
          <w:rFonts w:eastAsia="Times New Roman" w:cs="Times New Roman"/>
          <w:kern w:val="0"/>
          <w:lang w:eastAsia="af-ZA"/>
          <w14:ligatures w14:val="none"/>
        </w:rPr>
      </w:pPr>
      <w:proofErr w:type="spellStart"/>
      <w:r w:rsidRPr="00D30209">
        <w:rPr>
          <w:rFonts w:eastAsia="Times New Roman" w:cs="Times New Roman"/>
          <w:kern w:val="0"/>
          <w:lang w:eastAsia="af-ZA"/>
          <w14:ligatures w14:val="none"/>
        </w:rPr>
        <w:t>Satrix</w:t>
      </w:r>
      <w:proofErr w:type="spellEnd"/>
      <w:r w:rsidRPr="00D30209">
        <w:rPr>
          <w:rFonts w:eastAsia="Times New Roman" w:cs="Times New Roman"/>
          <w:kern w:val="0"/>
          <w:lang w:eastAsia="af-ZA"/>
          <w14:ligatures w14:val="none"/>
        </w:rPr>
        <w:t xml:space="preserve"> ETF </w:t>
      </w:r>
      <w:proofErr w:type="spellStart"/>
      <w:r w:rsidRPr="00D30209">
        <w:rPr>
          <w:rFonts w:eastAsia="Times New Roman" w:cs="Times New Roman"/>
          <w:kern w:val="0"/>
          <w:lang w:eastAsia="af-ZA"/>
          <w14:ligatures w14:val="none"/>
        </w:rPr>
        <w:t>TERs</w:t>
      </w:r>
      <w:proofErr w:type="spellEnd"/>
      <w:r w:rsidRPr="00D30209">
        <w:rPr>
          <w:rFonts w:eastAsia="Times New Roman" w:cs="Times New Roman"/>
          <w:kern w:val="0"/>
          <w:lang w:eastAsia="af-ZA"/>
          <w14:ligatures w14:val="none"/>
        </w:rPr>
        <w:t xml:space="preserve"> </w:t>
      </w:r>
      <w:r w:rsidR="008F1B52">
        <w:rPr>
          <w:rFonts w:eastAsia="Times New Roman" w:cs="Times New Roman"/>
          <w:kern w:val="0"/>
          <w:lang w:eastAsia="af-ZA"/>
          <w14:ligatures w14:val="none"/>
        </w:rPr>
        <w:t xml:space="preserve">(Total Expense Ratio) </w:t>
      </w:r>
      <w:r w:rsidRPr="00D30209">
        <w:rPr>
          <w:rFonts w:eastAsia="Times New Roman" w:cs="Times New Roman"/>
          <w:kern w:val="0"/>
          <w:lang w:eastAsia="af-ZA"/>
          <w14:ligatures w14:val="none"/>
        </w:rPr>
        <w:t>remain competitive; no major changes noted as of January 7, 2026.</w:t>
      </w:r>
    </w:p>
    <w:p w14:paraId="0A9FAEB8" w14:textId="655AB9D3" w:rsidR="00D30209" w:rsidRPr="00561D0D" w:rsidRDefault="008F1B52" w:rsidP="00D30209">
      <w:pPr>
        <w:pStyle w:val="Heading2"/>
        <w:rPr>
          <w:lang w:val="en-ZA"/>
        </w:rPr>
      </w:pPr>
      <w:r>
        <w:rPr>
          <w:lang w:val="en-ZA"/>
        </w:rPr>
        <w:t>Strategy</w:t>
      </w:r>
      <w:r w:rsidR="00D30209" w:rsidRPr="00561D0D">
        <w:rPr>
          <w:lang w:val="en-ZA"/>
        </w:rPr>
        <w:t xml:space="preserve"> Overview</w:t>
      </w:r>
    </w:p>
    <w:p w14:paraId="6E31F6FB" w14:textId="77777777" w:rsidR="00853FC8" w:rsidRDefault="00853FC8" w:rsidP="00853FC8">
      <w:pPr>
        <w:pStyle w:val="ListParagraph"/>
        <w:numPr>
          <w:ilvl w:val="0"/>
          <w:numId w:val="9"/>
        </w:numPr>
      </w:pPr>
      <w:r>
        <w:t>Objective: Long-term capital growth and income with balanced global exposure, emphasizing diversification across equities and bonds to moderate risk.</w:t>
      </w:r>
    </w:p>
    <w:p w14:paraId="0DDCFB04" w14:textId="77777777" w:rsidR="00853FC8" w:rsidRDefault="00853FC8" w:rsidP="00853FC8">
      <w:pPr>
        <w:pStyle w:val="ListParagraph"/>
        <w:numPr>
          <w:ilvl w:val="0"/>
          <w:numId w:val="9"/>
        </w:numPr>
      </w:pPr>
      <w:r>
        <w:t>Weighted TER: Approximately 0.37%</w:t>
      </w:r>
    </w:p>
    <w:p w14:paraId="71968E5C" w14:textId="77777777" w:rsidR="00853FC8" w:rsidRDefault="00853FC8" w:rsidP="00853FC8">
      <w:pPr>
        <w:pStyle w:val="ListParagraph"/>
        <w:numPr>
          <w:ilvl w:val="0"/>
          <w:numId w:val="9"/>
        </w:numPr>
      </w:pPr>
      <w:r>
        <w:t>Rebalancing: Quarterly or as needed</w:t>
      </w:r>
    </w:p>
    <w:p w14:paraId="37E04B52" w14:textId="77777777" w:rsidR="00853FC8" w:rsidRDefault="00853FC8" w:rsidP="00853FC8">
      <w:pPr>
        <w:pStyle w:val="ListParagraph"/>
        <w:numPr>
          <w:ilvl w:val="0"/>
          <w:numId w:val="9"/>
        </w:numPr>
      </w:pPr>
      <w:r>
        <w:t>Risk Profile: Moderate (60% equity / 40% bond, currency risk)</w:t>
      </w:r>
    </w:p>
    <w:p w14:paraId="2D3F02C8" w14:textId="6A142ACB" w:rsidR="00D30209" w:rsidRPr="00B17C27" w:rsidRDefault="00853FC8" w:rsidP="00853FC8">
      <w:pPr>
        <w:pStyle w:val="ListParagraph"/>
        <w:numPr>
          <w:ilvl w:val="0"/>
          <w:numId w:val="9"/>
        </w:numPr>
      </w:pPr>
      <w:r>
        <w:t>Benchmark Comparison: Blends MSCI World with Nasdaq-100, Emerging Markets, and global/SA bond indices for enhanced stability and performance potential</w:t>
      </w:r>
      <w:r w:rsidR="00B17C27" w:rsidRPr="00B17C27">
        <w:t>.</w:t>
      </w:r>
    </w:p>
    <w:p w14:paraId="655A7890" w14:textId="53392FD6" w:rsidR="00D30209" w:rsidRPr="00561D0D" w:rsidRDefault="00D30209" w:rsidP="00561D0D">
      <w:pPr>
        <w:pStyle w:val="Heading1"/>
        <w:spacing w:after="120"/>
        <w:ind w:left="431" w:hanging="431"/>
        <w:rPr>
          <w:color w:val="647D96"/>
        </w:rPr>
      </w:pPr>
      <w:r w:rsidRPr="00561D0D">
        <w:rPr>
          <w:color w:val="647D96"/>
        </w:rPr>
        <w:lastRenderedPageBreak/>
        <w:t>CONSTITUENTS AND ALLOCATIONS</w:t>
      </w:r>
    </w:p>
    <w:tbl>
      <w:tblPr>
        <w:tblStyle w:val="TableGrid"/>
        <w:tblW w:w="9303" w:type="dxa"/>
        <w:tblLook w:val="04A0" w:firstRow="1" w:lastRow="0" w:firstColumn="1" w:lastColumn="0" w:noHBand="0" w:noVBand="1"/>
      </w:tblPr>
      <w:tblGrid>
        <w:gridCol w:w="2405"/>
        <w:gridCol w:w="1093"/>
        <w:gridCol w:w="661"/>
        <w:gridCol w:w="5144"/>
      </w:tblGrid>
      <w:tr w:rsidR="00AB76E4" w:rsidRPr="00853FC8" w14:paraId="63A8116B" w14:textId="77777777" w:rsidTr="002530F7">
        <w:tc>
          <w:tcPr>
            <w:tcW w:w="2405" w:type="dxa"/>
            <w:hideMark/>
          </w:tcPr>
          <w:p w14:paraId="4057674A" w14:textId="77777777" w:rsidR="00AB76E4" w:rsidRPr="00853FC8" w:rsidRDefault="00AB76E4" w:rsidP="00853FC8">
            <w:pPr>
              <w:spacing w:after="120"/>
              <w:rPr>
                <w:b/>
                <w:bCs/>
                <w:sz w:val="18"/>
                <w:szCs w:val="20"/>
              </w:rPr>
            </w:pPr>
            <w:r w:rsidRPr="00853FC8">
              <w:rPr>
                <w:b/>
                <w:bCs/>
                <w:sz w:val="18"/>
                <w:szCs w:val="20"/>
              </w:rPr>
              <w:t>Benchmark</w:t>
            </w:r>
          </w:p>
        </w:tc>
        <w:tc>
          <w:tcPr>
            <w:tcW w:w="1093" w:type="dxa"/>
            <w:hideMark/>
          </w:tcPr>
          <w:p w14:paraId="74225114" w14:textId="77777777" w:rsidR="00AB76E4" w:rsidRPr="00853FC8" w:rsidRDefault="00AB76E4" w:rsidP="00853FC8">
            <w:pPr>
              <w:spacing w:after="120"/>
              <w:rPr>
                <w:b/>
                <w:bCs/>
                <w:sz w:val="18"/>
                <w:szCs w:val="20"/>
              </w:rPr>
            </w:pPr>
            <w:r w:rsidRPr="00853FC8">
              <w:rPr>
                <w:b/>
                <w:bCs/>
                <w:sz w:val="18"/>
                <w:szCs w:val="20"/>
              </w:rPr>
              <w:t>Allocation</w:t>
            </w:r>
          </w:p>
        </w:tc>
        <w:tc>
          <w:tcPr>
            <w:tcW w:w="0" w:type="auto"/>
            <w:hideMark/>
          </w:tcPr>
          <w:p w14:paraId="638D6C3E" w14:textId="77777777" w:rsidR="00AB76E4" w:rsidRPr="00853FC8" w:rsidRDefault="00AB76E4" w:rsidP="00853FC8">
            <w:pPr>
              <w:spacing w:after="120"/>
              <w:rPr>
                <w:b/>
                <w:bCs/>
                <w:sz w:val="18"/>
                <w:szCs w:val="20"/>
              </w:rPr>
            </w:pPr>
            <w:r w:rsidRPr="00853FC8">
              <w:rPr>
                <w:b/>
                <w:bCs/>
                <w:sz w:val="18"/>
                <w:szCs w:val="20"/>
              </w:rPr>
              <w:t>TER</w:t>
            </w:r>
          </w:p>
        </w:tc>
        <w:tc>
          <w:tcPr>
            <w:tcW w:w="5144" w:type="dxa"/>
            <w:hideMark/>
          </w:tcPr>
          <w:p w14:paraId="437E69A7" w14:textId="77777777" w:rsidR="00AB76E4" w:rsidRPr="00853FC8" w:rsidRDefault="00AB76E4" w:rsidP="00853FC8">
            <w:pPr>
              <w:spacing w:after="120"/>
              <w:rPr>
                <w:b/>
                <w:bCs/>
                <w:sz w:val="18"/>
                <w:szCs w:val="20"/>
              </w:rPr>
            </w:pPr>
            <w:r w:rsidRPr="00853FC8">
              <w:rPr>
                <w:b/>
                <w:bCs/>
                <w:sz w:val="18"/>
                <w:szCs w:val="20"/>
              </w:rPr>
              <w:t>Key Rationale</w:t>
            </w:r>
          </w:p>
        </w:tc>
      </w:tr>
      <w:tr w:rsidR="00AB76E4" w:rsidRPr="00853FC8" w14:paraId="122825D9" w14:textId="77777777" w:rsidTr="002530F7">
        <w:tc>
          <w:tcPr>
            <w:tcW w:w="2405" w:type="dxa"/>
            <w:hideMark/>
          </w:tcPr>
          <w:p w14:paraId="3B4EB761" w14:textId="77777777" w:rsidR="00AB76E4" w:rsidRPr="00853FC8" w:rsidRDefault="00AB76E4" w:rsidP="00853FC8">
            <w:pPr>
              <w:spacing w:after="120"/>
              <w:rPr>
                <w:sz w:val="18"/>
                <w:szCs w:val="20"/>
              </w:rPr>
            </w:pPr>
            <w:r w:rsidRPr="00853FC8">
              <w:rPr>
                <w:sz w:val="18"/>
                <w:szCs w:val="20"/>
              </w:rPr>
              <w:t>MSCI World Index</w:t>
            </w:r>
          </w:p>
        </w:tc>
        <w:tc>
          <w:tcPr>
            <w:tcW w:w="1093" w:type="dxa"/>
            <w:hideMark/>
          </w:tcPr>
          <w:p w14:paraId="55DDDF80" w14:textId="77777777" w:rsidR="00AB76E4" w:rsidRPr="00853FC8" w:rsidRDefault="00AB76E4" w:rsidP="00853FC8">
            <w:pPr>
              <w:spacing w:after="120"/>
              <w:rPr>
                <w:sz w:val="18"/>
                <w:szCs w:val="20"/>
              </w:rPr>
            </w:pPr>
            <w:r w:rsidRPr="00853FC8">
              <w:rPr>
                <w:sz w:val="18"/>
                <w:szCs w:val="20"/>
              </w:rPr>
              <w:t>40%</w:t>
            </w:r>
          </w:p>
        </w:tc>
        <w:tc>
          <w:tcPr>
            <w:tcW w:w="0" w:type="auto"/>
            <w:hideMark/>
          </w:tcPr>
          <w:p w14:paraId="3BD4147B" w14:textId="77777777" w:rsidR="00AB76E4" w:rsidRPr="00853FC8" w:rsidRDefault="00AB76E4" w:rsidP="00853FC8">
            <w:pPr>
              <w:spacing w:after="120"/>
              <w:rPr>
                <w:sz w:val="18"/>
                <w:szCs w:val="20"/>
              </w:rPr>
            </w:pPr>
            <w:r w:rsidRPr="00853FC8">
              <w:rPr>
                <w:sz w:val="18"/>
                <w:szCs w:val="20"/>
              </w:rPr>
              <w:t>0.35%</w:t>
            </w:r>
          </w:p>
        </w:tc>
        <w:tc>
          <w:tcPr>
            <w:tcW w:w="5144" w:type="dxa"/>
            <w:hideMark/>
          </w:tcPr>
          <w:p w14:paraId="52228A80" w14:textId="77777777" w:rsidR="00AB76E4" w:rsidRPr="00853FC8" w:rsidRDefault="00AB76E4" w:rsidP="002530F7">
            <w:pPr>
              <w:spacing w:after="120" w:line="276" w:lineRule="auto"/>
              <w:rPr>
                <w:sz w:val="18"/>
                <w:szCs w:val="20"/>
              </w:rPr>
            </w:pPr>
            <w:r w:rsidRPr="00853FC8">
              <w:rPr>
                <w:sz w:val="18"/>
                <w:szCs w:val="20"/>
              </w:rPr>
              <w:t>Core equity holding for broad developed markets exposure (~70% US, rest Europe/Japan); provides stability and diversification.</w:t>
            </w:r>
          </w:p>
        </w:tc>
      </w:tr>
      <w:tr w:rsidR="00AB76E4" w:rsidRPr="00853FC8" w14:paraId="3F1FF828" w14:textId="77777777" w:rsidTr="002530F7">
        <w:tc>
          <w:tcPr>
            <w:tcW w:w="2405" w:type="dxa"/>
            <w:hideMark/>
          </w:tcPr>
          <w:p w14:paraId="45DC3B22" w14:textId="531E948D" w:rsidR="00AB76E4" w:rsidRPr="00853FC8" w:rsidRDefault="00670A63" w:rsidP="00853FC8">
            <w:pPr>
              <w:spacing w:after="120"/>
              <w:rPr>
                <w:sz w:val="18"/>
                <w:szCs w:val="20"/>
              </w:rPr>
            </w:pPr>
            <w:r>
              <w:rPr>
                <w:sz w:val="18"/>
                <w:szCs w:val="20"/>
              </w:rPr>
              <w:t>S&amp;P 500 index</w:t>
            </w:r>
          </w:p>
        </w:tc>
        <w:tc>
          <w:tcPr>
            <w:tcW w:w="1093" w:type="dxa"/>
            <w:hideMark/>
          </w:tcPr>
          <w:p w14:paraId="2CD56696" w14:textId="77777777" w:rsidR="00AB76E4" w:rsidRPr="00853FC8" w:rsidRDefault="00AB76E4" w:rsidP="00853FC8">
            <w:pPr>
              <w:spacing w:after="120"/>
              <w:rPr>
                <w:sz w:val="18"/>
                <w:szCs w:val="20"/>
              </w:rPr>
            </w:pPr>
            <w:r w:rsidRPr="00853FC8">
              <w:rPr>
                <w:sz w:val="18"/>
                <w:szCs w:val="20"/>
              </w:rPr>
              <w:t>10%</w:t>
            </w:r>
          </w:p>
        </w:tc>
        <w:tc>
          <w:tcPr>
            <w:tcW w:w="0" w:type="auto"/>
            <w:hideMark/>
          </w:tcPr>
          <w:p w14:paraId="11CD5D2A" w14:textId="77777777" w:rsidR="00AB76E4" w:rsidRPr="00853FC8" w:rsidRDefault="00AB76E4" w:rsidP="00853FC8">
            <w:pPr>
              <w:spacing w:after="120"/>
              <w:rPr>
                <w:sz w:val="18"/>
                <w:szCs w:val="20"/>
              </w:rPr>
            </w:pPr>
            <w:r w:rsidRPr="00853FC8">
              <w:rPr>
                <w:sz w:val="18"/>
                <w:szCs w:val="20"/>
              </w:rPr>
              <w:t>0.48%</w:t>
            </w:r>
          </w:p>
        </w:tc>
        <w:tc>
          <w:tcPr>
            <w:tcW w:w="5144" w:type="dxa"/>
            <w:hideMark/>
          </w:tcPr>
          <w:p w14:paraId="0E7BD17A" w14:textId="77777777" w:rsidR="00AB76E4" w:rsidRPr="00853FC8" w:rsidRDefault="00AB76E4" w:rsidP="002530F7">
            <w:pPr>
              <w:spacing w:after="120" w:line="276" w:lineRule="auto"/>
              <w:rPr>
                <w:sz w:val="18"/>
                <w:szCs w:val="20"/>
              </w:rPr>
            </w:pPr>
            <w:r w:rsidRPr="00853FC8">
              <w:rPr>
                <w:sz w:val="18"/>
                <w:szCs w:val="20"/>
              </w:rPr>
              <w:t>Growth tilt via leading US tech innovators; boosts returns in bull markets.</w:t>
            </w:r>
          </w:p>
        </w:tc>
      </w:tr>
      <w:tr w:rsidR="00AB76E4" w:rsidRPr="00853FC8" w14:paraId="113F0395" w14:textId="77777777" w:rsidTr="002530F7">
        <w:tc>
          <w:tcPr>
            <w:tcW w:w="2405" w:type="dxa"/>
            <w:hideMark/>
          </w:tcPr>
          <w:p w14:paraId="13EC6128" w14:textId="77777777" w:rsidR="00AB76E4" w:rsidRPr="00853FC8" w:rsidRDefault="00AB76E4" w:rsidP="00853FC8">
            <w:pPr>
              <w:spacing w:after="120"/>
              <w:rPr>
                <w:sz w:val="18"/>
                <w:szCs w:val="20"/>
              </w:rPr>
            </w:pPr>
            <w:r w:rsidRPr="00853FC8">
              <w:rPr>
                <w:sz w:val="18"/>
                <w:szCs w:val="20"/>
              </w:rPr>
              <w:t>MSCI Emerging Markets Index</w:t>
            </w:r>
          </w:p>
        </w:tc>
        <w:tc>
          <w:tcPr>
            <w:tcW w:w="1093" w:type="dxa"/>
            <w:hideMark/>
          </w:tcPr>
          <w:p w14:paraId="6E57E7F6" w14:textId="77777777" w:rsidR="00AB76E4" w:rsidRPr="00853FC8" w:rsidRDefault="00AB76E4" w:rsidP="00853FC8">
            <w:pPr>
              <w:spacing w:after="120"/>
              <w:rPr>
                <w:sz w:val="18"/>
                <w:szCs w:val="20"/>
              </w:rPr>
            </w:pPr>
            <w:r w:rsidRPr="00853FC8">
              <w:rPr>
                <w:sz w:val="18"/>
                <w:szCs w:val="20"/>
              </w:rPr>
              <w:t>10%</w:t>
            </w:r>
          </w:p>
        </w:tc>
        <w:tc>
          <w:tcPr>
            <w:tcW w:w="0" w:type="auto"/>
            <w:hideMark/>
          </w:tcPr>
          <w:p w14:paraId="3D6ABD8E" w14:textId="77777777" w:rsidR="00AB76E4" w:rsidRPr="00853FC8" w:rsidRDefault="00AB76E4" w:rsidP="00853FC8">
            <w:pPr>
              <w:spacing w:after="120"/>
              <w:rPr>
                <w:sz w:val="18"/>
                <w:szCs w:val="20"/>
              </w:rPr>
            </w:pPr>
            <w:r w:rsidRPr="00853FC8">
              <w:rPr>
                <w:sz w:val="18"/>
                <w:szCs w:val="20"/>
              </w:rPr>
              <w:t>0.40%</w:t>
            </w:r>
          </w:p>
        </w:tc>
        <w:tc>
          <w:tcPr>
            <w:tcW w:w="5144" w:type="dxa"/>
            <w:hideMark/>
          </w:tcPr>
          <w:p w14:paraId="42F6CDB9" w14:textId="77777777" w:rsidR="00AB76E4" w:rsidRPr="00853FC8" w:rsidRDefault="00AB76E4" w:rsidP="002530F7">
            <w:pPr>
              <w:spacing w:after="120" w:line="276" w:lineRule="auto"/>
              <w:rPr>
                <w:sz w:val="18"/>
                <w:szCs w:val="20"/>
              </w:rPr>
            </w:pPr>
            <w:r w:rsidRPr="00853FC8">
              <w:rPr>
                <w:sz w:val="18"/>
                <w:szCs w:val="20"/>
              </w:rPr>
              <w:t>Adds high-growth potential from emerging economies (e.g., China, India); enhances diversification.</w:t>
            </w:r>
          </w:p>
        </w:tc>
      </w:tr>
      <w:tr w:rsidR="00AB76E4" w:rsidRPr="00853FC8" w14:paraId="7A7B442B" w14:textId="77777777" w:rsidTr="002530F7">
        <w:tc>
          <w:tcPr>
            <w:tcW w:w="2405" w:type="dxa"/>
            <w:hideMark/>
          </w:tcPr>
          <w:p w14:paraId="770670EB" w14:textId="77777777" w:rsidR="00AB76E4" w:rsidRPr="00853FC8" w:rsidRDefault="00AB76E4" w:rsidP="00702349">
            <w:pPr>
              <w:spacing w:after="120" w:line="240" w:lineRule="auto"/>
              <w:rPr>
                <w:sz w:val="18"/>
                <w:szCs w:val="20"/>
              </w:rPr>
            </w:pPr>
            <w:r w:rsidRPr="00853FC8">
              <w:rPr>
                <w:sz w:val="18"/>
                <w:szCs w:val="20"/>
              </w:rPr>
              <w:t>Bloomberg Global Aggregate Bond Index</w:t>
            </w:r>
          </w:p>
        </w:tc>
        <w:tc>
          <w:tcPr>
            <w:tcW w:w="1093" w:type="dxa"/>
            <w:hideMark/>
          </w:tcPr>
          <w:p w14:paraId="4D26E7DF" w14:textId="77777777" w:rsidR="00AB76E4" w:rsidRPr="00853FC8" w:rsidRDefault="00AB76E4" w:rsidP="00853FC8">
            <w:pPr>
              <w:spacing w:after="120"/>
              <w:rPr>
                <w:sz w:val="18"/>
                <w:szCs w:val="20"/>
              </w:rPr>
            </w:pPr>
            <w:r w:rsidRPr="00853FC8">
              <w:rPr>
                <w:sz w:val="18"/>
                <w:szCs w:val="20"/>
              </w:rPr>
              <w:t>20%</w:t>
            </w:r>
          </w:p>
        </w:tc>
        <w:tc>
          <w:tcPr>
            <w:tcW w:w="0" w:type="auto"/>
            <w:hideMark/>
          </w:tcPr>
          <w:p w14:paraId="689A43A1" w14:textId="77777777" w:rsidR="00AB76E4" w:rsidRPr="00853FC8" w:rsidRDefault="00AB76E4" w:rsidP="00853FC8">
            <w:pPr>
              <w:spacing w:after="120"/>
              <w:rPr>
                <w:sz w:val="18"/>
                <w:szCs w:val="20"/>
              </w:rPr>
            </w:pPr>
            <w:r w:rsidRPr="00853FC8">
              <w:rPr>
                <w:sz w:val="18"/>
                <w:szCs w:val="20"/>
              </w:rPr>
              <w:t>0.40%</w:t>
            </w:r>
          </w:p>
        </w:tc>
        <w:tc>
          <w:tcPr>
            <w:tcW w:w="5144" w:type="dxa"/>
            <w:hideMark/>
          </w:tcPr>
          <w:p w14:paraId="01216DBB" w14:textId="77777777" w:rsidR="00AB76E4" w:rsidRPr="00853FC8" w:rsidRDefault="00AB76E4" w:rsidP="002530F7">
            <w:pPr>
              <w:spacing w:after="120" w:line="276" w:lineRule="auto"/>
              <w:rPr>
                <w:sz w:val="18"/>
                <w:szCs w:val="20"/>
              </w:rPr>
            </w:pPr>
            <w:r w:rsidRPr="00853FC8">
              <w:rPr>
                <w:sz w:val="18"/>
                <w:szCs w:val="20"/>
              </w:rPr>
              <w:t>Global bond exposure for income and hedging against equity volatility; includes developed market bonds.</w:t>
            </w:r>
          </w:p>
        </w:tc>
      </w:tr>
      <w:tr w:rsidR="00AB76E4" w:rsidRPr="00853FC8" w14:paraId="4024C01E" w14:textId="77777777" w:rsidTr="002530F7">
        <w:tc>
          <w:tcPr>
            <w:tcW w:w="2405" w:type="dxa"/>
            <w:hideMark/>
          </w:tcPr>
          <w:p w14:paraId="7A9A0535" w14:textId="77777777" w:rsidR="00AB76E4" w:rsidRPr="00853FC8" w:rsidRDefault="00AB76E4" w:rsidP="00853FC8">
            <w:pPr>
              <w:spacing w:after="120"/>
              <w:rPr>
                <w:sz w:val="18"/>
                <w:szCs w:val="20"/>
              </w:rPr>
            </w:pPr>
            <w:r w:rsidRPr="00853FC8">
              <w:rPr>
                <w:sz w:val="18"/>
                <w:szCs w:val="20"/>
              </w:rPr>
              <w:t>FTSE/JSE All Bond Index</w:t>
            </w:r>
          </w:p>
        </w:tc>
        <w:tc>
          <w:tcPr>
            <w:tcW w:w="1093" w:type="dxa"/>
            <w:hideMark/>
          </w:tcPr>
          <w:p w14:paraId="01C6B07A" w14:textId="77777777" w:rsidR="00AB76E4" w:rsidRPr="00853FC8" w:rsidRDefault="00AB76E4" w:rsidP="00853FC8">
            <w:pPr>
              <w:spacing w:after="120"/>
              <w:rPr>
                <w:sz w:val="18"/>
                <w:szCs w:val="20"/>
              </w:rPr>
            </w:pPr>
            <w:r w:rsidRPr="00853FC8">
              <w:rPr>
                <w:sz w:val="18"/>
                <w:szCs w:val="20"/>
              </w:rPr>
              <w:t>20%</w:t>
            </w:r>
          </w:p>
        </w:tc>
        <w:tc>
          <w:tcPr>
            <w:tcW w:w="0" w:type="auto"/>
            <w:hideMark/>
          </w:tcPr>
          <w:p w14:paraId="3E6CF34A" w14:textId="77777777" w:rsidR="00AB76E4" w:rsidRPr="00853FC8" w:rsidRDefault="00AB76E4" w:rsidP="00853FC8">
            <w:pPr>
              <w:spacing w:after="120"/>
              <w:rPr>
                <w:sz w:val="18"/>
                <w:szCs w:val="20"/>
              </w:rPr>
            </w:pPr>
            <w:r w:rsidRPr="00853FC8">
              <w:rPr>
                <w:sz w:val="18"/>
                <w:szCs w:val="20"/>
              </w:rPr>
              <w:t>0.32%</w:t>
            </w:r>
          </w:p>
        </w:tc>
        <w:tc>
          <w:tcPr>
            <w:tcW w:w="5144" w:type="dxa"/>
            <w:hideMark/>
          </w:tcPr>
          <w:p w14:paraId="74BE35D9" w14:textId="77777777" w:rsidR="00AB76E4" w:rsidRPr="00853FC8" w:rsidRDefault="00AB76E4" w:rsidP="002530F7">
            <w:pPr>
              <w:spacing w:after="120" w:line="276" w:lineRule="auto"/>
              <w:rPr>
                <w:sz w:val="18"/>
                <w:szCs w:val="20"/>
              </w:rPr>
            </w:pPr>
            <w:r w:rsidRPr="00853FC8">
              <w:rPr>
                <w:sz w:val="18"/>
                <w:szCs w:val="20"/>
              </w:rPr>
              <w:t>Local SA government bonds for yield and inflation protection; reduces currency risk for ZAR investors.</w:t>
            </w:r>
          </w:p>
        </w:tc>
      </w:tr>
    </w:tbl>
    <w:p w14:paraId="0F242052" w14:textId="77777777" w:rsidR="00853FC8" w:rsidRDefault="00853FC8" w:rsidP="004747F0">
      <w:pPr>
        <w:rPr>
          <w:lang w:eastAsia="af-ZA"/>
        </w:rPr>
      </w:pPr>
    </w:p>
    <w:p w14:paraId="515A7C9A" w14:textId="52076DC1" w:rsidR="00D30209" w:rsidRPr="00792A93" w:rsidRDefault="00D30209" w:rsidP="00792A93">
      <w:pPr>
        <w:pStyle w:val="Heading2"/>
        <w:rPr>
          <w:lang w:val="en-ZA"/>
        </w:rPr>
      </w:pPr>
      <w:r w:rsidRPr="00792A93">
        <w:rPr>
          <w:lang w:val="en-ZA"/>
        </w:rPr>
        <w:t>Why This Allocation</w:t>
      </w:r>
    </w:p>
    <w:p w14:paraId="4C7A8C4C" w14:textId="77777777" w:rsidR="00E21931" w:rsidRDefault="00E21931" w:rsidP="00E21931">
      <w:pPr>
        <w:pStyle w:val="ListParagraph"/>
        <w:numPr>
          <w:ilvl w:val="0"/>
          <w:numId w:val="10"/>
        </w:numPr>
      </w:pPr>
      <w:r>
        <w:t>Global Balance: 60% equities for growth potential, 40% bonds for income and risk reduction, achieving ~50% effective US/international exposure while incorporating EM and local elements.</w:t>
      </w:r>
    </w:p>
    <w:p w14:paraId="14651987" w14:textId="77777777" w:rsidR="00E21931" w:rsidRDefault="00E21931" w:rsidP="00E21931">
      <w:pPr>
        <w:pStyle w:val="ListParagraph"/>
        <w:numPr>
          <w:ilvl w:val="0"/>
          <w:numId w:val="10"/>
        </w:numPr>
      </w:pPr>
      <w:r>
        <w:t>Stability and Growth: MSCI World offers diversified equity coverage, Nasdaq adds tech upside, EM provides emerging market potential, while bonds (global and SA) buffer downturns and provide steady returns.</w:t>
      </w:r>
    </w:p>
    <w:p w14:paraId="05910253" w14:textId="77777777" w:rsidR="00E21931" w:rsidRDefault="00E21931" w:rsidP="00E21931">
      <w:pPr>
        <w:pStyle w:val="ListParagraph"/>
        <w:numPr>
          <w:ilvl w:val="0"/>
          <w:numId w:val="10"/>
        </w:numPr>
      </w:pPr>
      <w:r>
        <w:t>Optimized for Performance: Based on historical data, this mix aims for moderate returns (higher than pure bonds, lower volatility than full equities), with bonds mitigating losses in volatile periods.</w:t>
      </w:r>
    </w:p>
    <w:p w14:paraId="73881986" w14:textId="409BA330" w:rsidR="00D30209" w:rsidRPr="0022484C" w:rsidRDefault="00E21931" w:rsidP="00E21931">
      <w:pPr>
        <w:pStyle w:val="ListParagraph"/>
        <w:numPr>
          <w:ilvl w:val="0"/>
          <w:numId w:val="10"/>
        </w:numPr>
      </w:pPr>
      <w:r>
        <w:t xml:space="preserve">Overall: Balanced global </w:t>
      </w:r>
      <w:r w:rsidR="008F1B52">
        <w:t>strategy</w:t>
      </w:r>
      <w:r>
        <w:t>, less aggressive than equity-only versions, targeting sustainable growth with income for moderate-risk investors</w:t>
      </w:r>
    </w:p>
    <w:p w14:paraId="47482ED4" w14:textId="3D4B195E" w:rsidR="00D30209" w:rsidRDefault="00D30209" w:rsidP="00792A93">
      <w:pPr>
        <w:pStyle w:val="Heading1"/>
        <w:spacing w:after="120"/>
        <w:ind w:left="431" w:hanging="431"/>
        <w:rPr>
          <w:color w:val="647D96"/>
        </w:rPr>
      </w:pPr>
      <w:r w:rsidRPr="00792A93">
        <w:rPr>
          <w:color w:val="647D96"/>
        </w:rPr>
        <w:lastRenderedPageBreak/>
        <w:t>RISK AND RETURNS</w:t>
      </w:r>
    </w:p>
    <w:p w14:paraId="189B9594" w14:textId="26AB9093" w:rsidR="006D3E10" w:rsidRPr="006D3E10" w:rsidRDefault="006D3E10" w:rsidP="006D3E10">
      <w:pPr>
        <w:pStyle w:val="Heading2"/>
      </w:pPr>
      <w:r>
        <w:t xml:space="preserve">xAI Global Multi Assset </w:t>
      </w:r>
      <w:r w:rsidR="008F1B52">
        <w:t>Strategy</w:t>
      </w:r>
    </w:p>
    <w:tbl>
      <w:tblPr>
        <w:tblStyle w:val="TableGrid"/>
        <w:tblW w:w="0" w:type="auto"/>
        <w:tblLook w:val="04A0" w:firstRow="1" w:lastRow="0" w:firstColumn="1" w:lastColumn="0" w:noHBand="0" w:noVBand="1"/>
      </w:tblPr>
      <w:tblGrid>
        <w:gridCol w:w="1725"/>
        <w:gridCol w:w="2431"/>
        <w:gridCol w:w="4860"/>
      </w:tblGrid>
      <w:tr w:rsidR="00BA5E33" w:rsidRPr="00BA5E33" w14:paraId="6985218E" w14:textId="77777777" w:rsidTr="00BA5E33">
        <w:tc>
          <w:tcPr>
            <w:tcW w:w="0" w:type="auto"/>
            <w:hideMark/>
          </w:tcPr>
          <w:p w14:paraId="1A81764F" w14:textId="77777777" w:rsidR="00BA5E33" w:rsidRPr="00BA5E33" w:rsidRDefault="00BA5E33" w:rsidP="00BA5E33">
            <w:pPr>
              <w:spacing w:after="120"/>
              <w:rPr>
                <w:b/>
                <w:bCs/>
                <w:sz w:val="18"/>
                <w:szCs w:val="20"/>
              </w:rPr>
            </w:pPr>
            <w:r w:rsidRPr="00BA5E33">
              <w:rPr>
                <w:b/>
                <w:bCs/>
                <w:sz w:val="18"/>
                <w:szCs w:val="20"/>
              </w:rPr>
              <w:t>Period</w:t>
            </w:r>
          </w:p>
        </w:tc>
        <w:tc>
          <w:tcPr>
            <w:tcW w:w="0" w:type="auto"/>
            <w:hideMark/>
          </w:tcPr>
          <w:p w14:paraId="73A48372" w14:textId="173ACB15" w:rsidR="00BA5E33" w:rsidRPr="00BA5E33" w:rsidRDefault="008F1B52" w:rsidP="00BA5E33">
            <w:pPr>
              <w:spacing w:after="120"/>
              <w:rPr>
                <w:b/>
                <w:bCs/>
                <w:sz w:val="18"/>
                <w:szCs w:val="20"/>
              </w:rPr>
            </w:pPr>
            <w:r>
              <w:rPr>
                <w:b/>
                <w:bCs/>
                <w:sz w:val="18"/>
                <w:szCs w:val="20"/>
              </w:rPr>
              <w:t>Strategy</w:t>
            </w:r>
            <w:r w:rsidR="00BA5E33" w:rsidRPr="00BA5E33">
              <w:rPr>
                <w:b/>
                <w:bCs/>
                <w:sz w:val="18"/>
                <w:szCs w:val="20"/>
              </w:rPr>
              <w:t xml:space="preserve"> Returns</w:t>
            </w:r>
          </w:p>
        </w:tc>
        <w:tc>
          <w:tcPr>
            <w:tcW w:w="0" w:type="auto"/>
            <w:hideMark/>
          </w:tcPr>
          <w:p w14:paraId="0953A8F3" w14:textId="77777777" w:rsidR="00BA5E33" w:rsidRPr="00BA5E33" w:rsidRDefault="00BA5E33" w:rsidP="00BA5E33">
            <w:pPr>
              <w:spacing w:after="120"/>
              <w:rPr>
                <w:b/>
                <w:bCs/>
                <w:sz w:val="18"/>
                <w:szCs w:val="20"/>
              </w:rPr>
            </w:pPr>
            <w:r w:rsidRPr="00BA5E33">
              <w:rPr>
                <w:b/>
                <w:bCs/>
                <w:sz w:val="18"/>
                <w:szCs w:val="20"/>
              </w:rPr>
              <w:t>Notes</w:t>
            </w:r>
          </w:p>
        </w:tc>
      </w:tr>
      <w:tr w:rsidR="00BA5E33" w:rsidRPr="00BA5E33" w14:paraId="15A9AB9A" w14:textId="77777777" w:rsidTr="00BA5E33">
        <w:tc>
          <w:tcPr>
            <w:tcW w:w="0" w:type="auto"/>
            <w:hideMark/>
          </w:tcPr>
          <w:p w14:paraId="33653607" w14:textId="77777777" w:rsidR="00BA5E33" w:rsidRPr="00BA5E33" w:rsidRDefault="00BA5E33" w:rsidP="00BA5E33">
            <w:pPr>
              <w:spacing w:after="120"/>
              <w:rPr>
                <w:sz w:val="18"/>
                <w:szCs w:val="20"/>
              </w:rPr>
            </w:pPr>
            <w:r w:rsidRPr="00BA5E33">
              <w:rPr>
                <w:sz w:val="18"/>
                <w:szCs w:val="20"/>
              </w:rPr>
              <w:t>Past Quarter (Q4 2025)</w:t>
            </w:r>
          </w:p>
        </w:tc>
        <w:tc>
          <w:tcPr>
            <w:tcW w:w="0" w:type="auto"/>
            <w:hideMark/>
          </w:tcPr>
          <w:p w14:paraId="4CD68488" w14:textId="77777777" w:rsidR="00BA5E33" w:rsidRPr="00BA5E33" w:rsidRDefault="00BA5E33" w:rsidP="00BA5E33">
            <w:pPr>
              <w:spacing w:after="120"/>
              <w:rPr>
                <w:sz w:val="18"/>
                <w:szCs w:val="20"/>
              </w:rPr>
            </w:pPr>
            <w:r w:rsidRPr="00BA5E33">
              <w:rPr>
                <w:sz w:val="18"/>
                <w:szCs w:val="20"/>
              </w:rPr>
              <w:t>~3-5% (non-annualized total return)</w:t>
            </w:r>
          </w:p>
        </w:tc>
        <w:tc>
          <w:tcPr>
            <w:tcW w:w="0" w:type="auto"/>
            <w:hideMark/>
          </w:tcPr>
          <w:p w14:paraId="5CA73503" w14:textId="77777777" w:rsidR="00BA5E33" w:rsidRPr="00BA5E33" w:rsidRDefault="00BA5E33" w:rsidP="002530F7">
            <w:pPr>
              <w:spacing w:after="120" w:line="276" w:lineRule="auto"/>
              <w:rPr>
                <w:sz w:val="18"/>
                <w:szCs w:val="20"/>
              </w:rPr>
            </w:pPr>
            <w:r w:rsidRPr="00BA5E33">
              <w:rPr>
                <w:sz w:val="18"/>
                <w:szCs w:val="20"/>
              </w:rPr>
              <w:t>Estimated from late-2025 trends; mixed equity gains offset by bond stability.</w:t>
            </w:r>
          </w:p>
        </w:tc>
      </w:tr>
      <w:tr w:rsidR="00BA5E33" w:rsidRPr="00BA5E33" w14:paraId="4D691620" w14:textId="77777777" w:rsidTr="00BA5E33">
        <w:tc>
          <w:tcPr>
            <w:tcW w:w="0" w:type="auto"/>
            <w:hideMark/>
          </w:tcPr>
          <w:p w14:paraId="292901EC" w14:textId="77777777" w:rsidR="00BA5E33" w:rsidRPr="00BA5E33" w:rsidRDefault="00BA5E33" w:rsidP="00BA5E33">
            <w:pPr>
              <w:spacing w:after="120"/>
              <w:rPr>
                <w:sz w:val="18"/>
                <w:szCs w:val="20"/>
              </w:rPr>
            </w:pPr>
            <w:r w:rsidRPr="00BA5E33">
              <w:rPr>
                <w:sz w:val="18"/>
                <w:szCs w:val="20"/>
              </w:rPr>
              <w:t>3 Months</w:t>
            </w:r>
          </w:p>
        </w:tc>
        <w:tc>
          <w:tcPr>
            <w:tcW w:w="0" w:type="auto"/>
            <w:hideMark/>
          </w:tcPr>
          <w:p w14:paraId="253B7F72" w14:textId="77777777" w:rsidR="00BA5E33" w:rsidRPr="00BA5E33" w:rsidRDefault="00BA5E33" w:rsidP="00BA5E33">
            <w:pPr>
              <w:spacing w:after="120"/>
              <w:rPr>
                <w:sz w:val="18"/>
                <w:szCs w:val="20"/>
              </w:rPr>
            </w:pPr>
            <w:r w:rsidRPr="00BA5E33">
              <w:rPr>
                <w:sz w:val="18"/>
                <w:szCs w:val="20"/>
              </w:rPr>
              <w:t>~4-6% (non-annualized)</w:t>
            </w:r>
          </w:p>
        </w:tc>
        <w:tc>
          <w:tcPr>
            <w:tcW w:w="0" w:type="auto"/>
            <w:hideMark/>
          </w:tcPr>
          <w:p w14:paraId="7695018B" w14:textId="77777777" w:rsidR="00BA5E33" w:rsidRPr="00BA5E33" w:rsidRDefault="00BA5E33" w:rsidP="002530F7">
            <w:pPr>
              <w:spacing w:after="120" w:line="276" w:lineRule="auto"/>
              <w:rPr>
                <w:sz w:val="18"/>
                <w:szCs w:val="20"/>
              </w:rPr>
            </w:pPr>
            <w:r w:rsidRPr="00BA5E33">
              <w:rPr>
                <w:sz w:val="18"/>
                <w:szCs w:val="20"/>
              </w:rPr>
              <w:t>Similar to quarter; balanced performance across assets.</w:t>
            </w:r>
          </w:p>
        </w:tc>
      </w:tr>
      <w:tr w:rsidR="00BA5E33" w:rsidRPr="00BA5E33" w14:paraId="7A2B9F3E" w14:textId="77777777" w:rsidTr="00BA5E33">
        <w:tc>
          <w:tcPr>
            <w:tcW w:w="0" w:type="auto"/>
            <w:hideMark/>
          </w:tcPr>
          <w:p w14:paraId="5382A15D" w14:textId="77777777" w:rsidR="00BA5E33" w:rsidRPr="00BA5E33" w:rsidRDefault="00BA5E33" w:rsidP="00BA5E33">
            <w:pPr>
              <w:spacing w:after="120"/>
              <w:rPr>
                <w:sz w:val="18"/>
                <w:szCs w:val="20"/>
              </w:rPr>
            </w:pPr>
            <w:r w:rsidRPr="00BA5E33">
              <w:rPr>
                <w:sz w:val="18"/>
                <w:szCs w:val="20"/>
              </w:rPr>
              <w:t>6 Months</w:t>
            </w:r>
          </w:p>
        </w:tc>
        <w:tc>
          <w:tcPr>
            <w:tcW w:w="0" w:type="auto"/>
            <w:hideMark/>
          </w:tcPr>
          <w:p w14:paraId="55756186" w14:textId="77777777" w:rsidR="00BA5E33" w:rsidRPr="00BA5E33" w:rsidRDefault="00BA5E33" w:rsidP="00BA5E33">
            <w:pPr>
              <w:spacing w:after="120"/>
              <w:rPr>
                <w:sz w:val="18"/>
                <w:szCs w:val="20"/>
              </w:rPr>
            </w:pPr>
            <w:r w:rsidRPr="00BA5E33">
              <w:rPr>
                <w:sz w:val="18"/>
                <w:szCs w:val="20"/>
              </w:rPr>
              <w:t>~6-9% (non-annualized)</w:t>
            </w:r>
          </w:p>
        </w:tc>
        <w:tc>
          <w:tcPr>
            <w:tcW w:w="0" w:type="auto"/>
            <w:hideMark/>
          </w:tcPr>
          <w:p w14:paraId="132B2B5F" w14:textId="77777777" w:rsidR="00BA5E33" w:rsidRPr="00BA5E33" w:rsidRDefault="00BA5E33" w:rsidP="002530F7">
            <w:pPr>
              <w:spacing w:after="120" w:line="276" w:lineRule="auto"/>
              <w:rPr>
                <w:sz w:val="18"/>
                <w:szCs w:val="20"/>
              </w:rPr>
            </w:pPr>
            <w:r w:rsidRPr="00BA5E33">
              <w:rPr>
                <w:sz w:val="18"/>
                <w:szCs w:val="20"/>
              </w:rPr>
              <w:t>Mid-2025 to end-2025; includes EM and SA bond recovery.</w:t>
            </w:r>
          </w:p>
        </w:tc>
      </w:tr>
      <w:tr w:rsidR="00BA5E33" w:rsidRPr="00BA5E33" w14:paraId="072BAF16" w14:textId="77777777" w:rsidTr="00BA5E33">
        <w:tc>
          <w:tcPr>
            <w:tcW w:w="0" w:type="auto"/>
            <w:hideMark/>
          </w:tcPr>
          <w:p w14:paraId="76891584" w14:textId="77777777" w:rsidR="00BA5E33" w:rsidRPr="00BA5E33" w:rsidRDefault="00BA5E33" w:rsidP="00BA5E33">
            <w:pPr>
              <w:spacing w:after="120"/>
              <w:rPr>
                <w:sz w:val="18"/>
                <w:szCs w:val="20"/>
              </w:rPr>
            </w:pPr>
            <w:r w:rsidRPr="00BA5E33">
              <w:rPr>
                <w:sz w:val="18"/>
                <w:szCs w:val="20"/>
              </w:rPr>
              <w:t>1 Year</w:t>
            </w:r>
          </w:p>
        </w:tc>
        <w:tc>
          <w:tcPr>
            <w:tcW w:w="0" w:type="auto"/>
            <w:hideMark/>
          </w:tcPr>
          <w:p w14:paraId="040B5CDF" w14:textId="77777777" w:rsidR="00BA5E33" w:rsidRPr="00BA5E33" w:rsidRDefault="00BA5E33" w:rsidP="00BA5E33">
            <w:pPr>
              <w:spacing w:after="120"/>
              <w:rPr>
                <w:sz w:val="18"/>
                <w:szCs w:val="20"/>
              </w:rPr>
            </w:pPr>
            <w:r w:rsidRPr="00BA5E33">
              <w:rPr>
                <w:sz w:val="18"/>
                <w:szCs w:val="20"/>
              </w:rPr>
              <w:t>~7-9%</w:t>
            </w:r>
          </w:p>
        </w:tc>
        <w:tc>
          <w:tcPr>
            <w:tcW w:w="0" w:type="auto"/>
            <w:hideMark/>
          </w:tcPr>
          <w:p w14:paraId="42F68A7D" w14:textId="77777777" w:rsidR="00BA5E33" w:rsidRPr="00BA5E33" w:rsidRDefault="00BA5E33" w:rsidP="002530F7">
            <w:pPr>
              <w:spacing w:after="120" w:line="276" w:lineRule="auto"/>
              <w:rPr>
                <w:sz w:val="18"/>
                <w:szCs w:val="20"/>
              </w:rPr>
            </w:pPr>
            <w:r w:rsidRPr="00BA5E33">
              <w:rPr>
                <w:sz w:val="18"/>
                <w:szCs w:val="20"/>
              </w:rPr>
              <w:t>Blended; strong SA bonds and EM boosted, despite muted developed equities.</w:t>
            </w:r>
          </w:p>
        </w:tc>
      </w:tr>
      <w:tr w:rsidR="00BA5E33" w:rsidRPr="00BA5E33" w14:paraId="4743F6BA" w14:textId="77777777" w:rsidTr="00BA5E33">
        <w:tc>
          <w:tcPr>
            <w:tcW w:w="0" w:type="auto"/>
            <w:hideMark/>
          </w:tcPr>
          <w:p w14:paraId="31E89205" w14:textId="77777777" w:rsidR="00BA5E33" w:rsidRPr="00BA5E33" w:rsidRDefault="00BA5E33" w:rsidP="00BA5E33">
            <w:pPr>
              <w:spacing w:after="120"/>
              <w:rPr>
                <w:sz w:val="18"/>
                <w:szCs w:val="20"/>
              </w:rPr>
            </w:pPr>
            <w:r w:rsidRPr="00BA5E33">
              <w:rPr>
                <w:sz w:val="18"/>
                <w:szCs w:val="20"/>
              </w:rPr>
              <w:t>3 Years (annualized)</w:t>
            </w:r>
          </w:p>
        </w:tc>
        <w:tc>
          <w:tcPr>
            <w:tcW w:w="0" w:type="auto"/>
            <w:hideMark/>
          </w:tcPr>
          <w:p w14:paraId="4236980B" w14:textId="77777777" w:rsidR="00BA5E33" w:rsidRPr="00BA5E33" w:rsidRDefault="00BA5E33" w:rsidP="00BA5E33">
            <w:pPr>
              <w:spacing w:after="120"/>
              <w:rPr>
                <w:sz w:val="18"/>
                <w:szCs w:val="20"/>
              </w:rPr>
            </w:pPr>
            <w:r w:rsidRPr="00BA5E33">
              <w:rPr>
                <w:sz w:val="18"/>
                <w:szCs w:val="20"/>
              </w:rPr>
              <w:t>~15-17%</w:t>
            </w:r>
          </w:p>
        </w:tc>
        <w:tc>
          <w:tcPr>
            <w:tcW w:w="0" w:type="auto"/>
            <w:hideMark/>
          </w:tcPr>
          <w:p w14:paraId="4373A9C0" w14:textId="77777777" w:rsidR="00BA5E33" w:rsidRPr="00BA5E33" w:rsidRDefault="00BA5E33" w:rsidP="002530F7">
            <w:pPr>
              <w:spacing w:after="120" w:line="276" w:lineRule="auto"/>
              <w:rPr>
                <w:sz w:val="18"/>
                <w:szCs w:val="20"/>
              </w:rPr>
            </w:pPr>
            <w:r w:rsidRPr="00BA5E33">
              <w:rPr>
                <w:sz w:val="18"/>
                <w:szCs w:val="20"/>
              </w:rPr>
              <w:t>Driven by equity recovery post-2022; bonds added stability.</w:t>
            </w:r>
          </w:p>
        </w:tc>
      </w:tr>
      <w:tr w:rsidR="00BA5E33" w:rsidRPr="00BA5E33" w14:paraId="68D92BB5" w14:textId="77777777" w:rsidTr="00BA5E33">
        <w:tc>
          <w:tcPr>
            <w:tcW w:w="0" w:type="auto"/>
            <w:hideMark/>
          </w:tcPr>
          <w:p w14:paraId="155D1E75" w14:textId="77777777" w:rsidR="00BA5E33" w:rsidRPr="00BA5E33" w:rsidRDefault="00BA5E33" w:rsidP="00BA5E33">
            <w:pPr>
              <w:spacing w:after="120"/>
              <w:rPr>
                <w:sz w:val="18"/>
                <w:szCs w:val="20"/>
              </w:rPr>
            </w:pPr>
            <w:r w:rsidRPr="00BA5E33">
              <w:rPr>
                <w:sz w:val="18"/>
                <w:szCs w:val="20"/>
              </w:rPr>
              <w:t>5 Years (annualized)</w:t>
            </w:r>
          </w:p>
        </w:tc>
        <w:tc>
          <w:tcPr>
            <w:tcW w:w="0" w:type="auto"/>
            <w:hideMark/>
          </w:tcPr>
          <w:p w14:paraId="30661CA9" w14:textId="77777777" w:rsidR="00BA5E33" w:rsidRPr="00BA5E33" w:rsidRDefault="00BA5E33" w:rsidP="00BA5E33">
            <w:pPr>
              <w:spacing w:after="120"/>
              <w:rPr>
                <w:sz w:val="18"/>
                <w:szCs w:val="20"/>
              </w:rPr>
            </w:pPr>
            <w:r w:rsidRPr="00BA5E33">
              <w:rPr>
                <w:sz w:val="18"/>
                <w:szCs w:val="20"/>
              </w:rPr>
              <w:t>~9-11%</w:t>
            </w:r>
          </w:p>
        </w:tc>
        <w:tc>
          <w:tcPr>
            <w:tcW w:w="0" w:type="auto"/>
            <w:hideMark/>
          </w:tcPr>
          <w:p w14:paraId="58665509" w14:textId="77777777" w:rsidR="00BA5E33" w:rsidRPr="00BA5E33" w:rsidRDefault="00BA5E33" w:rsidP="002530F7">
            <w:pPr>
              <w:spacing w:after="120" w:line="276" w:lineRule="auto"/>
              <w:rPr>
                <w:sz w:val="18"/>
                <w:szCs w:val="20"/>
              </w:rPr>
            </w:pPr>
            <w:r w:rsidRPr="00BA5E33">
              <w:rPr>
                <w:sz w:val="18"/>
                <w:szCs w:val="20"/>
              </w:rPr>
              <w:t>Long-term average; benefits from equity growth with bond cushion.</w:t>
            </w:r>
          </w:p>
        </w:tc>
      </w:tr>
    </w:tbl>
    <w:p w14:paraId="0170D79D" w14:textId="77777777" w:rsidR="00E0051F" w:rsidRDefault="00E0051F" w:rsidP="00591132">
      <w:pPr>
        <w:rPr>
          <w:lang w:eastAsia="af-ZA"/>
        </w:rPr>
      </w:pPr>
    </w:p>
    <w:p w14:paraId="417E4466" w14:textId="79F1E617" w:rsidR="00D30209" w:rsidRDefault="00D30209" w:rsidP="007F13ED">
      <w:pPr>
        <w:pStyle w:val="Heading2"/>
        <w:rPr>
          <w:lang w:val="en-ZA"/>
        </w:rPr>
      </w:pPr>
      <w:r w:rsidRPr="007F13ED">
        <w:rPr>
          <w:lang w:val="en-ZA"/>
        </w:rPr>
        <w:t>Constituent Returns</w:t>
      </w:r>
    </w:p>
    <w:tbl>
      <w:tblPr>
        <w:tblStyle w:val="TableGrid"/>
        <w:tblW w:w="0" w:type="auto"/>
        <w:tblLook w:val="04A0" w:firstRow="1" w:lastRow="0" w:firstColumn="1" w:lastColumn="0" w:noHBand="0" w:noVBand="1"/>
      </w:tblPr>
      <w:tblGrid>
        <w:gridCol w:w="2693"/>
        <w:gridCol w:w="1133"/>
        <w:gridCol w:w="911"/>
        <w:gridCol w:w="911"/>
        <w:gridCol w:w="853"/>
        <w:gridCol w:w="1046"/>
        <w:gridCol w:w="1046"/>
      </w:tblGrid>
      <w:tr w:rsidR="00280764" w:rsidRPr="00280764" w14:paraId="52FA6521" w14:textId="77777777" w:rsidTr="00280764">
        <w:tc>
          <w:tcPr>
            <w:tcW w:w="0" w:type="auto"/>
            <w:hideMark/>
          </w:tcPr>
          <w:p w14:paraId="72D36A1C" w14:textId="77777777" w:rsidR="00280764" w:rsidRPr="00280764" w:rsidRDefault="00280764" w:rsidP="00280764">
            <w:pPr>
              <w:spacing w:after="120"/>
              <w:rPr>
                <w:b/>
                <w:bCs/>
                <w:sz w:val="18"/>
                <w:szCs w:val="20"/>
              </w:rPr>
            </w:pPr>
            <w:r w:rsidRPr="00280764">
              <w:rPr>
                <w:b/>
                <w:bCs/>
                <w:sz w:val="18"/>
                <w:szCs w:val="20"/>
              </w:rPr>
              <w:t>ETF Name</w:t>
            </w:r>
          </w:p>
        </w:tc>
        <w:tc>
          <w:tcPr>
            <w:tcW w:w="0" w:type="auto"/>
            <w:hideMark/>
          </w:tcPr>
          <w:p w14:paraId="339AB2BA" w14:textId="77777777" w:rsidR="00280764" w:rsidRPr="00280764" w:rsidRDefault="00280764" w:rsidP="00280764">
            <w:pPr>
              <w:spacing w:after="120"/>
              <w:rPr>
                <w:b/>
                <w:bCs/>
                <w:sz w:val="18"/>
                <w:szCs w:val="20"/>
              </w:rPr>
            </w:pPr>
            <w:r w:rsidRPr="00280764">
              <w:rPr>
                <w:b/>
                <w:bCs/>
                <w:sz w:val="18"/>
                <w:szCs w:val="20"/>
              </w:rPr>
              <w:t>Past Quarter</w:t>
            </w:r>
          </w:p>
        </w:tc>
        <w:tc>
          <w:tcPr>
            <w:tcW w:w="0" w:type="auto"/>
            <w:hideMark/>
          </w:tcPr>
          <w:p w14:paraId="50C75B77" w14:textId="77777777" w:rsidR="00280764" w:rsidRPr="00280764" w:rsidRDefault="00280764" w:rsidP="00280764">
            <w:pPr>
              <w:spacing w:after="120"/>
              <w:rPr>
                <w:b/>
                <w:bCs/>
                <w:sz w:val="18"/>
                <w:szCs w:val="20"/>
              </w:rPr>
            </w:pPr>
            <w:r w:rsidRPr="00280764">
              <w:rPr>
                <w:b/>
                <w:bCs/>
                <w:sz w:val="18"/>
                <w:szCs w:val="20"/>
              </w:rPr>
              <w:t>3 Months</w:t>
            </w:r>
          </w:p>
        </w:tc>
        <w:tc>
          <w:tcPr>
            <w:tcW w:w="0" w:type="auto"/>
            <w:hideMark/>
          </w:tcPr>
          <w:p w14:paraId="0B0CD287" w14:textId="77777777" w:rsidR="00280764" w:rsidRPr="00280764" w:rsidRDefault="00280764" w:rsidP="00280764">
            <w:pPr>
              <w:spacing w:after="120"/>
              <w:rPr>
                <w:b/>
                <w:bCs/>
                <w:sz w:val="18"/>
                <w:szCs w:val="20"/>
              </w:rPr>
            </w:pPr>
            <w:r w:rsidRPr="00280764">
              <w:rPr>
                <w:b/>
                <w:bCs/>
                <w:sz w:val="18"/>
                <w:szCs w:val="20"/>
              </w:rPr>
              <w:t>6 Months</w:t>
            </w:r>
          </w:p>
        </w:tc>
        <w:tc>
          <w:tcPr>
            <w:tcW w:w="0" w:type="auto"/>
            <w:hideMark/>
          </w:tcPr>
          <w:p w14:paraId="05F546E9" w14:textId="77777777" w:rsidR="00280764" w:rsidRPr="00280764" w:rsidRDefault="00280764" w:rsidP="00280764">
            <w:pPr>
              <w:spacing w:after="120"/>
              <w:rPr>
                <w:b/>
                <w:bCs/>
                <w:sz w:val="18"/>
                <w:szCs w:val="20"/>
              </w:rPr>
            </w:pPr>
            <w:r w:rsidRPr="00280764">
              <w:rPr>
                <w:b/>
                <w:bCs/>
                <w:sz w:val="18"/>
                <w:szCs w:val="20"/>
              </w:rPr>
              <w:t>1 Year</w:t>
            </w:r>
          </w:p>
        </w:tc>
        <w:tc>
          <w:tcPr>
            <w:tcW w:w="0" w:type="auto"/>
            <w:hideMark/>
          </w:tcPr>
          <w:p w14:paraId="2DADFF29" w14:textId="77777777" w:rsidR="00280764" w:rsidRPr="00280764" w:rsidRDefault="00280764" w:rsidP="00280764">
            <w:pPr>
              <w:spacing w:after="120"/>
              <w:rPr>
                <w:b/>
                <w:bCs/>
                <w:sz w:val="18"/>
                <w:szCs w:val="20"/>
              </w:rPr>
            </w:pPr>
            <w:r w:rsidRPr="00280764">
              <w:rPr>
                <w:b/>
                <w:bCs/>
                <w:sz w:val="18"/>
                <w:szCs w:val="20"/>
              </w:rPr>
              <w:t>3 Years p.a.</w:t>
            </w:r>
          </w:p>
        </w:tc>
        <w:tc>
          <w:tcPr>
            <w:tcW w:w="0" w:type="auto"/>
            <w:hideMark/>
          </w:tcPr>
          <w:p w14:paraId="07228950" w14:textId="77777777" w:rsidR="00280764" w:rsidRPr="00280764" w:rsidRDefault="00280764" w:rsidP="00280764">
            <w:pPr>
              <w:spacing w:after="120"/>
              <w:rPr>
                <w:b/>
                <w:bCs/>
                <w:sz w:val="18"/>
                <w:szCs w:val="20"/>
              </w:rPr>
            </w:pPr>
            <w:r w:rsidRPr="00280764">
              <w:rPr>
                <w:b/>
                <w:bCs/>
                <w:sz w:val="18"/>
                <w:szCs w:val="20"/>
              </w:rPr>
              <w:t>5 Years p.a.</w:t>
            </w:r>
          </w:p>
        </w:tc>
      </w:tr>
      <w:tr w:rsidR="00280764" w:rsidRPr="00280764" w14:paraId="43ACC79E" w14:textId="77777777" w:rsidTr="00280764">
        <w:tc>
          <w:tcPr>
            <w:tcW w:w="0" w:type="auto"/>
            <w:hideMark/>
          </w:tcPr>
          <w:p w14:paraId="6B067D20" w14:textId="6B73D3A3" w:rsidR="00280764" w:rsidRPr="00280764" w:rsidRDefault="00280764" w:rsidP="00280764">
            <w:pPr>
              <w:spacing w:after="120"/>
              <w:rPr>
                <w:sz w:val="18"/>
                <w:szCs w:val="20"/>
              </w:rPr>
            </w:pPr>
            <w:r w:rsidRPr="00280764">
              <w:rPr>
                <w:sz w:val="18"/>
                <w:szCs w:val="20"/>
              </w:rPr>
              <w:t>Satrix MSCI World</w:t>
            </w:r>
            <w:r w:rsidR="008F1B52">
              <w:rPr>
                <w:sz w:val="18"/>
                <w:szCs w:val="20"/>
              </w:rPr>
              <w:t xml:space="preserve"> ETF</w:t>
            </w:r>
          </w:p>
        </w:tc>
        <w:tc>
          <w:tcPr>
            <w:tcW w:w="0" w:type="auto"/>
            <w:hideMark/>
          </w:tcPr>
          <w:p w14:paraId="72FB222B" w14:textId="77777777" w:rsidR="00280764" w:rsidRPr="00280764" w:rsidRDefault="00280764" w:rsidP="00280764">
            <w:pPr>
              <w:spacing w:after="120"/>
              <w:rPr>
                <w:sz w:val="18"/>
                <w:szCs w:val="20"/>
              </w:rPr>
            </w:pPr>
            <w:r w:rsidRPr="00280764">
              <w:rPr>
                <w:sz w:val="18"/>
                <w:szCs w:val="20"/>
              </w:rPr>
              <w:t>~3-5%</w:t>
            </w:r>
          </w:p>
        </w:tc>
        <w:tc>
          <w:tcPr>
            <w:tcW w:w="0" w:type="auto"/>
            <w:hideMark/>
          </w:tcPr>
          <w:p w14:paraId="275ABB0B" w14:textId="77777777" w:rsidR="00280764" w:rsidRPr="00280764" w:rsidRDefault="00280764" w:rsidP="00280764">
            <w:pPr>
              <w:spacing w:after="120"/>
              <w:rPr>
                <w:sz w:val="18"/>
                <w:szCs w:val="20"/>
              </w:rPr>
            </w:pPr>
            <w:r w:rsidRPr="00280764">
              <w:rPr>
                <w:sz w:val="18"/>
                <w:szCs w:val="20"/>
              </w:rPr>
              <w:t>~4-6%</w:t>
            </w:r>
          </w:p>
        </w:tc>
        <w:tc>
          <w:tcPr>
            <w:tcW w:w="0" w:type="auto"/>
            <w:hideMark/>
          </w:tcPr>
          <w:p w14:paraId="5EC64C5E" w14:textId="77777777" w:rsidR="00280764" w:rsidRPr="00280764" w:rsidRDefault="00280764" w:rsidP="00280764">
            <w:pPr>
              <w:spacing w:after="120"/>
              <w:rPr>
                <w:sz w:val="18"/>
                <w:szCs w:val="20"/>
              </w:rPr>
            </w:pPr>
            <w:r w:rsidRPr="00280764">
              <w:rPr>
                <w:sz w:val="18"/>
                <w:szCs w:val="20"/>
              </w:rPr>
              <w:t>~6-8%</w:t>
            </w:r>
          </w:p>
        </w:tc>
        <w:tc>
          <w:tcPr>
            <w:tcW w:w="0" w:type="auto"/>
            <w:hideMark/>
          </w:tcPr>
          <w:p w14:paraId="786C94E7" w14:textId="77777777" w:rsidR="00280764" w:rsidRPr="00280764" w:rsidRDefault="00280764" w:rsidP="00280764">
            <w:pPr>
              <w:spacing w:after="120"/>
              <w:rPr>
                <w:sz w:val="18"/>
                <w:szCs w:val="20"/>
              </w:rPr>
            </w:pPr>
            <w:r w:rsidRPr="00280764">
              <w:rPr>
                <w:sz w:val="18"/>
                <w:szCs w:val="20"/>
              </w:rPr>
              <w:t>~5-7%</w:t>
            </w:r>
          </w:p>
        </w:tc>
        <w:tc>
          <w:tcPr>
            <w:tcW w:w="0" w:type="auto"/>
            <w:hideMark/>
          </w:tcPr>
          <w:p w14:paraId="78994B30" w14:textId="77777777" w:rsidR="00280764" w:rsidRPr="00280764" w:rsidRDefault="00280764" w:rsidP="00280764">
            <w:pPr>
              <w:spacing w:after="120"/>
              <w:rPr>
                <w:sz w:val="18"/>
                <w:szCs w:val="20"/>
              </w:rPr>
            </w:pPr>
            <w:r w:rsidRPr="00280764">
              <w:rPr>
                <w:sz w:val="18"/>
                <w:szCs w:val="20"/>
              </w:rPr>
              <w:t>~19-21%</w:t>
            </w:r>
          </w:p>
        </w:tc>
        <w:tc>
          <w:tcPr>
            <w:tcW w:w="0" w:type="auto"/>
            <w:hideMark/>
          </w:tcPr>
          <w:p w14:paraId="2BE67895" w14:textId="77777777" w:rsidR="00280764" w:rsidRPr="00280764" w:rsidRDefault="00280764" w:rsidP="00280764">
            <w:pPr>
              <w:spacing w:after="120"/>
              <w:rPr>
                <w:sz w:val="18"/>
                <w:szCs w:val="20"/>
              </w:rPr>
            </w:pPr>
            <w:r w:rsidRPr="00280764">
              <w:rPr>
                <w:sz w:val="18"/>
                <w:szCs w:val="20"/>
              </w:rPr>
              <w:t>~14-16%</w:t>
            </w:r>
          </w:p>
        </w:tc>
      </w:tr>
      <w:tr w:rsidR="00280764" w:rsidRPr="00280764" w14:paraId="37F044F2" w14:textId="77777777" w:rsidTr="00280764">
        <w:tc>
          <w:tcPr>
            <w:tcW w:w="0" w:type="auto"/>
            <w:hideMark/>
          </w:tcPr>
          <w:p w14:paraId="5672C9EB" w14:textId="3DA49C62" w:rsidR="00280764" w:rsidRPr="00280764" w:rsidRDefault="00280764" w:rsidP="00280764">
            <w:pPr>
              <w:spacing w:after="120"/>
              <w:rPr>
                <w:sz w:val="18"/>
                <w:szCs w:val="20"/>
              </w:rPr>
            </w:pPr>
            <w:r w:rsidRPr="00280764">
              <w:rPr>
                <w:sz w:val="18"/>
                <w:szCs w:val="20"/>
              </w:rPr>
              <w:t xml:space="preserve">Satrix </w:t>
            </w:r>
            <w:r w:rsidR="00670A63">
              <w:rPr>
                <w:sz w:val="18"/>
                <w:szCs w:val="20"/>
              </w:rPr>
              <w:t xml:space="preserve">S&amp;P 500 </w:t>
            </w:r>
            <w:r w:rsidR="008F1B52">
              <w:rPr>
                <w:sz w:val="18"/>
                <w:szCs w:val="20"/>
              </w:rPr>
              <w:t xml:space="preserve"> ETF </w:t>
            </w:r>
          </w:p>
        </w:tc>
        <w:tc>
          <w:tcPr>
            <w:tcW w:w="0" w:type="auto"/>
            <w:hideMark/>
          </w:tcPr>
          <w:p w14:paraId="0CB92E31" w14:textId="77777777" w:rsidR="00280764" w:rsidRPr="00280764" w:rsidRDefault="00280764" w:rsidP="00280764">
            <w:pPr>
              <w:spacing w:after="120"/>
              <w:rPr>
                <w:sz w:val="18"/>
                <w:szCs w:val="20"/>
              </w:rPr>
            </w:pPr>
            <w:r w:rsidRPr="00280764">
              <w:rPr>
                <w:sz w:val="18"/>
                <w:szCs w:val="20"/>
              </w:rPr>
              <w:t>~4-6%</w:t>
            </w:r>
          </w:p>
        </w:tc>
        <w:tc>
          <w:tcPr>
            <w:tcW w:w="0" w:type="auto"/>
            <w:hideMark/>
          </w:tcPr>
          <w:p w14:paraId="372DBDE8" w14:textId="77777777" w:rsidR="00280764" w:rsidRPr="00280764" w:rsidRDefault="00280764" w:rsidP="00280764">
            <w:pPr>
              <w:spacing w:after="120"/>
              <w:rPr>
                <w:sz w:val="18"/>
                <w:szCs w:val="20"/>
              </w:rPr>
            </w:pPr>
            <w:r w:rsidRPr="00280764">
              <w:rPr>
                <w:sz w:val="18"/>
                <w:szCs w:val="20"/>
              </w:rPr>
              <w:t>~5-7%</w:t>
            </w:r>
          </w:p>
        </w:tc>
        <w:tc>
          <w:tcPr>
            <w:tcW w:w="0" w:type="auto"/>
            <w:hideMark/>
          </w:tcPr>
          <w:p w14:paraId="70DB3848" w14:textId="77777777" w:rsidR="00280764" w:rsidRPr="00280764" w:rsidRDefault="00280764" w:rsidP="00280764">
            <w:pPr>
              <w:spacing w:after="120"/>
              <w:rPr>
                <w:sz w:val="18"/>
                <w:szCs w:val="20"/>
              </w:rPr>
            </w:pPr>
            <w:r w:rsidRPr="00280764">
              <w:rPr>
                <w:sz w:val="18"/>
                <w:szCs w:val="20"/>
              </w:rPr>
              <w:t>~8-10%</w:t>
            </w:r>
          </w:p>
        </w:tc>
        <w:tc>
          <w:tcPr>
            <w:tcW w:w="0" w:type="auto"/>
            <w:hideMark/>
          </w:tcPr>
          <w:p w14:paraId="250B1B8B" w14:textId="77777777" w:rsidR="00280764" w:rsidRPr="00280764" w:rsidRDefault="00280764" w:rsidP="00280764">
            <w:pPr>
              <w:spacing w:after="120"/>
              <w:rPr>
                <w:sz w:val="18"/>
                <w:szCs w:val="20"/>
              </w:rPr>
            </w:pPr>
            <w:r w:rsidRPr="00280764">
              <w:rPr>
                <w:sz w:val="18"/>
                <w:szCs w:val="20"/>
              </w:rPr>
              <w:t>~5-7%</w:t>
            </w:r>
          </w:p>
        </w:tc>
        <w:tc>
          <w:tcPr>
            <w:tcW w:w="0" w:type="auto"/>
            <w:hideMark/>
          </w:tcPr>
          <w:p w14:paraId="362C60DD" w14:textId="77777777" w:rsidR="00280764" w:rsidRPr="00280764" w:rsidRDefault="00280764" w:rsidP="00280764">
            <w:pPr>
              <w:spacing w:after="120"/>
              <w:rPr>
                <w:sz w:val="18"/>
                <w:szCs w:val="20"/>
              </w:rPr>
            </w:pPr>
            <w:r w:rsidRPr="00280764">
              <w:rPr>
                <w:sz w:val="18"/>
                <w:szCs w:val="20"/>
              </w:rPr>
              <w:t>~30-32%</w:t>
            </w:r>
          </w:p>
        </w:tc>
        <w:tc>
          <w:tcPr>
            <w:tcW w:w="0" w:type="auto"/>
            <w:hideMark/>
          </w:tcPr>
          <w:p w14:paraId="5F8CCF0E" w14:textId="77777777" w:rsidR="00280764" w:rsidRPr="00280764" w:rsidRDefault="00280764" w:rsidP="00280764">
            <w:pPr>
              <w:spacing w:after="120"/>
              <w:rPr>
                <w:sz w:val="18"/>
                <w:szCs w:val="20"/>
              </w:rPr>
            </w:pPr>
            <w:r w:rsidRPr="00280764">
              <w:rPr>
                <w:sz w:val="18"/>
                <w:szCs w:val="20"/>
              </w:rPr>
              <w:t>~17-19%</w:t>
            </w:r>
          </w:p>
        </w:tc>
      </w:tr>
      <w:tr w:rsidR="00280764" w:rsidRPr="00280764" w14:paraId="04B336C8" w14:textId="77777777" w:rsidTr="00280764">
        <w:tc>
          <w:tcPr>
            <w:tcW w:w="0" w:type="auto"/>
            <w:hideMark/>
          </w:tcPr>
          <w:p w14:paraId="1791D13B" w14:textId="7D364337" w:rsidR="00280764" w:rsidRPr="00280764" w:rsidRDefault="00280764" w:rsidP="00280764">
            <w:pPr>
              <w:spacing w:after="120"/>
              <w:rPr>
                <w:sz w:val="18"/>
                <w:szCs w:val="20"/>
              </w:rPr>
            </w:pPr>
            <w:r w:rsidRPr="00280764">
              <w:rPr>
                <w:sz w:val="18"/>
                <w:szCs w:val="20"/>
              </w:rPr>
              <w:t>Satrix MSCI Emerging Markets</w:t>
            </w:r>
            <w:r w:rsidR="008F1B52">
              <w:rPr>
                <w:sz w:val="18"/>
                <w:szCs w:val="20"/>
              </w:rPr>
              <w:t xml:space="preserve"> ETF  </w:t>
            </w:r>
          </w:p>
        </w:tc>
        <w:tc>
          <w:tcPr>
            <w:tcW w:w="0" w:type="auto"/>
            <w:hideMark/>
          </w:tcPr>
          <w:p w14:paraId="50148BB1" w14:textId="77777777" w:rsidR="00280764" w:rsidRPr="00280764" w:rsidRDefault="00280764" w:rsidP="00280764">
            <w:pPr>
              <w:spacing w:after="120"/>
              <w:rPr>
                <w:sz w:val="18"/>
                <w:szCs w:val="20"/>
              </w:rPr>
            </w:pPr>
            <w:r w:rsidRPr="00280764">
              <w:rPr>
                <w:sz w:val="18"/>
                <w:szCs w:val="20"/>
              </w:rPr>
              <w:t>~6-8%</w:t>
            </w:r>
          </w:p>
        </w:tc>
        <w:tc>
          <w:tcPr>
            <w:tcW w:w="0" w:type="auto"/>
            <w:hideMark/>
          </w:tcPr>
          <w:p w14:paraId="3F3FD52D" w14:textId="77777777" w:rsidR="00280764" w:rsidRPr="00280764" w:rsidRDefault="00280764" w:rsidP="00280764">
            <w:pPr>
              <w:spacing w:after="120"/>
              <w:rPr>
                <w:sz w:val="18"/>
                <w:szCs w:val="20"/>
              </w:rPr>
            </w:pPr>
            <w:r w:rsidRPr="00280764">
              <w:rPr>
                <w:sz w:val="18"/>
                <w:szCs w:val="20"/>
              </w:rPr>
              <w:t>~7-9%</w:t>
            </w:r>
          </w:p>
        </w:tc>
        <w:tc>
          <w:tcPr>
            <w:tcW w:w="0" w:type="auto"/>
            <w:hideMark/>
          </w:tcPr>
          <w:p w14:paraId="0EE1EAF4" w14:textId="77777777" w:rsidR="00280764" w:rsidRPr="00280764" w:rsidRDefault="00280764" w:rsidP="00280764">
            <w:pPr>
              <w:spacing w:after="120"/>
              <w:rPr>
                <w:sz w:val="18"/>
                <w:szCs w:val="20"/>
              </w:rPr>
            </w:pPr>
            <w:r w:rsidRPr="00280764">
              <w:rPr>
                <w:sz w:val="18"/>
                <w:szCs w:val="20"/>
              </w:rPr>
              <w:t>~12-14%</w:t>
            </w:r>
          </w:p>
        </w:tc>
        <w:tc>
          <w:tcPr>
            <w:tcW w:w="0" w:type="auto"/>
            <w:hideMark/>
          </w:tcPr>
          <w:p w14:paraId="0BFF50AF" w14:textId="77777777" w:rsidR="00280764" w:rsidRPr="00280764" w:rsidRDefault="00280764" w:rsidP="00280764">
            <w:pPr>
              <w:spacing w:after="120"/>
              <w:rPr>
                <w:sz w:val="18"/>
                <w:szCs w:val="20"/>
              </w:rPr>
            </w:pPr>
            <w:r w:rsidRPr="00280764">
              <w:rPr>
                <w:sz w:val="18"/>
                <w:szCs w:val="20"/>
              </w:rPr>
              <w:t>~14-16%</w:t>
            </w:r>
          </w:p>
        </w:tc>
        <w:tc>
          <w:tcPr>
            <w:tcW w:w="0" w:type="auto"/>
            <w:hideMark/>
          </w:tcPr>
          <w:p w14:paraId="5CC70C55" w14:textId="77777777" w:rsidR="00280764" w:rsidRPr="00280764" w:rsidRDefault="00280764" w:rsidP="00280764">
            <w:pPr>
              <w:spacing w:after="120"/>
              <w:rPr>
                <w:sz w:val="18"/>
                <w:szCs w:val="20"/>
              </w:rPr>
            </w:pPr>
            <w:r w:rsidRPr="00280764">
              <w:rPr>
                <w:sz w:val="18"/>
                <w:szCs w:val="20"/>
              </w:rPr>
              <w:t>~14-16%</w:t>
            </w:r>
          </w:p>
        </w:tc>
        <w:tc>
          <w:tcPr>
            <w:tcW w:w="0" w:type="auto"/>
            <w:hideMark/>
          </w:tcPr>
          <w:p w14:paraId="5B311303" w14:textId="77777777" w:rsidR="00280764" w:rsidRPr="00280764" w:rsidRDefault="00280764" w:rsidP="00280764">
            <w:pPr>
              <w:spacing w:after="120"/>
              <w:rPr>
                <w:sz w:val="18"/>
                <w:szCs w:val="20"/>
              </w:rPr>
            </w:pPr>
            <w:r w:rsidRPr="00280764">
              <w:rPr>
                <w:sz w:val="18"/>
                <w:szCs w:val="20"/>
              </w:rPr>
              <w:t>~6-8%</w:t>
            </w:r>
          </w:p>
        </w:tc>
      </w:tr>
      <w:tr w:rsidR="00280764" w:rsidRPr="00280764" w14:paraId="1417596D" w14:textId="77777777" w:rsidTr="00280764">
        <w:tc>
          <w:tcPr>
            <w:tcW w:w="0" w:type="auto"/>
            <w:hideMark/>
          </w:tcPr>
          <w:p w14:paraId="6A493E37" w14:textId="6C58F18B" w:rsidR="00280764" w:rsidRPr="00280764" w:rsidRDefault="00280764" w:rsidP="00280764">
            <w:pPr>
              <w:spacing w:after="120"/>
              <w:rPr>
                <w:sz w:val="18"/>
                <w:szCs w:val="20"/>
              </w:rPr>
            </w:pPr>
            <w:r w:rsidRPr="00280764">
              <w:rPr>
                <w:sz w:val="18"/>
                <w:szCs w:val="20"/>
              </w:rPr>
              <w:t>Satrix Global Aggregate Bond</w:t>
            </w:r>
            <w:r w:rsidR="008F1B52">
              <w:rPr>
                <w:sz w:val="18"/>
                <w:szCs w:val="20"/>
              </w:rPr>
              <w:t xml:space="preserve"> ETF</w:t>
            </w:r>
          </w:p>
        </w:tc>
        <w:tc>
          <w:tcPr>
            <w:tcW w:w="0" w:type="auto"/>
            <w:hideMark/>
          </w:tcPr>
          <w:p w14:paraId="16E4C097" w14:textId="77777777" w:rsidR="00280764" w:rsidRPr="00280764" w:rsidRDefault="00280764" w:rsidP="00280764">
            <w:pPr>
              <w:spacing w:after="120"/>
              <w:rPr>
                <w:sz w:val="18"/>
                <w:szCs w:val="20"/>
              </w:rPr>
            </w:pPr>
            <w:r w:rsidRPr="00280764">
              <w:rPr>
                <w:sz w:val="18"/>
                <w:szCs w:val="20"/>
              </w:rPr>
              <w:t>~-2-0%</w:t>
            </w:r>
          </w:p>
        </w:tc>
        <w:tc>
          <w:tcPr>
            <w:tcW w:w="0" w:type="auto"/>
            <w:hideMark/>
          </w:tcPr>
          <w:p w14:paraId="60BD16F4" w14:textId="77777777" w:rsidR="00280764" w:rsidRPr="00280764" w:rsidRDefault="00280764" w:rsidP="00280764">
            <w:pPr>
              <w:spacing w:after="120"/>
              <w:rPr>
                <w:sz w:val="18"/>
                <w:szCs w:val="20"/>
              </w:rPr>
            </w:pPr>
            <w:r w:rsidRPr="00280764">
              <w:rPr>
                <w:sz w:val="18"/>
                <w:szCs w:val="20"/>
              </w:rPr>
              <w:t>~-3- -1%</w:t>
            </w:r>
          </w:p>
        </w:tc>
        <w:tc>
          <w:tcPr>
            <w:tcW w:w="0" w:type="auto"/>
            <w:hideMark/>
          </w:tcPr>
          <w:p w14:paraId="51266E06" w14:textId="77777777" w:rsidR="00280764" w:rsidRPr="00280764" w:rsidRDefault="00280764" w:rsidP="00280764">
            <w:pPr>
              <w:spacing w:after="120"/>
              <w:rPr>
                <w:sz w:val="18"/>
                <w:szCs w:val="20"/>
              </w:rPr>
            </w:pPr>
            <w:r w:rsidRPr="00280764">
              <w:rPr>
                <w:sz w:val="18"/>
                <w:szCs w:val="20"/>
              </w:rPr>
              <w:t>~-4- -2%</w:t>
            </w:r>
          </w:p>
        </w:tc>
        <w:tc>
          <w:tcPr>
            <w:tcW w:w="0" w:type="auto"/>
            <w:hideMark/>
          </w:tcPr>
          <w:p w14:paraId="4A57BEC9" w14:textId="77777777" w:rsidR="00280764" w:rsidRPr="00280764" w:rsidRDefault="00280764" w:rsidP="00280764">
            <w:pPr>
              <w:spacing w:after="120"/>
              <w:rPr>
                <w:sz w:val="18"/>
                <w:szCs w:val="20"/>
              </w:rPr>
            </w:pPr>
            <w:r w:rsidRPr="00280764">
              <w:rPr>
                <w:sz w:val="18"/>
                <w:szCs w:val="20"/>
              </w:rPr>
              <w:t>~-6- -4%</w:t>
            </w:r>
          </w:p>
        </w:tc>
        <w:tc>
          <w:tcPr>
            <w:tcW w:w="0" w:type="auto"/>
            <w:hideMark/>
          </w:tcPr>
          <w:p w14:paraId="233F005C" w14:textId="77777777" w:rsidR="00280764" w:rsidRPr="00280764" w:rsidRDefault="00280764" w:rsidP="00280764">
            <w:pPr>
              <w:spacing w:after="120"/>
              <w:rPr>
                <w:sz w:val="18"/>
                <w:szCs w:val="20"/>
              </w:rPr>
            </w:pPr>
            <w:r w:rsidRPr="00280764">
              <w:rPr>
                <w:sz w:val="18"/>
                <w:szCs w:val="20"/>
              </w:rPr>
              <w:t>~2-4%</w:t>
            </w:r>
          </w:p>
        </w:tc>
        <w:tc>
          <w:tcPr>
            <w:tcW w:w="0" w:type="auto"/>
            <w:hideMark/>
          </w:tcPr>
          <w:p w14:paraId="42FD8D02" w14:textId="77777777" w:rsidR="00280764" w:rsidRPr="00280764" w:rsidRDefault="00280764" w:rsidP="00280764">
            <w:pPr>
              <w:spacing w:after="120"/>
              <w:rPr>
                <w:sz w:val="18"/>
                <w:szCs w:val="20"/>
              </w:rPr>
            </w:pPr>
            <w:r w:rsidRPr="00280764">
              <w:rPr>
                <w:sz w:val="18"/>
                <w:szCs w:val="20"/>
              </w:rPr>
              <w:t>~-1-1%</w:t>
            </w:r>
          </w:p>
        </w:tc>
      </w:tr>
      <w:tr w:rsidR="00280764" w:rsidRPr="00280764" w14:paraId="4753EB65" w14:textId="77777777" w:rsidTr="00280764">
        <w:tc>
          <w:tcPr>
            <w:tcW w:w="0" w:type="auto"/>
            <w:hideMark/>
          </w:tcPr>
          <w:p w14:paraId="5ECE59F3" w14:textId="12B8455B" w:rsidR="00280764" w:rsidRPr="00280764" w:rsidRDefault="00280764" w:rsidP="00280764">
            <w:pPr>
              <w:spacing w:after="120"/>
              <w:rPr>
                <w:sz w:val="18"/>
                <w:szCs w:val="20"/>
              </w:rPr>
            </w:pPr>
            <w:r w:rsidRPr="00280764">
              <w:rPr>
                <w:sz w:val="18"/>
                <w:szCs w:val="20"/>
              </w:rPr>
              <w:t>Satrix SA Bond</w:t>
            </w:r>
            <w:r w:rsidR="008F1B52">
              <w:rPr>
                <w:sz w:val="18"/>
                <w:szCs w:val="20"/>
              </w:rPr>
              <w:t xml:space="preserve"> ETF</w:t>
            </w:r>
          </w:p>
        </w:tc>
        <w:tc>
          <w:tcPr>
            <w:tcW w:w="0" w:type="auto"/>
            <w:hideMark/>
          </w:tcPr>
          <w:p w14:paraId="2D5DB7B0" w14:textId="77777777" w:rsidR="00280764" w:rsidRPr="00280764" w:rsidRDefault="00280764" w:rsidP="00280764">
            <w:pPr>
              <w:spacing w:after="120"/>
              <w:rPr>
                <w:sz w:val="18"/>
                <w:szCs w:val="20"/>
              </w:rPr>
            </w:pPr>
            <w:r w:rsidRPr="00280764">
              <w:rPr>
                <w:sz w:val="18"/>
                <w:szCs w:val="20"/>
              </w:rPr>
              <w:t>~8-10%</w:t>
            </w:r>
          </w:p>
        </w:tc>
        <w:tc>
          <w:tcPr>
            <w:tcW w:w="0" w:type="auto"/>
            <w:hideMark/>
          </w:tcPr>
          <w:p w14:paraId="7F5CB0CD" w14:textId="77777777" w:rsidR="00280764" w:rsidRPr="00280764" w:rsidRDefault="00280764" w:rsidP="00280764">
            <w:pPr>
              <w:spacing w:after="120"/>
              <w:rPr>
                <w:sz w:val="18"/>
                <w:szCs w:val="20"/>
              </w:rPr>
            </w:pPr>
            <w:r w:rsidRPr="00280764">
              <w:rPr>
                <w:sz w:val="18"/>
                <w:szCs w:val="20"/>
              </w:rPr>
              <w:t>~9-11%</w:t>
            </w:r>
          </w:p>
        </w:tc>
        <w:tc>
          <w:tcPr>
            <w:tcW w:w="0" w:type="auto"/>
            <w:hideMark/>
          </w:tcPr>
          <w:p w14:paraId="21F7AED2" w14:textId="77777777" w:rsidR="00280764" w:rsidRPr="00280764" w:rsidRDefault="00280764" w:rsidP="00280764">
            <w:pPr>
              <w:spacing w:after="120"/>
              <w:rPr>
                <w:sz w:val="18"/>
                <w:szCs w:val="20"/>
              </w:rPr>
            </w:pPr>
            <w:r w:rsidRPr="00280764">
              <w:rPr>
                <w:sz w:val="18"/>
                <w:szCs w:val="20"/>
              </w:rPr>
              <w:t>~15-17%</w:t>
            </w:r>
          </w:p>
        </w:tc>
        <w:tc>
          <w:tcPr>
            <w:tcW w:w="0" w:type="auto"/>
            <w:hideMark/>
          </w:tcPr>
          <w:p w14:paraId="35FA7BFE" w14:textId="77777777" w:rsidR="00280764" w:rsidRPr="00280764" w:rsidRDefault="00280764" w:rsidP="00280764">
            <w:pPr>
              <w:spacing w:after="120"/>
              <w:rPr>
                <w:sz w:val="18"/>
                <w:szCs w:val="20"/>
              </w:rPr>
            </w:pPr>
            <w:r w:rsidRPr="00280764">
              <w:rPr>
                <w:sz w:val="18"/>
                <w:szCs w:val="20"/>
              </w:rPr>
              <w:t>~22-24%</w:t>
            </w:r>
          </w:p>
        </w:tc>
        <w:tc>
          <w:tcPr>
            <w:tcW w:w="0" w:type="auto"/>
            <w:hideMark/>
          </w:tcPr>
          <w:p w14:paraId="6573809C" w14:textId="77777777" w:rsidR="00280764" w:rsidRPr="00280764" w:rsidRDefault="00280764" w:rsidP="00280764">
            <w:pPr>
              <w:spacing w:after="120"/>
              <w:rPr>
                <w:sz w:val="18"/>
                <w:szCs w:val="20"/>
              </w:rPr>
            </w:pPr>
            <w:r w:rsidRPr="00280764">
              <w:rPr>
                <w:sz w:val="18"/>
                <w:szCs w:val="20"/>
              </w:rPr>
              <w:t>~15-17%</w:t>
            </w:r>
          </w:p>
        </w:tc>
        <w:tc>
          <w:tcPr>
            <w:tcW w:w="0" w:type="auto"/>
            <w:hideMark/>
          </w:tcPr>
          <w:p w14:paraId="1B19C980" w14:textId="77777777" w:rsidR="00280764" w:rsidRPr="00280764" w:rsidRDefault="00280764" w:rsidP="00280764">
            <w:pPr>
              <w:spacing w:after="120"/>
              <w:rPr>
                <w:sz w:val="18"/>
                <w:szCs w:val="20"/>
              </w:rPr>
            </w:pPr>
            <w:r w:rsidRPr="00280764">
              <w:rPr>
                <w:sz w:val="18"/>
                <w:szCs w:val="20"/>
              </w:rPr>
              <w:t>~11-13%</w:t>
            </w:r>
          </w:p>
        </w:tc>
      </w:tr>
    </w:tbl>
    <w:p w14:paraId="0F720CD9" w14:textId="77777777" w:rsidR="00CF068A" w:rsidRDefault="00CF068A" w:rsidP="0057695E">
      <w:pPr>
        <w:rPr>
          <w:lang w:eastAsia="af-ZA"/>
        </w:rPr>
      </w:pPr>
    </w:p>
    <w:p w14:paraId="3FD370D4" w14:textId="77777777" w:rsidR="00D30209" w:rsidRPr="00AC493A" w:rsidRDefault="00D30209" w:rsidP="00AC493A">
      <w:pPr>
        <w:pStyle w:val="Heading2"/>
        <w:rPr>
          <w:lang w:val="en-ZA"/>
        </w:rPr>
      </w:pPr>
      <w:r w:rsidRPr="00AC493A">
        <w:rPr>
          <w:lang w:val="en-ZA"/>
        </w:rPr>
        <w:t xml:space="preserve">Notes: </w:t>
      </w:r>
    </w:p>
    <w:p w14:paraId="557780FD" w14:textId="77777777" w:rsidR="005F30B5" w:rsidRDefault="005F30B5" w:rsidP="005F30B5">
      <w:pPr>
        <w:pStyle w:val="ListParagraph"/>
        <w:numPr>
          <w:ilvl w:val="0"/>
          <w:numId w:val="11"/>
        </w:numPr>
        <w:spacing w:line="259" w:lineRule="auto"/>
        <w:contextualSpacing w:val="0"/>
      </w:pPr>
      <w:r>
        <w:t>Returns are total returns in ZAR terms, influenced by USD/ZAR fluctuations (rand movements affected 2025 gains).</w:t>
      </w:r>
    </w:p>
    <w:p w14:paraId="649C6012" w14:textId="77777777" w:rsidR="005F30B5" w:rsidRDefault="005F30B5" w:rsidP="005F30B5">
      <w:pPr>
        <w:pStyle w:val="ListParagraph"/>
        <w:numPr>
          <w:ilvl w:val="0"/>
          <w:numId w:val="11"/>
        </w:numPr>
        <w:spacing w:line="259" w:lineRule="auto"/>
        <w:contextualSpacing w:val="0"/>
      </w:pPr>
      <w:r>
        <w:t>Short-term periods are non-annualized total returns.</w:t>
      </w:r>
    </w:p>
    <w:p w14:paraId="5E1E7D89" w14:textId="77777777" w:rsidR="005F30B5" w:rsidRDefault="005F30B5" w:rsidP="005F30B5">
      <w:pPr>
        <w:pStyle w:val="ListParagraph"/>
        <w:numPr>
          <w:ilvl w:val="0"/>
          <w:numId w:val="11"/>
        </w:numPr>
        <w:spacing w:line="259" w:lineRule="auto"/>
        <w:contextualSpacing w:val="0"/>
      </w:pPr>
      <w:r>
        <w:t>Longer periods are annualized.</w:t>
      </w:r>
    </w:p>
    <w:p w14:paraId="52C2D94B" w14:textId="77777777" w:rsidR="005F30B5" w:rsidRDefault="005F30B5" w:rsidP="005F30B5">
      <w:pPr>
        <w:pStyle w:val="ListParagraph"/>
        <w:numPr>
          <w:ilvl w:val="0"/>
          <w:numId w:val="11"/>
        </w:numPr>
        <w:spacing w:line="259" w:lineRule="auto"/>
        <w:contextualSpacing w:val="0"/>
      </w:pPr>
      <w:r>
        <w:t>Equities led gains in recovery periods, while bonds provided stability; 2025 saw strong SA bonds due to local yields.</w:t>
      </w:r>
    </w:p>
    <w:p w14:paraId="08A0149D" w14:textId="44A7DFEE" w:rsidR="00F633DF" w:rsidRPr="00C8056F" w:rsidRDefault="005F30B5" w:rsidP="005F30B5">
      <w:pPr>
        <w:pStyle w:val="ListParagraph"/>
        <w:numPr>
          <w:ilvl w:val="0"/>
          <w:numId w:val="11"/>
        </w:numPr>
        <w:spacing w:line="259" w:lineRule="auto"/>
        <w:contextualSpacing w:val="0"/>
      </w:pPr>
      <w:r>
        <w:t xml:space="preserve">Past performance is not indicative of future results </w:t>
      </w:r>
      <w:r w:rsidR="00F633DF">
        <w:br w:type="page"/>
      </w:r>
    </w:p>
    <w:p w14:paraId="1756F7D6" w14:textId="5393FE41" w:rsidR="00D30209" w:rsidRDefault="00D30209" w:rsidP="006504A3">
      <w:pPr>
        <w:pStyle w:val="Heading2"/>
        <w:rPr>
          <w:lang w:val="en-ZA"/>
        </w:rPr>
      </w:pPr>
      <w:r w:rsidRPr="006504A3">
        <w:rPr>
          <w:lang w:val="en-ZA"/>
        </w:rPr>
        <w:lastRenderedPageBreak/>
        <w:t>Max Loss and Volatility</w:t>
      </w:r>
    </w:p>
    <w:p w14:paraId="2626D797" w14:textId="77777777" w:rsidR="005F30B5" w:rsidRDefault="005F30B5" w:rsidP="005F30B5">
      <w:pPr>
        <w:rPr>
          <w:lang w:eastAsia="af-ZA"/>
        </w:rPr>
      </w:pPr>
    </w:p>
    <w:tbl>
      <w:tblPr>
        <w:tblStyle w:val="TableGrid"/>
        <w:tblW w:w="0" w:type="auto"/>
        <w:tblLook w:val="04A0" w:firstRow="1" w:lastRow="0" w:firstColumn="1" w:lastColumn="0" w:noHBand="0" w:noVBand="1"/>
      </w:tblPr>
      <w:tblGrid>
        <w:gridCol w:w="1979"/>
        <w:gridCol w:w="2266"/>
        <w:gridCol w:w="2321"/>
        <w:gridCol w:w="2450"/>
      </w:tblGrid>
      <w:tr w:rsidR="005F30B5" w:rsidRPr="005F30B5" w14:paraId="6968F465" w14:textId="77777777" w:rsidTr="005F30B5">
        <w:tc>
          <w:tcPr>
            <w:tcW w:w="0" w:type="auto"/>
            <w:hideMark/>
          </w:tcPr>
          <w:p w14:paraId="15793354" w14:textId="77777777" w:rsidR="005F30B5" w:rsidRPr="005F30B5" w:rsidRDefault="005F30B5" w:rsidP="00CA5C96">
            <w:pPr>
              <w:spacing w:after="120" w:line="276" w:lineRule="auto"/>
              <w:rPr>
                <w:sz w:val="18"/>
                <w:szCs w:val="20"/>
              </w:rPr>
            </w:pPr>
            <w:r w:rsidRPr="005F30B5">
              <w:rPr>
                <w:sz w:val="18"/>
                <w:szCs w:val="20"/>
              </w:rPr>
              <w:t>ETF Name</w:t>
            </w:r>
          </w:p>
        </w:tc>
        <w:tc>
          <w:tcPr>
            <w:tcW w:w="0" w:type="auto"/>
            <w:hideMark/>
          </w:tcPr>
          <w:p w14:paraId="65B2CC7E" w14:textId="77777777" w:rsidR="005F30B5" w:rsidRPr="005F30B5" w:rsidRDefault="005F30B5" w:rsidP="00CA5C96">
            <w:pPr>
              <w:spacing w:after="120" w:line="276" w:lineRule="auto"/>
              <w:rPr>
                <w:sz w:val="18"/>
                <w:szCs w:val="20"/>
              </w:rPr>
            </w:pPr>
            <w:r w:rsidRPr="005F30B5">
              <w:rPr>
                <w:sz w:val="18"/>
                <w:szCs w:val="20"/>
              </w:rPr>
              <w:t>Volatility (Annualized, approx. 3-5 Year)</w:t>
            </w:r>
          </w:p>
        </w:tc>
        <w:tc>
          <w:tcPr>
            <w:tcW w:w="0" w:type="auto"/>
            <w:hideMark/>
          </w:tcPr>
          <w:p w14:paraId="175BF9B5" w14:textId="77777777" w:rsidR="005F30B5" w:rsidRPr="005F30B5" w:rsidRDefault="005F30B5" w:rsidP="00CA5C96">
            <w:pPr>
              <w:spacing w:after="120" w:line="276" w:lineRule="auto"/>
              <w:rPr>
                <w:sz w:val="18"/>
                <w:szCs w:val="20"/>
              </w:rPr>
            </w:pPr>
            <w:r w:rsidRPr="005F30B5">
              <w:rPr>
                <w:sz w:val="18"/>
                <w:szCs w:val="20"/>
              </w:rPr>
              <w:t>Maximum Drawdown (Historical, approx.)</w:t>
            </w:r>
          </w:p>
        </w:tc>
        <w:tc>
          <w:tcPr>
            <w:tcW w:w="0" w:type="auto"/>
            <w:hideMark/>
          </w:tcPr>
          <w:p w14:paraId="3E8758DD" w14:textId="77777777" w:rsidR="005F30B5" w:rsidRPr="005F30B5" w:rsidRDefault="005F30B5" w:rsidP="00CA5C96">
            <w:pPr>
              <w:spacing w:after="120" w:line="276" w:lineRule="auto"/>
              <w:rPr>
                <w:sz w:val="18"/>
                <w:szCs w:val="20"/>
              </w:rPr>
            </w:pPr>
            <w:r w:rsidRPr="005F30B5">
              <w:rPr>
                <w:sz w:val="18"/>
                <w:szCs w:val="20"/>
              </w:rPr>
              <w:t>Notes</w:t>
            </w:r>
          </w:p>
        </w:tc>
      </w:tr>
      <w:tr w:rsidR="005F30B5" w:rsidRPr="005F30B5" w14:paraId="54EB7C14" w14:textId="77777777" w:rsidTr="005F30B5">
        <w:tc>
          <w:tcPr>
            <w:tcW w:w="0" w:type="auto"/>
            <w:hideMark/>
          </w:tcPr>
          <w:p w14:paraId="7A74A5EC" w14:textId="64D48CAF" w:rsidR="005F30B5" w:rsidRPr="005F30B5" w:rsidRDefault="005F30B5" w:rsidP="00CA5C96">
            <w:pPr>
              <w:spacing w:after="120" w:line="276" w:lineRule="auto"/>
              <w:rPr>
                <w:sz w:val="18"/>
                <w:szCs w:val="20"/>
              </w:rPr>
            </w:pPr>
            <w:r w:rsidRPr="005F30B5">
              <w:rPr>
                <w:sz w:val="18"/>
                <w:szCs w:val="20"/>
              </w:rPr>
              <w:t xml:space="preserve">xAI Global Balanced </w:t>
            </w:r>
            <w:r w:rsidR="008F1B52">
              <w:rPr>
                <w:sz w:val="18"/>
                <w:szCs w:val="20"/>
              </w:rPr>
              <w:t>Strategy</w:t>
            </w:r>
          </w:p>
        </w:tc>
        <w:tc>
          <w:tcPr>
            <w:tcW w:w="0" w:type="auto"/>
            <w:hideMark/>
          </w:tcPr>
          <w:p w14:paraId="680E49C4" w14:textId="77777777" w:rsidR="005F30B5" w:rsidRPr="005F30B5" w:rsidRDefault="005F30B5" w:rsidP="00CA5C96">
            <w:pPr>
              <w:spacing w:after="120" w:line="276" w:lineRule="auto"/>
              <w:rPr>
                <w:sz w:val="18"/>
                <w:szCs w:val="20"/>
              </w:rPr>
            </w:pPr>
            <w:r w:rsidRPr="005F30B5">
              <w:rPr>
                <w:sz w:val="18"/>
                <w:szCs w:val="20"/>
              </w:rPr>
              <w:t>~14-18%</w:t>
            </w:r>
          </w:p>
        </w:tc>
        <w:tc>
          <w:tcPr>
            <w:tcW w:w="0" w:type="auto"/>
            <w:hideMark/>
          </w:tcPr>
          <w:p w14:paraId="0730C7F0" w14:textId="77777777" w:rsidR="005F30B5" w:rsidRPr="005F30B5" w:rsidRDefault="005F30B5" w:rsidP="00CA5C96">
            <w:pPr>
              <w:spacing w:after="120" w:line="276" w:lineRule="auto"/>
              <w:rPr>
                <w:sz w:val="18"/>
                <w:szCs w:val="20"/>
              </w:rPr>
            </w:pPr>
            <w:r w:rsidRPr="005F30B5">
              <w:rPr>
                <w:sz w:val="18"/>
                <w:szCs w:val="20"/>
              </w:rPr>
              <w:t>~20-30%</w:t>
            </w:r>
          </w:p>
        </w:tc>
        <w:tc>
          <w:tcPr>
            <w:tcW w:w="0" w:type="auto"/>
            <w:hideMark/>
          </w:tcPr>
          <w:p w14:paraId="7572EC98" w14:textId="77777777" w:rsidR="005F30B5" w:rsidRPr="005F30B5" w:rsidRDefault="005F30B5" w:rsidP="00CA5C96">
            <w:pPr>
              <w:spacing w:after="120" w:line="276" w:lineRule="auto"/>
              <w:rPr>
                <w:sz w:val="18"/>
                <w:szCs w:val="20"/>
              </w:rPr>
            </w:pPr>
            <w:r w:rsidRPr="005F30B5">
              <w:rPr>
                <w:sz w:val="18"/>
                <w:szCs w:val="20"/>
              </w:rPr>
              <w:t>Blended; moderated by bond allocation.</w:t>
            </w:r>
          </w:p>
        </w:tc>
      </w:tr>
      <w:tr w:rsidR="005F30B5" w:rsidRPr="005F30B5" w14:paraId="7ECB2A86" w14:textId="77777777" w:rsidTr="005F30B5">
        <w:tc>
          <w:tcPr>
            <w:tcW w:w="0" w:type="auto"/>
            <w:hideMark/>
          </w:tcPr>
          <w:p w14:paraId="6903E4A7" w14:textId="29938422" w:rsidR="005F30B5" w:rsidRPr="005F30B5" w:rsidRDefault="005F30B5" w:rsidP="00CA5C96">
            <w:pPr>
              <w:spacing w:after="120" w:line="276" w:lineRule="auto"/>
              <w:rPr>
                <w:sz w:val="18"/>
                <w:szCs w:val="20"/>
              </w:rPr>
            </w:pPr>
            <w:r w:rsidRPr="005F30B5">
              <w:rPr>
                <w:sz w:val="18"/>
                <w:szCs w:val="20"/>
              </w:rPr>
              <w:t>Satrix MSCI World</w:t>
            </w:r>
            <w:r w:rsidR="00CA5C96">
              <w:rPr>
                <w:sz w:val="18"/>
                <w:szCs w:val="20"/>
              </w:rPr>
              <w:t xml:space="preserve"> ETF</w:t>
            </w:r>
          </w:p>
        </w:tc>
        <w:tc>
          <w:tcPr>
            <w:tcW w:w="0" w:type="auto"/>
            <w:hideMark/>
          </w:tcPr>
          <w:p w14:paraId="5567CF41" w14:textId="77777777" w:rsidR="005F30B5" w:rsidRPr="005F30B5" w:rsidRDefault="005F30B5" w:rsidP="00CA5C96">
            <w:pPr>
              <w:spacing w:after="120" w:line="276" w:lineRule="auto"/>
              <w:rPr>
                <w:sz w:val="18"/>
                <w:szCs w:val="20"/>
              </w:rPr>
            </w:pPr>
            <w:r w:rsidRPr="005F30B5">
              <w:rPr>
                <w:sz w:val="18"/>
                <w:szCs w:val="20"/>
              </w:rPr>
              <w:t>15-19%</w:t>
            </w:r>
          </w:p>
        </w:tc>
        <w:tc>
          <w:tcPr>
            <w:tcW w:w="0" w:type="auto"/>
            <w:hideMark/>
          </w:tcPr>
          <w:p w14:paraId="0A86E2BC" w14:textId="77777777" w:rsidR="005F30B5" w:rsidRPr="005F30B5" w:rsidRDefault="005F30B5" w:rsidP="00CA5C96">
            <w:pPr>
              <w:spacing w:after="120" w:line="276" w:lineRule="auto"/>
              <w:rPr>
                <w:sz w:val="18"/>
                <w:szCs w:val="20"/>
              </w:rPr>
            </w:pPr>
            <w:r w:rsidRPr="005F30B5">
              <w:rPr>
                <w:sz w:val="18"/>
                <w:szCs w:val="20"/>
              </w:rPr>
              <w:t>-25% to -30% (2022)</w:t>
            </w:r>
          </w:p>
        </w:tc>
        <w:tc>
          <w:tcPr>
            <w:tcW w:w="0" w:type="auto"/>
            <w:hideMark/>
          </w:tcPr>
          <w:p w14:paraId="73B4EBE8" w14:textId="77777777" w:rsidR="005F30B5" w:rsidRPr="005F30B5" w:rsidRDefault="005F30B5" w:rsidP="00CA5C96">
            <w:pPr>
              <w:spacing w:after="120" w:line="276" w:lineRule="auto"/>
              <w:rPr>
                <w:sz w:val="18"/>
                <w:szCs w:val="20"/>
              </w:rPr>
            </w:pPr>
            <w:r w:rsidRPr="005F30B5">
              <w:rPr>
                <w:sz w:val="18"/>
                <w:szCs w:val="20"/>
              </w:rPr>
              <w:t>Moderate due to global diversification.</w:t>
            </w:r>
          </w:p>
        </w:tc>
      </w:tr>
      <w:tr w:rsidR="005F30B5" w:rsidRPr="005F30B5" w14:paraId="273C9795" w14:textId="77777777" w:rsidTr="005F30B5">
        <w:tc>
          <w:tcPr>
            <w:tcW w:w="0" w:type="auto"/>
            <w:hideMark/>
          </w:tcPr>
          <w:p w14:paraId="532B51A3" w14:textId="7AC36B6E" w:rsidR="005F30B5" w:rsidRPr="005F30B5" w:rsidRDefault="005F30B5" w:rsidP="00CA5C96">
            <w:pPr>
              <w:spacing w:after="120" w:line="276" w:lineRule="auto"/>
              <w:rPr>
                <w:sz w:val="18"/>
                <w:szCs w:val="20"/>
              </w:rPr>
            </w:pPr>
            <w:r w:rsidRPr="005F30B5">
              <w:rPr>
                <w:sz w:val="18"/>
                <w:szCs w:val="20"/>
              </w:rPr>
              <w:t xml:space="preserve">Satrix </w:t>
            </w:r>
            <w:r w:rsidR="00670A63">
              <w:rPr>
                <w:sz w:val="18"/>
                <w:szCs w:val="20"/>
              </w:rPr>
              <w:t>S&amp;P 500</w:t>
            </w:r>
            <w:r w:rsidR="00CA5C96">
              <w:rPr>
                <w:sz w:val="18"/>
                <w:szCs w:val="20"/>
              </w:rPr>
              <w:t xml:space="preserve"> ETF</w:t>
            </w:r>
          </w:p>
        </w:tc>
        <w:tc>
          <w:tcPr>
            <w:tcW w:w="0" w:type="auto"/>
            <w:hideMark/>
          </w:tcPr>
          <w:p w14:paraId="3FE7B6E7" w14:textId="77777777" w:rsidR="005F30B5" w:rsidRPr="005F30B5" w:rsidRDefault="005F30B5" w:rsidP="00CA5C96">
            <w:pPr>
              <w:spacing w:after="120" w:line="276" w:lineRule="auto"/>
              <w:rPr>
                <w:sz w:val="18"/>
                <w:szCs w:val="20"/>
              </w:rPr>
            </w:pPr>
            <w:r w:rsidRPr="005F30B5">
              <w:rPr>
                <w:sz w:val="18"/>
                <w:szCs w:val="20"/>
              </w:rPr>
              <w:t>22-28%</w:t>
            </w:r>
          </w:p>
        </w:tc>
        <w:tc>
          <w:tcPr>
            <w:tcW w:w="0" w:type="auto"/>
            <w:hideMark/>
          </w:tcPr>
          <w:p w14:paraId="376089D8" w14:textId="77777777" w:rsidR="005F30B5" w:rsidRPr="005F30B5" w:rsidRDefault="005F30B5" w:rsidP="00CA5C96">
            <w:pPr>
              <w:spacing w:after="120" w:line="276" w:lineRule="auto"/>
              <w:rPr>
                <w:sz w:val="18"/>
                <w:szCs w:val="20"/>
              </w:rPr>
            </w:pPr>
            <w:r w:rsidRPr="005F30B5">
              <w:rPr>
                <w:sz w:val="18"/>
                <w:szCs w:val="20"/>
              </w:rPr>
              <w:t>-35% to -40% (2022 tech correction)</w:t>
            </w:r>
          </w:p>
        </w:tc>
        <w:tc>
          <w:tcPr>
            <w:tcW w:w="0" w:type="auto"/>
            <w:hideMark/>
          </w:tcPr>
          <w:p w14:paraId="0D94F9B7" w14:textId="77777777" w:rsidR="005F30B5" w:rsidRPr="005F30B5" w:rsidRDefault="005F30B5" w:rsidP="00CA5C96">
            <w:pPr>
              <w:spacing w:after="120" w:line="276" w:lineRule="auto"/>
              <w:rPr>
                <w:sz w:val="18"/>
                <w:szCs w:val="20"/>
              </w:rPr>
            </w:pPr>
            <w:r w:rsidRPr="005F30B5">
              <w:rPr>
                <w:sz w:val="18"/>
                <w:szCs w:val="20"/>
              </w:rPr>
              <w:t>Highest volatility from tech concentration.</w:t>
            </w:r>
          </w:p>
        </w:tc>
      </w:tr>
      <w:tr w:rsidR="005F30B5" w:rsidRPr="005F30B5" w14:paraId="0756ED8D" w14:textId="77777777" w:rsidTr="005F30B5">
        <w:tc>
          <w:tcPr>
            <w:tcW w:w="0" w:type="auto"/>
            <w:hideMark/>
          </w:tcPr>
          <w:p w14:paraId="5A8FE826" w14:textId="54592980" w:rsidR="005F30B5" w:rsidRPr="005F30B5" w:rsidRDefault="005F30B5" w:rsidP="00CA5C96">
            <w:pPr>
              <w:spacing w:after="120" w:line="276" w:lineRule="auto"/>
              <w:rPr>
                <w:sz w:val="18"/>
                <w:szCs w:val="20"/>
              </w:rPr>
            </w:pPr>
            <w:r w:rsidRPr="005F30B5">
              <w:rPr>
                <w:sz w:val="18"/>
                <w:szCs w:val="20"/>
              </w:rPr>
              <w:t>Satrix MSCI Emerging Markets</w:t>
            </w:r>
            <w:r w:rsidR="00CA5C96">
              <w:rPr>
                <w:sz w:val="18"/>
                <w:szCs w:val="20"/>
              </w:rPr>
              <w:t xml:space="preserve"> ETF</w:t>
            </w:r>
          </w:p>
        </w:tc>
        <w:tc>
          <w:tcPr>
            <w:tcW w:w="0" w:type="auto"/>
            <w:hideMark/>
          </w:tcPr>
          <w:p w14:paraId="5DC9DC69" w14:textId="77777777" w:rsidR="005F30B5" w:rsidRPr="005F30B5" w:rsidRDefault="005F30B5" w:rsidP="00CA5C96">
            <w:pPr>
              <w:spacing w:after="120" w:line="276" w:lineRule="auto"/>
              <w:rPr>
                <w:sz w:val="18"/>
                <w:szCs w:val="20"/>
              </w:rPr>
            </w:pPr>
            <w:r w:rsidRPr="005F30B5">
              <w:rPr>
                <w:sz w:val="18"/>
                <w:szCs w:val="20"/>
              </w:rPr>
              <w:t>18-24%</w:t>
            </w:r>
          </w:p>
        </w:tc>
        <w:tc>
          <w:tcPr>
            <w:tcW w:w="0" w:type="auto"/>
            <w:hideMark/>
          </w:tcPr>
          <w:p w14:paraId="2419837C" w14:textId="77777777" w:rsidR="005F30B5" w:rsidRPr="005F30B5" w:rsidRDefault="005F30B5" w:rsidP="00CA5C96">
            <w:pPr>
              <w:spacing w:after="120" w:line="276" w:lineRule="auto"/>
              <w:rPr>
                <w:sz w:val="18"/>
                <w:szCs w:val="20"/>
              </w:rPr>
            </w:pPr>
            <w:r w:rsidRPr="005F30B5">
              <w:rPr>
                <w:sz w:val="18"/>
                <w:szCs w:val="20"/>
              </w:rPr>
              <w:t>-35% to -45% (incl. EM weakness)</w:t>
            </w:r>
          </w:p>
        </w:tc>
        <w:tc>
          <w:tcPr>
            <w:tcW w:w="0" w:type="auto"/>
            <w:hideMark/>
          </w:tcPr>
          <w:p w14:paraId="01D5EFA3" w14:textId="77777777" w:rsidR="005F30B5" w:rsidRPr="005F30B5" w:rsidRDefault="005F30B5" w:rsidP="00CA5C96">
            <w:pPr>
              <w:spacing w:after="120" w:line="276" w:lineRule="auto"/>
              <w:rPr>
                <w:sz w:val="18"/>
                <w:szCs w:val="20"/>
              </w:rPr>
            </w:pPr>
            <w:r w:rsidRPr="005F30B5">
              <w:rPr>
                <w:sz w:val="18"/>
                <w:szCs w:val="20"/>
              </w:rPr>
              <w:t>Higher risk from emerging markets.</w:t>
            </w:r>
          </w:p>
        </w:tc>
      </w:tr>
      <w:tr w:rsidR="005F30B5" w:rsidRPr="005F30B5" w14:paraId="18401F11" w14:textId="77777777" w:rsidTr="005F30B5">
        <w:tc>
          <w:tcPr>
            <w:tcW w:w="0" w:type="auto"/>
            <w:hideMark/>
          </w:tcPr>
          <w:p w14:paraId="2CE3E995" w14:textId="4407B67C" w:rsidR="005F30B5" w:rsidRPr="005F30B5" w:rsidRDefault="005F30B5" w:rsidP="00CA5C96">
            <w:pPr>
              <w:spacing w:after="120" w:line="276" w:lineRule="auto"/>
              <w:rPr>
                <w:sz w:val="18"/>
                <w:szCs w:val="20"/>
              </w:rPr>
            </w:pPr>
            <w:r w:rsidRPr="005F30B5">
              <w:rPr>
                <w:sz w:val="18"/>
                <w:szCs w:val="20"/>
              </w:rPr>
              <w:t>Satrix Global Aggregate Bond</w:t>
            </w:r>
            <w:r w:rsidR="00CA5C96">
              <w:rPr>
                <w:sz w:val="18"/>
                <w:szCs w:val="20"/>
              </w:rPr>
              <w:t xml:space="preserve"> ETF</w:t>
            </w:r>
          </w:p>
        </w:tc>
        <w:tc>
          <w:tcPr>
            <w:tcW w:w="0" w:type="auto"/>
            <w:hideMark/>
          </w:tcPr>
          <w:p w14:paraId="3E84BBCE" w14:textId="77777777" w:rsidR="005F30B5" w:rsidRPr="005F30B5" w:rsidRDefault="005F30B5" w:rsidP="00CA5C96">
            <w:pPr>
              <w:spacing w:after="120" w:line="276" w:lineRule="auto"/>
              <w:rPr>
                <w:sz w:val="18"/>
                <w:szCs w:val="20"/>
              </w:rPr>
            </w:pPr>
            <w:r w:rsidRPr="005F30B5">
              <w:rPr>
                <w:sz w:val="18"/>
                <w:szCs w:val="20"/>
              </w:rPr>
              <w:t>8-12%</w:t>
            </w:r>
          </w:p>
        </w:tc>
        <w:tc>
          <w:tcPr>
            <w:tcW w:w="0" w:type="auto"/>
            <w:hideMark/>
          </w:tcPr>
          <w:p w14:paraId="0525B1C2" w14:textId="77777777" w:rsidR="005F30B5" w:rsidRPr="005F30B5" w:rsidRDefault="005F30B5" w:rsidP="00CA5C96">
            <w:pPr>
              <w:spacing w:after="120" w:line="276" w:lineRule="auto"/>
              <w:rPr>
                <w:sz w:val="18"/>
                <w:szCs w:val="20"/>
              </w:rPr>
            </w:pPr>
            <w:r w:rsidRPr="005F30B5">
              <w:rPr>
                <w:sz w:val="18"/>
                <w:szCs w:val="20"/>
              </w:rPr>
              <w:t>-15% to -20% (rate hikes)</w:t>
            </w:r>
          </w:p>
        </w:tc>
        <w:tc>
          <w:tcPr>
            <w:tcW w:w="0" w:type="auto"/>
            <w:hideMark/>
          </w:tcPr>
          <w:p w14:paraId="12210817" w14:textId="77777777" w:rsidR="005F30B5" w:rsidRPr="005F30B5" w:rsidRDefault="005F30B5" w:rsidP="00CA5C96">
            <w:pPr>
              <w:spacing w:after="120" w:line="276" w:lineRule="auto"/>
              <w:rPr>
                <w:sz w:val="18"/>
                <w:szCs w:val="20"/>
              </w:rPr>
            </w:pPr>
            <w:r w:rsidRPr="005F30B5">
              <w:rPr>
                <w:sz w:val="18"/>
                <w:szCs w:val="20"/>
              </w:rPr>
              <w:t>Lower volatility as fixed income.</w:t>
            </w:r>
          </w:p>
        </w:tc>
      </w:tr>
      <w:tr w:rsidR="005F30B5" w:rsidRPr="005F30B5" w14:paraId="50BDB591" w14:textId="77777777" w:rsidTr="005F30B5">
        <w:tc>
          <w:tcPr>
            <w:tcW w:w="0" w:type="auto"/>
            <w:hideMark/>
          </w:tcPr>
          <w:p w14:paraId="6EF4984E" w14:textId="12E7180E" w:rsidR="005F30B5" w:rsidRPr="005F30B5" w:rsidRDefault="005F30B5" w:rsidP="00CA5C96">
            <w:pPr>
              <w:spacing w:after="120" w:line="276" w:lineRule="auto"/>
              <w:rPr>
                <w:sz w:val="18"/>
                <w:szCs w:val="20"/>
              </w:rPr>
            </w:pPr>
            <w:r w:rsidRPr="005F30B5">
              <w:rPr>
                <w:sz w:val="18"/>
                <w:szCs w:val="20"/>
              </w:rPr>
              <w:t>Satrix SA Bond</w:t>
            </w:r>
            <w:r w:rsidR="00CA5C96">
              <w:rPr>
                <w:sz w:val="18"/>
                <w:szCs w:val="20"/>
              </w:rPr>
              <w:t xml:space="preserve"> ETF</w:t>
            </w:r>
          </w:p>
        </w:tc>
        <w:tc>
          <w:tcPr>
            <w:tcW w:w="0" w:type="auto"/>
            <w:hideMark/>
          </w:tcPr>
          <w:p w14:paraId="3883CCF7" w14:textId="77777777" w:rsidR="005F30B5" w:rsidRPr="005F30B5" w:rsidRDefault="005F30B5" w:rsidP="00CA5C96">
            <w:pPr>
              <w:spacing w:after="120" w:line="276" w:lineRule="auto"/>
              <w:rPr>
                <w:sz w:val="18"/>
                <w:szCs w:val="20"/>
              </w:rPr>
            </w:pPr>
            <w:r w:rsidRPr="005F30B5">
              <w:rPr>
                <w:sz w:val="18"/>
                <w:szCs w:val="20"/>
              </w:rPr>
              <w:t>7-11%</w:t>
            </w:r>
          </w:p>
        </w:tc>
        <w:tc>
          <w:tcPr>
            <w:tcW w:w="0" w:type="auto"/>
            <w:hideMark/>
          </w:tcPr>
          <w:p w14:paraId="335AF779" w14:textId="77777777" w:rsidR="005F30B5" w:rsidRPr="005F30B5" w:rsidRDefault="005F30B5" w:rsidP="00CA5C96">
            <w:pPr>
              <w:spacing w:after="120" w:line="276" w:lineRule="auto"/>
              <w:rPr>
                <w:sz w:val="18"/>
                <w:szCs w:val="20"/>
              </w:rPr>
            </w:pPr>
            <w:r w:rsidRPr="005F30B5">
              <w:rPr>
                <w:sz w:val="18"/>
                <w:szCs w:val="20"/>
              </w:rPr>
              <w:t>-10% to -15% (local events)</w:t>
            </w:r>
          </w:p>
        </w:tc>
        <w:tc>
          <w:tcPr>
            <w:tcW w:w="0" w:type="auto"/>
            <w:hideMark/>
          </w:tcPr>
          <w:p w14:paraId="43D4AB55" w14:textId="77777777" w:rsidR="005F30B5" w:rsidRPr="005F30B5" w:rsidRDefault="005F30B5" w:rsidP="00CA5C96">
            <w:pPr>
              <w:spacing w:after="120" w:line="276" w:lineRule="auto"/>
              <w:rPr>
                <w:sz w:val="18"/>
                <w:szCs w:val="20"/>
              </w:rPr>
            </w:pPr>
            <w:r w:rsidRPr="005F30B5">
              <w:rPr>
                <w:sz w:val="18"/>
                <w:szCs w:val="20"/>
              </w:rPr>
              <w:t>Stable with SA government backing.</w:t>
            </w:r>
          </w:p>
        </w:tc>
      </w:tr>
    </w:tbl>
    <w:p w14:paraId="1784E498" w14:textId="1606D65A" w:rsidR="00D30209" w:rsidRPr="00A1028B" w:rsidRDefault="00D30209" w:rsidP="00A1028B">
      <w:pPr>
        <w:pStyle w:val="Heading1"/>
        <w:spacing w:after="120"/>
        <w:ind w:left="431" w:hanging="431"/>
        <w:rPr>
          <w:color w:val="647D96"/>
        </w:rPr>
      </w:pPr>
      <w:r w:rsidRPr="00A1028B">
        <w:rPr>
          <w:color w:val="647D96"/>
        </w:rPr>
        <w:lastRenderedPageBreak/>
        <w:t>HISTORICAL PERFORMANCE CONTEXT</w:t>
      </w:r>
    </w:p>
    <w:p w14:paraId="6A7B9837" w14:textId="77777777" w:rsidR="00D30209" w:rsidRPr="00D30209" w:rsidRDefault="00D30209" w:rsidP="00D30209">
      <w:pPr>
        <w:rPr>
          <w:rFonts w:eastAsia="Times New Roman" w:cs="Times New Roman"/>
          <w:kern w:val="0"/>
          <w:lang w:eastAsia="af-ZA"/>
          <w14:ligatures w14:val="none"/>
        </w:rPr>
      </w:pPr>
      <w:r w:rsidRPr="00D30209">
        <w:rPr>
          <w:rFonts w:eastAsia="Times New Roman" w:cs="Times New Roman"/>
          <w:kern w:val="0"/>
          <w:lang w:eastAsia="af-ZA"/>
          <w14:ligatures w14:val="none"/>
        </w:rPr>
        <w:t>(Note: Based on pre-2026 data; actual 2026 performance may vary with market conditions. Past performance is no guarantee of future results.)</w:t>
      </w:r>
    </w:p>
    <w:p w14:paraId="56B86EFE" w14:textId="52D1EC0D" w:rsidR="00D30209" w:rsidRPr="00A1028B" w:rsidRDefault="00D30209" w:rsidP="00A1028B">
      <w:pPr>
        <w:pStyle w:val="Heading2"/>
        <w:rPr>
          <w:lang w:val="en-ZA"/>
        </w:rPr>
      </w:pPr>
      <w:r w:rsidRPr="00A1028B">
        <w:rPr>
          <w:lang w:val="en-ZA"/>
        </w:rPr>
        <w:t>Implementation Notes</w:t>
      </w:r>
    </w:p>
    <w:p w14:paraId="0F45C045" w14:textId="77777777" w:rsidR="00211FA8" w:rsidRPr="00211FA8" w:rsidRDefault="00211FA8" w:rsidP="00211FA8">
      <w:pPr>
        <w:pStyle w:val="ListParagraph"/>
        <w:numPr>
          <w:ilvl w:val="0"/>
          <w:numId w:val="11"/>
        </w:numPr>
        <w:spacing w:line="259" w:lineRule="auto"/>
        <w:contextualSpacing w:val="0"/>
      </w:pPr>
      <w:r w:rsidRPr="00211FA8">
        <w:t>How to Build It: Allocate proportionally (e.g., R10,000 total: R4,000 STXWDM, R1,000 STXNDQ, R1,000 STXEMG, R2,000 STXGBD, R2,000 STXGOV).</w:t>
      </w:r>
    </w:p>
    <w:p w14:paraId="01EDCD3E" w14:textId="77777777" w:rsidR="00211FA8" w:rsidRPr="00211FA8" w:rsidRDefault="00211FA8" w:rsidP="00211FA8">
      <w:pPr>
        <w:pStyle w:val="ListParagraph"/>
        <w:numPr>
          <w:ilvl w:val="0"/>
          <w:numId w:val="11"/>
        </w:numPr>
        <w:spacing w:line="259" w:lineRule="auto"/>
        <w:contextualSpacing w:val="0"/>
      </w:pPr>
      <w:r w:rsidRPr="00211FA8">
        <w:t>Advantages: Low costs, global diversification across asset classes, JSE-listed in ZAR (no offshore needs).</w:t>
      </w:r>
    </w:p>
    <w:p w14:paraId="1AE78384" w14:textId="77777777" w:rsidR="00211FA8" w:rsidRPr="00211FA8" w:rsidRDefault="00211FA8" w:rsidP="00211FA8">
      <w:pPr>
        <w:pStyle w:val="ListParagraph"/>
        <w:numPr>
          <w:ilvl w:val="0"/>
          <w:numId w:val="11"/>
        </w:numPr>
        <w:spacing w:line="259" w:lineRule="auto"/>
        <w:contextualSpacing w:val="0"/>
      </w:pPr>
      <w:r w:rsidRPr="00211FA8">
        <w:t>Risks: Equity and bond market volatility, currency fluctuations, interest rate changes, potential EM underperformance.</w:t>
      </w:r>
    </w:p>
    <w:p w14:paraId="3EAD1714" w14:textId="77777777" w:rsidR="00211FA8" w:rsidRPr="00211FA8" w:rsidRDefault="00211FA8" w:rsidP="00211FA8">
      <w:pPr>
        <w:spacing w:line="259" w:lineRule="auto"/>
        <w:ind w:left="360"/>
        <w:contextualSpacing w:val="0"/>
      </w:pPr>
    </w:p>
    <w:p w14:paraId="283419A9" w14:textId="534C99EA" w:rsidR="00D30209" w:rsidRPr="00D30209" w:rsidRDefault="00211FA8" w:rsidP="00211FA8">
      <w:pPr>
        <w:spacing w:line="259" w:lineRule="auto"/>
        <w:ind w:left="360"/>
        <w:contextualSpacing w:val="0"/>
      </w:pPr>
      <w:r w:rsidRPr="00211FA8">
        <w:t xml:space="preserve">This balanced </w:t>
      </w:r>
      <w:r w:rsidR="008F1B52">
        <w:t>strategy</w:t>
      </w:r>
      <w:r w:rsidRPr="00211FA8">
        <w:t xml:space="preserve"> prioritizes sustainable growth and income from global markets with moderated risk!</w:t>
      </w:r>
    </w:p>
    <w:p w14:paraId="50CD4DC1" w14:textId="2556A4D0" w:rsidR="00B866B7" w:rsidRPr="00C36D3F" w:rsidRDefault="00B866B7" w:rsidP="00D30209"/>
    <w:sectPr w:rsidR="00B866B7" w:rsidRPr="00C36D3F" w:rsidSect="00042834">
      <w:headerReference w:type="default" r:id="rId9"/>
      <w:footerReference w:type="default" r:id="rId10"/>
      <w:pgSz w:w="11906" w:h="16838"/>
      <w:pgMar w:top="1134" w:right="1440" w:bottom="1440" w:left="1440" w:header="426" w:footer="320" w:gutter="0"/>
      <w:pgBorders w:display="firstPage"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EF783" w14:textId="77777777" w:rsidR="00A342C4" w:rsidRDefault="00A342C4" w:rsidP="00263BB7">
      <w:r>
        <w:separator/>
      </w:r>
    </w:p>
  </w:endnote>
  <w:endnote w:type="continuationSeparator" w:id="0">
    <w:p w14:paraId="30F9AC4C" w14:textId="77777777" w:rsidR="00A342C4" w:rsidRDefault="00A342C4" w:rsidP="00263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70BD" w14:textId="1EA3F18E" w:rsidR="00BF3816" w:rsidRDefault="00BF3816" w:rsidP="006678DE">
    <w:pPr>
      <w:pStyle w:val="Footer"/>
      <w:jc w:val="center"/>
      <w:rPr>
        <w:b/>
        <w:bCs/>
        <w:color w:val="647D96"/>
      </w:rPr>
    </w:pPr>
    <w:r>
      <w:rPr>
        <w:b/>
        <w:bCs/>
        <w:noProof/>
        <w:color w:val="647D96"/>
      </w:rPr>
      <mc:AlternateContent>
        <mc:Choice Requires="wps">
          <w:drawing>
            <wp:anchor distT="0" distB="0" distL="114300" distR="114300" simplePos="0" relativeHeight="251659264" behindDoc="0" locked="0" layoutInCell="1" allowOverlap="1" wp14:anchorId="12768C7C" wp14:editId="0720A5A6">
              <wp:simplePos x="0" y="0"/>
              <wp:positionH relativeFrom="column">
                <wp:posOffset>257174</wp:posOffset>
              </wp:positionH>
              <wp:positionV relativeFrom="paragraph">
                <wp:posOffset>45085</wp:posOffset>
              </wp:positionV>
              <wp:extent cx="5343525" cy="0"/>
              <wp:effectExtent l="0" t="0" r="0" b="0"/>
              <wp:wrapNone/>
              <wp:docPr id="352108803" name="Straight Connector 4"/>
              <wp:cNvGraphicFramePr/>
              <a:graphic xmlns:a="http://schemas.openxmlformats.org/drawingml/2006/main">
                <a:graphicData uri="http://schemas.microsoft.com/office/word/2010/wordprocessingShape">
                  <wps:wsp>
                    <wps:cNvCnPr/>
                    <wps:spPr>
                      <a:xfrm>
                        <a:off x="0" y="0"/>
                        <a:ext cx="5343525" cy="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w:pict>
            <v:line w14:anchorId="247E48C4"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25pt,3.55pt" to="441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" strokecolor="#a5a5a5 [3206]" strokeweight="1.5pt">
              <v:stroke joinstyle="miter"/>
            </v:line>
          </w:pict>
        </mc:Fallback>
      </mc:AlternateContent>
    </w:r>
  </w:p>
  <w:p w14:paraId="014AE9DA" w14:textId="410B5F1B" w:rsidR="00822B90" w:rsidRPr="00970593" w:rsidRDefault="00822B90" w:rsidP="006678DE">
    <w:pPr>
      <w:pStyle w:val="Footer"/>
      <w:jc w:val="center"/>
      <w:rPr>
        <w:b/>
        <w:bCs/>
        <w:color w:val="647D96"/>
        <w:sz w:val="16"/>
        <w:szCs w:val="18"/>
      </w:rPr>
    </w:pPr>
    <w:r w:rsidRPr="00970593">
      <w:rPr>
        <w:b/>
        <w:bCs/>
        <w:color w:val="647D96"/>
        <w:sz w:val="16"/>
        <w:szCs w:val="18"/>
      </w:rPr>
      <w:t>Authorised FSP 55173</w:t>
    </w:r>
  </w:p>
  <w:p w14:paraId="31F9F19D" w14:textId="6CC530E0" w:rsidR="00822B90" w:rsidRPr="00970593" w:rsidRDefault="00822B90" w:rsidP="006678DE">
    <w:pPr>
      <w:pStyle w:val="Footer"/>
      <w:jc w:val="center"/>
      <w:rPr>
        <w:sz w:val="16"/>
        <w:szCs w:val="18"/>
      </w:rPr>
    </w:pPr>
    <w:r w:rsidRPr="00970593">
      <w:rPr>
        <w:b/>
        <w:bCs/>
        <w:color w:val="647D96"/>
        <w:sz w:val="16"/>
        <w:szCs w:val="18"/>
      </w:rPr>
      <w:t>e:</w:t>
    </w:r>
    <w:r w:rsidRPr="00970593">
      <w:rPr>
        <w:sz w:val="16"/>
        <w:szCs w:val="18"/>
      </w:rPr>
      <w:t xml:space="preserve"> info@digiwealth.co.za </w:t>
    </w:r>
    <w:r w:rsidRPr="00970593">
      <w:rPr>
        <w:b/>
        <w:bCs/>
        <w:sz w:val="16"/>
        <w:szCs w:val="18"/>
      </w:rPr>
      <w:t>|</w:t>
    </w:r>
    <w:r w:rsidRPr="00970593">
      <w:rPr>
        <w:sz w:val="16"/>
        <w:szCs w:val="18"/>
      </w:rPr>
      <w:t xml:space="preserve"> www.digiwealth.co.za</w:t>
    </w:r>
  </w:p>
  <w:p w14:paraId="5CB6EE53" w14:textId="77777777" w:rsidR="00822B90" w:rsidRPr="00970593" w:rsidRDefault="00822B90" w:rsidP="006678DE">
    <w:pPr>
      <w:pStyle w:val="Footer"/>
      <w:jc w:val="center"/>
      <w:rPr>
        <w:sz w:val="16"/>
        <w:szCs w:val="18"/>
      </w:rPr>
    </w:pPr>
    <w:r w:rsidRPr="00970593">
      <w:rPr>
        <w:b/>
        <w:bCs/>
        <w:color w:val="647D96"/>
        <w:sz w:val="16"/>
        <w:szCs w:val="18"/>
      </w:rPr>
      <w:t>a:</w:t>
    </w:r>
    <w:r w:rsidRPr="00970593">
      <w:rPr>
        <w:sz w:val="16"/>
        <w:szCs w:val="18"/>
      </w:rPr>
      <w:t> 13 Belvedere Street, Durbanville, Cape Town, South Africa, 7551</w:t>
    </w:r>
  </w:p>
  <w:p w14:paraId="70E1C6C5" w14:textId="684B0433" w:rsidR="00822B90" w:rsidRPr="00970593" w:rsidRDefault="00775E32" w:rsidP="006678DE">
    <w:pPr>
      <w:pStyle w:val="Footer"/>
      <w:jc w:val="center"/>
      <w:rPr>
        <w:sz w:val="16"/>
        <w:szCs w:val="18"/>
      </w:rPr>
    </w:pPr>
    <w:r w:rsidRPr="00970593">
      <w:rPr>
        <w:b/>
        <w:bCs/>
        <w:color w:val="647D96"/>
        <w:sz w:val="16"/>
        <w:szCs w:val="18"/>
      </w:rPr>
      <w:t>c:</w:t>
    </w:r>
    <w:r w:rsidRPr="00970593">
      <w:rPr>
        <w:noProof/>
        <w:sz w:val="16"/>
        <w:szCs w:val="18"/>
      </w:rPr>
      <w:t xml:space="preserve"> </w:t>
    </w:r>
    <w:r w:rsidR="00822B90" w:rsidRPr="00970593">
      <w:rPr>
        <w:sz w:val="16"/>
        <w:szCs w:val="18"/>
      </w:rPr>
      <w:t xml:space="preserve">+ (27) 82 759 2318 </w:t>
    </w:r>
    <w:r w:rsidR="00822B90" w:rsidRPr="00970593">
      <w:rPr>
        <w:b/>
        <w:bCs/>
        <w:sz w:val="16"/>
        <w:szCs w:val="18"/>
      </w:rPr>
      <w:t>|</w:t>
    </w:r>
    <w:r w:rsidR="00822B90" w:rsidRPr="00970593">
      <w:rPr>
        <w:sz w:val="16"/>
        <w:szCs w:val="18"/>
      </w:rPr>
      <w:t> </w:t>
    </w:r>
    <w:r w:rsidR="00822B90" w:rsidRPr="00970593">
      <w:rPr>
        <w:b/>
        <w:bCs/>
        <w:color w:val="647D96"/>
        <w:sz w:val="16"/>
        <w:szCs w:val="18"/>
      </w:rPr>
      <w:t>t:</w:t>
    </w:r>
    <w:r w:rsidR="00822B90" w:rsidRPr="00970593">
      <w:rPr>
        <w:sz w:val="16"/>
        <w:szCs w:val="18"/>
      </w:rPr>
      <w:t> + (27) 21 975 2535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4955D" w14:textId="77777777" w:rsidR="00A342C4" w:rsidRDefault="00A342C4" w:rsidP="00263BB7">
      <w:r>
        <w:separator/>
      </w:r>
    </w:p>
  </w:footnote>
  <w:footnote w:type="continuationSeparator" w:id="0">
    <w:p w14:paraId="579F06B3" w14:textId="77777777" w:rsidR="00A342C4" w:rsidRDefault="00A342C4" w:rsidP="00263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D798" w14:textId="39FB84B0" w:rsidR="00345929" w:rsidRDefault="00775E32" w:rsidP="00263BB7">
    <w:pPr>
      <w:pStyle w:val="Header"/>
      <w:jc w:val="right"/>
    </w:pPr>
    <w:r>
      <w:rPr>
        <w:noProof/>
      </w:rPr>
      <w:drawing>
        <wp:inline distT="0" distB="0" distL="0" distR="0" wp14:anchorId="011E289C" wp14:editId="63C3D912">
          <wp:extent cx="685453" cy="768096"/>
          <wp:effectExtent l="0" t="0" r="635" b="0"/>
          <wp:docPr id="298344666" name="Picture 3" descr="A logo of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5518" name="Picture 3" descr="A logo of a glob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92609" cy="776115"/>
                  </a:xfrm>
                  <a:prstGeom prst="rect">
                    <a:avLst/>
                  </a:prstGeom>
                </pic:spPr>
              </pic:pic>
            </a:graphicData>
          </a:graphic>
        </wp:inline>
      </w:drawing>
    </w:r>
  </w:p>
  <w:p w14:paraId="25290CD7" w14:textId="77777777" w:rsidR="00042834" w:rsidRDefault="00042834" w:rsidP="00263BB7">
    <w:pPr>
      <w:pStyle w:val="Header"/>
      <w:jc w:val="right"/>
    </w:pPr>
  </w:p>
  <w:p w14:paraId="388571CB" w14:textId="77777777" w:rsidR="00C619AC" w:rsidRDefault="00C619AC" w:rsidP="00263BB7">
    <w:pPr>
      <w:pStyle w:val="Header"/>
      <w:jc w:val="right"/>
    </w:pPr>
  </w:p>
  <w:p w14:paraId="1AC1F0DD" w14:textId="77777777" w:rsidR="00C619AC" w:rsidRDefault="00C619AC" w:rsidP="00263BB7">
    <w:pPr>
      <w:pStyle w:val="Header"/>
      <w:jc w:val="right"/>
    </w:pPr>
  </w:p>
  <w:p w14:paraId="189480F4" w14:textId="77777777" w:rsidR="00042834" w:rsidRDefault="00042834" w:rsidP="00263BB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94CBA"/>
    <w:multiLevelType w:val="hybridMultilevel"/>
    <w:tmpl w:val="7C5AE988"/>
    <w:lvl w:ilvl="0" w:tplc="7ED89690">
      <w:start w:val="1"/>
      <w:numFmt w:val="bullet"/>
      <w:lvlText w:val="-"/>
      <w:lvlJc w:val="left"/>
      <w:pPr>
        <w:ind w:left="720" w:hanging="360"/>
      </w:pPr>
      <w:rPr>
        <w:rFonts w:ascii="Aptos" w:hAnsi="Apto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BB2778"/>
    <w:multiLevelType w:val="multilevel"/>
    <w:tmpl w:val="2EAE5176"/>
    <w:lvl w:ilvl="0">
      <w:start w:val="1"/>
      <w:numFmt w:val="decimal"/>
      <w:pStyle w:val="Heading1"/>
      <w:lvlText w:val="%1"/>
      <w:lvlJc w:val="left"/>
      <w:pPr>
        <w:ind w:left="432" w:hanging="432"/>
      </w:pPr>
      <w:rPr>
        <w:sz w:val="24"/>
        <w:szCs w:val="24"/>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59E0947"/>
    <w:multiLevelType w:val="hybridMultilevel"/>
    <w:tmpl w:val="166A4BEA"/>
    <w:lvl w:ilvl="0" w:tplc="7ED89690">
      <w:start w:val="1"/>
      <w:numFmt w:val="bullet"/>
      <w:lvlText w:val="-"/>
      <w:lvlJc w:val="left"/>
      <w:pPr>
        <w:ind w:left="720" w:hanging="360"/>
      </w:pPr>
      <w:rPr>
        <w:rFonts w:ascii="Aptos" w:hAnsi="Apto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EDB7DB2"/>
    <w:multiLevelType w:val="hybridMultilevel"/>
    <w:tmpl w:val="3C38ACC2"/>
    <w:lvl w:ilvl="0" w:tplc="3C8C4FE8">
      <w:start w:val="1"/>
      <w:numFmt w:val="bullet"/>
      <w:pStyle w:val="ListParagraph"/>
      <w:lvlText w:val="-"/>
      <w:lvlJc w:val="left"/>
      <w:pPr>
        <w:ind w:left="720" w:hanging="360"/>
      </w:pPr>
      <w:rPr>
        <w:rFonts w:ascii="Aptos" w:hAnsi="Apto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D645F08"/>
    <w:multiLevelType w:val="hybridMultilevel"/>
    <w:tmpl w:val="1732421C"/>
    <w:lvl w:ilvl="0" w:tplc="7ED89690">
      <w:start w:val="1"/>
      <w:numFmt w:val="bullet"/>
      <w:lvlText w:val="-"/>
      <w:lvlJc w:val="left"/>
      <w:pPr>
        <w:ind w:left="720" w:hanging="360"/>
      </w:pPr>
      <w:rPr>
        <w:rFonts w:ascii="Aptos" w:hAnsi="Apto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3230049">
    <w:abstractNumId w:val="1"/>
  </w:num>
  <w:num w:numId="2" w16cid:durableId="933435128">
    <w:abstractNumId w:val="3"/>
  </w:num>
  <w:num w:numId="3" w16cid:durableId="2072850195">
    <w:abstractNumId w:val="1"/>
  </w:num>
  <w:num w:numId="4" w16cid:durableId="1400053142">
    <w:abstractNumId w:val="3"/>
  </w:num>
  <w:num w:numId="5" w16cid:durableId="1514757402">
    <w:abstractNumId w:val="1"/>
  </w:num>
  <w:num w:numId="6" w16cid:durableId="350575642">
    <w:abstractNumId w:val="1"/>
  </w:num>
  <w:num w:numId="7" w16cid:durableId="1691760280">
    <w:abstractNumId w:val="1"/>
  </w:num>
  <w:num w:numId="8" w16cid:durableId="2067801265">
    <w:abstractNumId w:val="3"/>
  </w:num>
  <w:num w:numId="9" w16cid:durableId="789133202">
    <w:abstractNumId w:val="0"/>
  </w:num>
  <w:num w:numId="10" w16cid:durableId="1309627689">
    <w:abstractNumId w:val="2"/>
  </w:num>
  <w:num w:numId="11" w16cid:durableId="1087658219">
    <w:abstractNumId w:val="4"/>
  </w:num>
  <w:num w:numId="12" w16cid:durableId="39081104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929"/>
    <w:rsid w:val="00012E98"/>
    <w:rsid w:val="00032BED"/>
    <w:rsid w:val="00037FE1"/>
    <w:rsid w:val="00042834"/>
    <w:rsid w:val="00091CD0"/>
    <w:rsid w:val="000C3722"/>
    <w:rsid w:val="001011D3"/>
    <w:rsid w:val="00106E4B"/>
    <w:rsid w:val="001429A3"/>
    <w:rsid w:val="00144F4B"/>
    <w:rsid w:val="00145A36"/>
    <w:rsid w:val="00145E3A"/>
    <w:rsid w:val="00147086"/>
    <w:rsid w:val="001538D4"/>
    <w:rsid w:val="00156636"/>
    <w:rsid w:val="00174B1D"/>
    <w:rsid w:val="001807CA"/>
    <w:rsid w:val="001812A6"/>
    <w:rsid w:val="00181B74"/>
    <w:rsid w:val="001A6F2B"/>
    <w:rsid w:val="001B1553"/>
    <w:rsid w:val="001B4663"/>
    <w:rsid w:val="001C4085"/>
    <w:rsid w:val="00211FA8"/>
    <w:rsid w:val="0022484C"/>
    <w:rsid w:val="00224A9E"/>
    <w:rsid w:val="00235335"/>
    <w:rsid w:val="00240C47"/>
    <w:rsid w:val="002464DD"/>
    <w:rsid w:val="002530F7"/>
    <w:rsid w:val="00263BB7"/>
    <w:rsid w:val="00266531"/>
    <w:rsid w:val="00280764"/>
    <w:rsid w:val="0028538B"/>
    <w:rsid w:val="00291750"/>
    <w:rsid w:val="002A26A7"/>
    <w:rsid w:val="002C4659"/>
    <w:rsid w:val="002E49E2"/>
    <w:rsid w:val="002F126F"/>
    <w:rsid w:val="003279FC"/>
    <w:rsid w:val="00345929"/>
    <w:rsid w:val="00365833"/>
    <w:rsid w:val="00370E4E"/>
    <w:rsid w:val="0038359D"/>
    <w:rsid w:val="00386E88"/>
    <w:rsid w:val="00393BE2"/>
    <w:rsid w:val="00393CEB"/>
    <w:rsid w:val="00393DBC"/>
    <w:rsid w:val="003A2614"/>
    <w:rsid w:val="003A4AD1"/>
    <w:rsid w:val="003B4E60"/>
    <w:rsid w:val="003B5053"/>
    <w:rsid w:val="003E58EE"/>
    <w:rsid w:val="003F0885"/>
    <w:rsid w:val="003F3049"/>
    <w:rsid w:val="0040419D"/>
    <w:rsid w:val="004259D7"/>
    <w:rsid w:val="00430027"/>
    <w:rsid w:val="004344A2"/>
    <w:rsid w:val="00453BA1"/>
    <w:rsid w:val="004558E1"/>
    <w:rsid w:val="00456E16"/>
    <w:rsid w:val="004747F0"/>
    <w:rsid w:val="00475FDA"/>
    <w:rsid w:val="004C17F7"/>
    <w:rsid w:val="004D644F"/>
    <w:rsid w:val="004E1A19"/>
    <w:rsid w:val="004E37EC"/>
    <w:rsid w:val="004E418C"/>
    <w:rsid w:val="00505A1A"/>
    <w:rsid w:val="00511565"/>
    <w:rsid w:val="00514CAA"/>
    <w:rsid w:val="00525DD7"/>
    <w:rsid w:val="00543708"/>
    <w:rsid w:val="00556209"/>
    <w:rsid w:val="00561D0D"/>
    <w:rsid w:val="0056797E"/>
    <w:rsid w:val="0057695E"/>
    <w:rsid w:val="00580FA9"/>
    <w:rsid w:val="00591132"/>
    <w:rsid w:val="00595F91"/>
    <w:rsid w:val="005B5426"/>
    <w:rsid w:val="005E07BB"/>
    <w:rsid w:val="005E0AB0"/>
    <w:rsid w:val="005F1721"/>
    <w:rsid w:val="005F30AE"/>
    <w:rsid w:val="005F30B5"/>
    <w:rsid w:val="00637C9B"/>
    <w:rsid w:val="006429CB"/>
    <w:rsid w:val="00646CF8"/>
    <w:rsid w:val="006504A3"/>
    <w:rsid w:val="006678DE"/>
    <w:rsid w:val="00670A63"/>
    <w:rsid w:val="00693B0A"/>
    <w:rsid w:val="00695DF6"/>
    <w:rsid w:val="006A2CE2"/>
    <w:rsid w:val="006A2E1A"/>
    <w:rsid w:val="006A51DC"/>
    <w:rsid w:val="006C0653"/>
    <w:rsid w:val="006D3E10"/>
    <w:rsid w:val="006E3B30"/>
    <w:rsid w:val="00702349"/>
    <w:rsid w:val="007140A3"/>
    <w:rsid w:val="00716D19"/>
    <w:rsid w:val="007360DD"/>
    <w:rsid w:val="007407EC"/>
    <w:rsid w:val="00746248"/>
    <w:rsid w:val="00747CB7"/>
    <w:rsid w:val="00750218"/>
    <w:rsid w:val="00770739"/>
    <w:rsid w:val="00773DAD"/>
    <w:rsid w:val="00775E32"/>
    <w:rsid w:val="00781E52"/>
    <w:rsid w:val="00792A93"/>
    <w:rsid w:val="007A20EB"/>
    <w:rsid w:val="007B00FC"/>
    <w:rsid w:val="007B0927"/>
    <w:rsid w:val="007D7F74"/>
    <w:rsid w:val="007E23D5"/>
    <w:rsid w:val="007F13ED"/>
    <w:rsid w:val="00822B90"/>
    <w:rsid w:val="00825C9E"/>
    <w:rsid w:val="00836FA9"/>
    <w:rsid w:val="00853C14"/>
    <w:rsid w:val="00853FC8"/>
    <w:rsid w:val="00870B68"/>
    <w:rsid w:val="008759E3"/>
    <w:rsid w:val="00876AAB"/>
    <w:rsid w:val="008A587E"/>
    <w:rsid w:val="008C2026"/>
    <w:rsid w:val="008C34DA"/>
    <w:rsid w:val="008E2D10"/>
    <w:rsid w:val="008F1928"/>
    <w:rsid w:val="008F1B52"/>
    <w:rsid w:val="008F4B9C"/>
    <w:rsid w:val="009045D4"/>
    <w:rsid w:val="00927890"/>
    <w:rsid w:val="00930774"/>
    <w:rsid w:val="00941C36"/>
    <w:rsid w:val="00960205"/>
    <w:rsid w:val="00970593"/>
    <w:rsid w:val="00983943"/>
    <w:rsid w:val="0099025B"/>
    <w:rsid w:val="009A4FC7"/>
    <w:rsid w:val="009B49EC"/>
    <w:rsid w:val="009C72AF"/>
    <w:rsid w:val="009D3AEE"/>
    <w:rsid w:val="009F0326"/>
    <w:rsid w:val="009F0E00"/>
    <w:rsid w:val="009F2C26"/>
    <w:rsid w:val="009F65D7"/>
    <w:rsid w:val="00A1028B"/>
    <w:rsid w:val="00A16E7C"/>
    <w:rsid w:val="00A342C4"/>
    <w:rsid w:val="00A749D9"/>
    <w:rsid w:val="00AA3A7C"/>
    <w:rsid w:val="00AA7583"/>
    <w:rsid w:val="00AB76E4"/>
    <w:rsid w:val="00AC493A"/>
    <w:rsid w:val="00AD0311"/>
    <w:rsid w:val="00B17C27"/>
    <w:rsid w:val="00B24849"/>
    <w:rsid w:val="00B53A1A"/>
    <w:rsid w:val="00B54578"/>
    <w:rsid w:val="00B71BE8"/>
    <w:rsid w:val="00B866B7"/>
    <w:rsid w:val="00B86E9B"/>
    <w:rsid w:val="00B872D3"/>
    <w:rsid w:val="00BA5E33"/>
    <w:rsid w:val="00BF3816"/>
    <w:rsid w:val="00BF59BC"/>
    <w:rsid w:val="00C16F2D"/>
    <w:rsid w:val="00C21845"/>
    <w:rsid w:val="00C30EE7"/>
    <w:rsid w:val="00C32989"/>
    <w:rsid w:val="00C36D3F"/>
    <w:rsid w:val="00C36DDA"/>
    <w:rsid w:val="00C6048A"/>
    <w:rsid w:val="00C619AC"/>
    <w:rsid w:val="00C620D9"/>
    <w:rsid w:val="00C77DD4"/>
    <w:rsid w:val="00C8056F"/>
    <w:rsid w:val="00C85DFA"/>
    <w:rsid w:val="00C96672"/>
    <w:rsid w:val="00CA17C0"/>
    <w:rsid w:val="00CA1C13"/>
    <w:rsid w:val="00CA55EB"/>
    <w:rsid w:val="00CA5C96"/>
    <w:rsid w:val="00CB035D"/>
    <w:rsid w:val="00CC5083"/>
    <w:rsid w:val="00CF068A"/>
    <w:rsid w:val="00CF15A5"/>
    <w:rsid w:val="00D01792"/>
    <w:rsid w:val="00D30209"/>
    <w:rsid w:val="00D42960"/>
    <w:rsid w:val="00D61264"/>
    <w:rsid w:val="00D647B2"/>
    <w:rsid w:val="00D70EFF"/>
    <w:rsid w:val="00D7508D"/>
    <w:rsid w:val="00D83415"/>
    <w:rsid w:val="00D86C24"/>
    <w:rsid w:val="00D94CC6"/>
    <w:rsid w:val="00DA3143"/>
    <w:rsid w:val="00DC7C6A"/>
    <w:rsid w:val="00DE6E2A"/>
    <w:rsid w:val="00DF4114"/>
    <w:rsid w:val="00E0051F"/>
    <w:rsid w:val="00E21931"/>
    <w:rsid w:val="00E223C1"/>
    <w:rsid w:val="00E22B8B"/>
    <w:rsid w:val="00E25224"/>
    <w:rsid w:val="00E35C62"/>
    <w:rsid w:val="00E36A27"/>
    <w:rsid w:val="00E42D15"/>
    <w:rsid w:val="00E81A33"/>
    <w:rsid w:val="00E93036"/>
    <w:rsid w:val="00E948A9"/>
    <w:rsid w:val="00E95F83"/>
    <w:rsid w:val="00EA13F5"/>
    <w:rsid w:val="00EA6F20"/>
    <w:rsid w:val="00EB521F"/>
    <w:rsid w:val="00EC795F"/>
    <w:rsid w:val="00F04606"/>
    <w:rsid w:val="00F14498"/>
    <w:rsid w:val="00F22382"/>
    <w:rsid w:val="00F4164B"/>
    <w:rsid w:val="00F459F6"/>
    <w:rsid w:val="00F51B98"/>
    <w:rsid w:val="00F633DF"/>
    <w:rsid w:val="00F63980"/>
    <w:rsid w:val="00F640C1"/>
    <w:rsid w:val="00F7196C"/>
    <w:rsid w:val="00F845F8"/>
    <w:rsid w:val="00F96EDE"/>
    <w:rsid w:val="00FA4F77"/>
    <w:rsid w:val="00FC0182"/>
    <w:rsid w:val="00FE5D8B"/>
    <w:rsid w:val="00FF568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75C99"/>
  <w15:chartTrackingRefBased/>
  <w15:docId w15:val="{B905B395-7157-4806-BC6E-AE8E8F72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20" w:line="259" w:lineRule="auto"/>
        <w:ind w:left="357" w:hanging="357"/>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BB7"/>
    <w:pPr>
      <w:spacing w:line="360" w:lineRule="auto"/>
      <w:ind w:left="0" w:firstLine="0"/>
      <w:contextualSpacing/>
    </w:pPr>
    <w:rPr>
      <w:rFonts w:asciiTheme="majorHAnsi" w:hAnsiTheme="majorHAnsi" w:cstheme="majorHAnsi"/>
      <w:sz w:val="24"/>
      <w:szCs w:val="28"/>
    </w:rPr>
  </w:style>
  <w:style w:type="paragraph" w:styleId="Heading1">
    <w:name w:val="heading 1"/>
    <w:basedOn w:val="Normal"/>
    <w:next w:val="Normal"/>
    <w:link w:val="Heading1Char"/>
    <w:uiPriority w:val="9"/>
    <w:rsid w:val="00F63980"/>
    <w:pPr>
      <w:keepNext/>
      <w:keepLines/>
      <w:pageBreakBefore/>
      <w:numPr>
        <w:numId w:val="1"/>
      </w:numPr>
      <w:spacing w:after="0"/>
      <w:outlineLvl w:val="0"/>
    </w:pPr>
    <w:rPr>
      <w:rFonts w:eastAsiaTheme="majorEastAsia" w:cstheme="majorBidi"/>
      <w:b/>
      <w:bCs/>
      <w:caps/>
      <w:color w:val="2F5496" w:themeColor="accent1" w:themeShade="BF"/>
      <w:szCs w:val="24"/>
    </w:rPr>
  </w:style>
  <w:style w:type="paragraph" w:styleId="Heading2">
    <w:name w:val="heading 2"/>
    <w:basedOn w:val="Normal"/>
    <w:next w:val="Normal"/>
    <w:link w:val="Heading2Char"/>
    <w:uiPriority w:val="9"/>
    <w:unhideWhenUsed/>
    <w:qFormat/>
    <w:rsid w:val="00475FDA"/>
    <w:pPr>
      <w:keepNext/>
      <w:keepLines/>
      <w:numPr>
        <w:ilvl w:val="1"/>
        <w:numId w:val="1"/>
      </w:numPr>
      <w:spacing w:after="0"/>
      <w:outlineLvl w:val="1"/>
    </w:pPr>
    <w:rPr>
      <w:rFonts w:eastAsia="Times New Roman" w:cstheme="majorBidi"/>
      <w:b/>
      <w:bCs/>
      <w:color w:val="647D96"/>
      <w:szCs w:val="36"/>
      <w:lang w:val="af-ZA" w:eastAsia="af-ZA"/>
    </w:rPr>
  </w:style>
  <w:style w:type="paragraph" w:styleId="Heading3">
    <w:name w:val="heading 3"/>
    <w:basedOn w:val="Normal"/>
    <w:next w:val="Normal"/>
    <w:link w:val="Heading3Char"/>
    <w:uiPriority w:val="9"/>
    <w:semiHidden/>
    <w:unhideWhenUsed/>
    <w:qFormat/>
    <w:rsid w:val="00345929"/>
    <w:pPr>
      <w:keepNext/>
      <w:keepLines/>
      <w:numPr>
        <w:ilvl w:val="2"/>
        <w:numId w:val="1"/>
      </w:numPr>
      <w:spacing w:before="160" w:after="80"/>
      <w:outlineLvl w:val="2"/>
    </w:pPr>
    <w:rPr>
      <w:rFonts w:eastAsiaTheme="majorEastAsia" w:cstheme="majorBidi"/>
      <w:color w:val="2F5496" w:themeColor="accent1" w:themeShade="BF"/>
      <w:sz w:val="28"/>
    </w:rPr>
  </w:style>
  <w:style w:type="paragraph" w:styleId="Heading4">
    <w:name w:val="heading 4"/>
    <w:basedOn w:val="Normal"/>
    <w:next w:val="Normal"/>
    <w:link w:val="Heading4Char"/>
    <w:uiPriority w:val="9"/>
    <w:semiHidden/>
    <w:unhideWhenUsed/>
    <w:qFormat/>
    <w:rsid w:val="00345929"/>
    <w:pPr>
      <w:keepNext/>
      <w:keepLines/>
      <w:numPr>
        <w:ilvl w:val="3"/>
        <w:numId w:val="1"/>
      </w:numPr>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5929"/>
    <w:pPr>
      <w:keepNext/>
      <w:keepLines/>
      <w:numPr>
        <w:ilvl w:val="4"/>
        <w:numId w:val="1"/>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5929"/>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929"/>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929"/>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929"/>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980"/>
    <w:rPr>
      <w:rFonts w:asciiTheme="majorHAnsi" w:eastAsiaTheme="majorEastAsia" w:hAnsiTheme="majorHAnsi" w:cstheme="majorBidi"/>
      <w:b/>
      <w:bCs/>
      <w:caps/>
      <w:color w:val="2F5496" w:themeColor="accent1" w:themeShade="BF"/>
      <w:sz w:val="24"/>
      <w:szCs w:val="24"/>
    </w:rPr>
  </w:style>
  <w:style w:type="character" w:customStyle="1" w:styleId="Heading2Char">
    <w:name w:val="Heading 2 Char"/>
    <w:basedOn w:val="DefaultParagraphFont"/>
    <w:link w:val="Heading2"/>
    <w:uiPriority w:val="9"/>
    <w:rsid w:val="00475FDA"/>
    <w:rPr>
      <w:rFonts w:asciiTheme="majorHAnsi" w:eastAsia="Times New Roman" w:hAnsiTheme="majorHAnsi" w:cstheme="majorBidi"/>
      <w:b/>
      <w:bCs/>
      <w:color w:val="647D96"/>
      <w:sz w:val="24"/>
      <w:szCs w:val="36"/>
      <w:lang w:val="af-ZA" w:eastAsia="af-ZA"/>
    </w:rPr>
  </w:style>
  <w:style w:type="paragraph" w:styleId="ListParagraph">
    <w:name w:val="List Paragraph"/>
    <w:basedOn w:val="Normal"/>
    <w:autoRedefine/>
    <w:uiPriority w:val="34"/>
    <w:qFormat/>
    <w:rsid w:val="00561D0D"/>
    <w:pPr>
      <w:numPr>
        <w:numId w:val="2"/>
      </w:numPr>
    </w:pPr>
    <w:rPr>
      <w:rFonts w:eastAsia="Times New Roman" w:cs="Times New Roman"/>
      <w:kern w:val="0"/>
      <w:lang w:val="af-ZA" w:eastAsia="af-ZA"/>
      <w14:ligatures w14:val="none"/>
    </w:rPr>
  </w:style>
  <w:style w:type="character" w:customStyle="1" w:styleId="Heading3Char">
    <w:name w:val="Heading 3 Char"/>
    <w:basedOn w:val="DefaultParagraphFont"/>
    <w:link w:val="Heading3"/>
    <w:uiPriority w:val="9"/>
    <w:semiHidden/>
    <w:rsid w:val="00345929"/>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5929"/>
    <w:rPr>
      <w:rFonts w:asciiTheme="majorHAnsi" w:eastAsiaTheme="majorEastAsia" w:hAnsiTheme="majorHAnsi" w:cstheme="majorBidi"/>
      <w:i/>
      <w:iCs/>
      <w:color w:val="2F5496" w:themeColor="accent1" w:themeShade="BF"/>
      <w:sz w:val="24"/>
      <w:szCs w:val="28"/>
    </w:rPr>
  </w:style>
  <w:style w:type="character" w:customStyle="1" w:styleId="Heading5Char">
    <w:name w:val="Heading 5 Char"/>
    <w:basedOn w:val="DefaultParagraphFont"/>
    <w:link w:val="Heading5"/>
    <w:uiPriority w:val="9"/>
    <w:semiHidden/>
    <w:rsid w:val="00345929"/>
    <w:rPr>
      <w:rFonts w:asciiTheme="majorHAnsi" w:eastAsiaTheme="majorEastAsia" w:hAnsiTheme="majorHAnsi" w:cstheme="majorBidi"/>
      <w:color w:val="2F5496" w:themeColor="accent1" w:themeShade="BF"/>
      <w:sz w:val="24"/>
      <w:szCs w:val="28"/>
    </w:rPr>
  </w:style>
  <w:style w:type="character" w:customStyle="1" w:styleId="Heading6Char">
    <w:name w:val="Heading 6 Char"/>
    <w:basedOn w:val="DefaultParagraphFont"/>
    <w:link w:val="Heading6"/>
    <w:uiPriority w:val="9"/>
    <w:semiHidden/>
    <w:rsid w:val="00345929"/>
    <w:rPr>
      <w:rFonts w:asciiTheme="majorHAnsi" w:eastAsiaTheme="majorEastAsia" w:hAnsiTheme="majorHAnsi" w:cstheme="majorBidi"/>
      <w:i/>
      <w:iCs/>
      <w:color w:val="595959" w:themeColor="text1" w:themeTint="A6"/>
      <w:sz w:val="24"/>
      <w:szCs w:val="28"/>
    </w:rPr>
  </w:style>
  <w:style w:type="character" w:customStyle="1" w:styleId="Heading7Char">
    <w:name w:val="Heading 7 Char"/>
    <w:basedOn w:val="DefaultParagraphFont"/>
    <w:link w:val="Heading7"/>
    <w:uiPriority w:val="9"/>
    <w:semiHidden/>
    <w:rsid w:val="00345929"/>
    <w:rPr>
      <w:rFonts w:asciiTheme="majorHAnsi" w:eastAsiaTheme="majorEastAsia" w:hAnsiTheme="majorHAnsi" w:cstheme="majorBidi"/>
      <w:color w:val="595959" w:themeColor="text1" w:themeTint="A6"/>
      <w:sz w:val="24"/>
      <w:szCs w:val="28"/>
    </w:rPr>
  </w:style>
  <w:style w:type="character" w:customStyle="1" w:styleId="Heading8Char">
    <w:name w:val="Heading 8 Char"/>
    <w:basedOn w:val="DefaultParagraphFont"/>
    <w:link w:val="Heading8"/>
    <w:uiPriority w:val="9"/>
    <w:semiHidden/>
    <w:rsid w:val="00345929"/>
    <w:rPr>
      <w:rFonts w:asciiTheme="majorHAnsi" w:eastAsiaTheme="majorEastAsia" w:hAnsiTheme="majorHAnsi" w:cstheme="majorBidi"/>
      <w:i/>
      <w:iCs/>
      <w:color w:val="272727" w:themeColor="text1" w:themeTint="D8"/>
      <w:sz w:val="24"/>
      <w:szCs w:val="28"/>
    </w:rPr>
  </w:style>
  <w:style w:type="character" w:customStyle="1" w:styleId="Heading9Char">
    <w:name w:val="Heading 9 Char"/>
    <w:basedOn w:val="DefaultParagraphFont"/>
    <w:link w:val="Heading9"/>
    <w:uiPriority w:val="9"/>
    <w:semiHidden/>
    <w:rsid w:val="00345929"/>
    <w:rPr>
      <w:rFonts w:asciiTheme="majorHAnsi" w:eastAsiaTheme="majorEastAsia" w:hAnsiTheme="majorHAnsi" w:cstheme="majorBidi"/>
      <w:color w:val="272727" w:themeColor="text1" w:themeTint="D8"/>
      <w:sz w:val="24"/>
      <w:szCs w:val="28"/>
    </w:rPr>
  </w:style>
  <w:style w:type="paragraph" w:styleId="Title">
    <w:name w:val="Title"/>
    <w:basedOn w:val="Normal"/>
    <w:next w:val="Normal"/>
    <w:link w:val="TitleChar"/>
    <w:uiPriority w:val="10"/>
    <w:qFormat/>
    <w:rsid w:val="00345929"/>
    <w:pPr>
      <w:spacing w:after="80" w:line="240" w:lineRule="auto"/>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459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929"/>
    <w:pPr>
      <w:numPr>
        <w:ilvl w:val="1"/>
      </w:numPr>
      <w:spacing w:after="160"/>
      <w:ind w:left="357" w:hanging="357"/>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3459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9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5929"/>
    <w:rPr>
      <w:i/>
      <w:iCs/>
      <w:color w:val="404040" w:themeColor="text1" w:themeTint="BF"/>
    </w:rPr>
  </w:style>
  <w:style w:type="character" w:styleId="IntenseEmphasis">
    <w:name w:val="Intense Emphasis"/>
    <w:basedOn w:val="DefaultParagraphFont"/>
    <w:uiPriority w:val="21"/>
    <w:qFormat/>
    <w:rsid w:val="00345929"/>
    <w:rPr>
      <w:i/>
      <w:iCs/>
      <w:color w:val="2F5496" w:themeColor="accent1" w:themeShade="BF"/>
    </w:rPr>
  </w:style>
  <w:style w:type="paragraph" w:styleId="IntenseQuote">
    <w:name w:val="Intense Quote"/>
    <w:basedOn w:val="Normal"/>
    <w:next w:val="Normal"/>
    <w:link w:val="IntenseQuoteChar"/>
    <w:uiPriority w:val="30"/>
    <w:qFormat/>
    <w:rsid w:val="003459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5929"/>
    <w:rPr>
      <w:i/>
      <w:iCs/>
      <w:color w:val="2F5496" w:themeColor="accent1" w:themeShade="BF"/>
    </w:rPr>
  </w:style>
  <w:style w:type="character" w:styleId="IntenseReference">
    <w:name w:val="Intense Reference"/>
    <w:basedOn w:val="DefaultParagraphFont"/>
    <w:uiPriority w:val="32"/>
    <w:qFormat/>
    <w:rsid w:val="00345929"/>
    <w:rPr>
      <w:b/>
      <w:bCs/>
      <w:smallCaps/>
      <w:color w:val="2F5496" w:themeColor="accent1" w:themeShade="BF"/>
      <w:spacing w:val="5"/>
    </w:rPr>
  </w:style>
  <w:style w:type="paragraph" w:styleId="Header">
    <w:name w:val="header"/>
    <w:basedOn w:val="Normal"/>
    <w:link w:val="HeaderChar"/>
    <w:uiPriority w:val="99"/>
    <w:unhideWhenUsed/>
    <w:rsid w:val="003459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5929"/>
    <w:rPr>
      <w:rFonts w:ascii="Aptos" w:hAnsi="Aptos"/>
      <w:sz w:val="20"/>
    </w:rPr>
  </w:style>
  <w:style w:type="paragraph" w:styleId="Footer">
    <w:name w:val="footer"/>
    <w:basedOn w:val="Normal"/>
    <w:link w:val="FooterChar"/>
    <w:uiPriority w:val="99"/>
    <w:unhideWhenUsed/>
    <w:rsid w:val="003459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5929"/>
    <w:rPr>
      <w:rFonts w:ascii="Aptos" w:hAnsi="Aptos"/>
      <w:sz w:val="20"/>
    </w:rPr>
  </w:style>
  <w:style w:type="paragraph" w:styleId="TOC1">
    <w:name w:val="toc 1"/>
    <w:basedOn w:val="Normal"/>
    <w:next w:val="Normal"/>
    <w:autoRedefine/>
    <w:uiPriority w:val="39"/>
    <w:unhideWhenUsed/>
    <w:rsid w:val="00930774"/>
    <w:pPr>
      <w:spacing w:after="100"/>
    </w:pPr>
  </w:style>
  <w:style w:type="character" w:styleId="Hyperlink">
    <w:name w:val="Hyperlink"/>
    <w:basedOn w:val="DefaultParagraphFont"/>
    <w:uiPriority w:val="99"/>
    <w:unhideWhenUsed/>
    <w:rsid w:val="00930774"/>
    <w:rPr>
      <w:color w:val="0563C1" w:themeColor="hyperlink"/>
      <w:u w:val="single"/>
    </w:rPr>
  </w:style>
  <w:style w:type="table" w:styleId="TableGrid">
    <w:name w:val="Table Grid"/>
    <w:basedOn w:val="TableNormal"/>
    <w:uiPriority w:val="39"/>
    <w:rsid w:val="00AA3A7C"/>
    <w:pPr>
      <w:spacing w:after="0" w:line="240" w:lineRule="auto"/>
      <w:ind w:left="0" w:firstLine="0"/>
    </w:pPr>
    <w:rPr>
      <w:rFonts w:eastAsia="Times New Roman" w:hAnsi="Times New Roman" w:cs="Times New Roman"/>
      <w:kern w:val="0"/>
      <w:lang w:val="af-ZA" w:eastAsia="af-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22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54D71-8785-408F-9CF7-D8B18FD2F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858</Words>
  <Characters>4991</Characters>
  <Application>Microsoft Office Word</Application>
  <DocSecurity>0</DocSecurity>
  <Lines>217</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BEKKER</dc:creator>
  <cp:keywords/>
  <dc:description/>
  <cp:lastModifiedBy>Windall Bekker</cp:lastModifiedBy>
  <cp:revision>4</cp:revision>
  <cp:lastPrinted>2026-01-07T16:53:00Z</cp:lastPrinted>
  <dcterms:created xsi:type="dcterms:W3CDTF">2026-03-31T10:17:00Z</dcterms:created>
  <dcterms:modified xsi:type="dcterms:W3CDTF">2026-04-20T11:26:00Z</dcterms:modified>
</cp:coreProperties>
</file>