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40"/>
        <w:jc w:val="center"/>
      </w:pPr>
      <w:r>
        <w:rPr>
          <w:rFonts w:ascii="Georgia" w:cs="Georgia" w:eastAsia="Georgia" w:hAnsi="Georgia"/>
          <w:b/>
          <w:bCs/>
          <w:color w:val="4A6B7C"/>
          <w:sz w:val="44"/>
          <w:szCs w:val="44"/>
        </w:rPr>
        <w:t xml:space="preserve">BESPOKE UNDERTAKINGS</w:t>
      </w:r>
    </w:p>
    <w:p>
      <w:pPr>
        <w:spacing w:after="200"/>
        <w:jc w:val="center"/>
      </w:pPr>
      <w:r>
        <w:rPr>
          <w:rFonts w:ascii="Arial" w:cs="Arial" w:eastAsia="Arial" w:hAnsi="Arial"/>
          <w:i/>
          <w:iCs/>
          <w:color w:val="5A5A5A"/>
          <w:sz w:val="24"/>
          <w:szCs w:val="24"/>
        </w:rPr>
        <w:t xml:space="preserve">America's First Post-Cremation Consultancy</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5400"/>
        <w:gridCol w:w="5400"/>
      </w:tblGrid>
      <w:tr>
        <w:tc>
          <w:tcPr>
            <w:tcW w:type="dxa" w:w="5400"/>
            <w:gridSpan w:val="2"/>
            <w:tcBorders>
              <w:top w:val="none" w:color="FFFFFF" w:sz="0"/>
              <w:left w:val="none" w:color="FFFFFF" w:sz="0"/>
              <w:bottom w:val="none" w:color="FFFFFF" w:sz="0"/>
              <w:right w:val="none" w:color="FFFFFF" w:sz="0"/>
            </w:tcBorders>
            <w:shd w:fill="4A6B7C" w:val="clear"/>
            <w:tcMar>
              <w:top w:type="dxa" w:w="100"/>
              <w:left w:type="dxa" w:w="150"/>
              <w:bottom w:type="dxa" w:w="100"/>
              <w:right w:type="dxa" w:w="150"/>
            </w:tcMar>
          </w:tcPr>
          <w:p>
            <w:pPr>
              <w:jc w:val="center"/>
            </w:pPr>
            <w:r>
              <w:rPr>
                <w:b/>
                <w:bCs/>
                <w:color w:val="FFFFFF"/>
                <w:sz w:val="24"/>
                <w:szCs w:val="24"/>
              </w:rPr>
              <w:t xml:space="preserve">QUICK FACTS</w:t>
            </w:r>
          </w:p>
        </w:tc>
      </w:tr>
      <w:tr>
        <w:tc>
          <w:tcPr>
            <w:tcW w:type="dxa" w:w="5400"/>
            <w:tcBorders>
              <w:top w:val="single" w:color="CCCCCC" w:sz="1"/>
              <w:left w:val="single" w:color="CCCCCC" w:sz="1"/>
              <w:bottom w:val="single" w:color="CCCCCC" w:sz="1"/>
              <w:right w:val="single" w:color="CCCCCC" w:sz="1"/>
            </w:tcBorders>
            <w:shd w:fill="F5F3F0" w:val="clear"/>
            <w:tcMar>
              <w:top w:type="dxa" w:w="80"/>
              <w:left w:type="dxa" w:w="120"/>
              <w:bottom w:type="dxa" w:w="80"/>
              <w:right w:type="dxa" w:w="120"/>
            </w:tcMar>
          </w:tcPr>
          <w:p>
            <w:r>
              <w:rPr>
                <w:b/>
                <w:bCs/>
                <w:sz w:val="20"/>
                <w:szCs w:val="20"/>
              </w:rPr>
              <w:t xml:space="preserve">What: </w:t>
            </w:r>
            <w:r>
              <w:rPr>
                <w:sz w:val="20"/>
                <w:szCs w:val="20"/>
              </w:rPr>
              <w:t xml:space="preserve">Post-cremation consultancy for families with cremated remains at home</w:t>
            </w:r>
          </w:p>
          <w:p>
            <w:pPr>
              <w:spacing w:before="60"/>
            </w:pPr>
            <w:r>
              <w:rPr>
                <w:b/>
                <w:bCs/>
                <w:sz w:val="20"/>
                <w:szCs w:val="20"/>
              </w:rPr>
              <w:t xml:space="preserve">Who: </w:t>
            </w:r>
            <w:r>
              <w:rPr>
                <w:sz w:val="20"/>
                <w:szCs w:val="20"/>
              </w:rPr>
              <w:t xml:space="preserve">Families seeking permanent placement &amp; memorialization guidance</w:t>
            </w:r>
          </w:p>
          <w:p>
            <w:pPr>
              <w:spacing w:before="60"/>
            </w:pPr>
            <w:r>
              <w:rPr>
                <w:b/>
                <w:bCs/>
                <w:sz w:val="20"/>
                <w:szCs w:val="20"/>
              </w:rPr>
              <w:t xml:space="preserve">Services: </w:t>
            </w:r>
            <w:r>
              <w:rPr>
                <w:sz w:val="20"/>
                <w:szCs w:val="20"/>
              </w:rPr>
              <w:t xml:space="preserve">Options exploration, placement coordination, documentation</w:t>
            </w:r>
          </w:p>
        </w:tc>
        <w:tc>
          <w:tcPr>
            <w:tcW w:type="dxa" w:w="5400"/>
            <w:tcBorders>
              <w:top w:val="single" w:color="CCCCCC" w:sz="1"/>
              <w:left w:val="single" w:color="CCCCCC" w:sz="1"/>
              <w:bottom w:val="single" w:color="CCCCCC" w:sz="1"/>
              <w:right w:val="single" w:color="CCCCCC" w:sz="1"/>
            </w:tcBorders>
            <w:shd w:fill="F5F3F0" w:val="clear"/>
            <w:tcMar>
              <w:top w:type="dxa" w:w="80"/>
              <w:left w:type="dxa" w:w="120"/>
              <w:bottom w:type="dxa" w:w="80"/>
              <w:right w:type="dxa" w:w="120"/>
            </w:tcMar>
          </w:tcPr>
          <w:p>
            <w:r>
              <w:rPr>
                <w:b/>
                <w:bCs/>
                <w:sz w:val="20"/>
                <w:szCs w:val="20"/>
              </w:rPr>
              <w:t xml:space="preserve">Founder: </w:t>
            </w:r>
            <w:r>
              <w:rPr>
                <w:sz w:val="20"/>
                <w:szCs w:val="20"/>
              </w:rPr>
              <w:t xml:space="preserve">Joe Bell, 3rd-gen funeral director (TX, SC, MT, WA)</w:t>
            </w:r>
          </w:p>
          <w:p>
            <w:pPr>
              <w:spacing w:before="60"/>
            </w:pPr>
            <w:r>
              <w:rPr>
                <w:b/>
                <w:bCs/>
                <w:sz w:val="20"/>
                <w:szCs w:val="20"/>
              </w:rPr>
              <w:t xml:space="preserve">Location: </w:t>
            </w:r>
            <w:r>
              <w:rPr>
                <w:sz w:val="20"/>
                <w:szCs w:val="20"/>
              </w:rPr>
              <w:t xml:space="preserve">Denton, TX (serving DFW Metroplex, 8.5M residents)</w:t>
            </w:r>
          </w:p>
          <w:p>
            <w:pPr>
              <w:spacing w:before="60"/>
            </w:pPr>
            <w:r>
              <w:rPr>
                <w:b/>
                <w:bCs/>
                <w:sz w:val="20"/>
                <w:szCs w:val="20"/>
              </w:rPr>
              <w:t xml:space="preserve">Launch: </w:t>
            </w:r>
            <w:r>
              <w:rPr>
                <w:sz w:val="20"/>
                <w:szCs w:val="20"/>
              </w:rPr>
              <w:t xml:space="preserve">January 28, 2026 (Ribbon Cutting 4 PM)</w:t>
            </w:r>
          </w:p>
        </w:tc>
      </w:tr>
    </w:tbl>
    <w:p>
      <w:pPr>
        <w:pStyle w:val="Heading2"/>
      </w:pPr>
      <w:r>
        <w:t xml:space="preserve">The Problem</w:t>
      </w:r>
    </w:p>
    <w:p>
      <w:pPr>
        <w:spacing w:after="120"/>
      </w:pPr>
      <w:r>
        <w:rPr>
          <w:sz w:val="22"/>
          <w:szCs w:val="22"/>
        </w:rPr>
        <w:t xml:space="preserve">63% of U.S. families choose cremation. More than a third keep remains at home indefinitely. Not because they don't care—because no one helps them figure out what comes next. Funeral homes handle urgent needs; cemeteries sell plots. But once families have ashes in hand, professional guidance ends. "For now" becomes forever. The urn sits on a shelf. In a closet. No plan. No permanent place. No record.</w:t>
      </w:r>
    </w:p>
    <w:p>
      <w:pPr>
        <w:pStyle w:val="Heading2"/>
      </w:pPr>
      <w:r>
        <w:t xml:space="preserve">The Solution</w:t>
      </w:r>
    </w:p>
    <w:p>
      <w:pPr>
        <w:spacing w:after="120"/>
      </w:pPr>
      <w:r>
        <w:rPr>
          <w:sz w:val="22"/>
          <w:szCs w:val="22"/>
        </w:rPr>
        <w:t xml:space="preserve">Bespoke Undertakings fills that gap. We help families explore options (cemetery niches, scattering ceremonies, home memorials, cremation jewelry), coordinate with vendors, and ensure proper documentation. Salaried consultants—no commissions. Published pricing—no surprises. Expert guidance from a licensed funeral director with real credentials.</w:t>
      </w:r>
    </w:p>
    <w:p>
      <w:pPr>
        <w:pStyle w:val="Heading2"/>
      </w:pPr>
      <w:r>
        <w:t xml:space="preserve">Industry Statistics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700"/>
        <w:gridCol w:w="2700"/>
        <w:gridCol w:w="2700"/>
        <w:gridCol w:w="2700"/>
      </w:tblGrid>
      <w:tr>
        <w:tc>
          <w:tcPr>
            <w:tcW w:type="dxa" w:w="2700"/>
            <w:tcBorders>
              <w:top w:val="single" w:color="CCCCCC" w:sz="1"/>
              <w:left w:val="single" w:color="CCCCCC" w:sz="1"/>
              <w:bottom w:val="single" w:color="CCCCCC" w:sz="1"/>
              <w:right w:val="single" w:color="CCCCCC" w:sz="1"/>
            </w:tcBorders>
            <w:shd w:fill="4A6B7C" w:val="clear"/>
            <w:tcMar>
              <w:top w:type="dxa" w:w="80"/>
              <w:left w:type="dxa" w:w="80"/>
              <w:bottom w:type="dxa" w:w="80"/>
              <w:right w:type="dxa" w:w="80"/>
            </w:tcMar>
          </w:tcPr>
          <w:p>
            <w:pPr>
              <w:jc w:val="center"/>
            </w:pPr>
            <w:r>
              <w:rPr>
                <w:b/>
                <w:bCs/>
                <w:color w:val="FFFFFF"/>
                <w:sz w:val="36"/>
                <w:szCs w:val="36"/>
              </w:rPr>
              <w:t xml:space="preserve">63%</w:t>
            </w:r>
          </w:p>
          <w:p>
            <w:pPr>
              <w:jc w:val="center"/>
            </w:pPr>
            <w:r>
              <w:rPr>
                <w:color w:val="FFFFFF"/>
                <w:sz w:val="18"/>
                <w:szCs w:val="18"/>
              </w:rPr>
              <w:t xml:space="preserve">choose cremation</w:t>
            </w:r>
          </w:p>
        </w:tc>
        <w:tc>
          <w:tcPr>
            <w:tcW w:type="dxa" w:w="2700"/>
            <w:tcBorders>
              <w:top w:val="single" w:color="CCCCCC" w:sz="1"/>
              <w:left w:val="single" w:color="CCCCCC" w:sz="1"/>
              <w:bottom w:val="single" w:color="CCCCCC" w:sz="1"/>
              <w:right w:val="single" w:color="CCCCCC" w:sz="1"/>
            </w:tcBorders>
            <w:shd w:fill="4A6B7C" w:val="clear"/>
            <w:tcMar>
              <w:top w:type="dxa" w:w="80"/>
              <w:left w:type="dxa" w:w="80"/>
              <w:bottom w:type="dxa" w:w="80"/>
              <w:right w:type="dxa" w:w="80"/>
            </w:tcMar>
          </w:tcPr>
          <w:p>
            <w:pPr>
              <w:jc w:val="center"/>
            </w:pPr>
            <w:r>
              <w:rPr>
                <w:b/>
                <w:bCs/>
                <w:color w:val="FFFFFF"/>
                <w:sz w:val="36"/>
                <w:szCs w:val="36"/>
              </w:rPr>
              <w:t xml:space="preserve">82%</w:t>
            </w:r>
          </w:p>
          <w:p>
            <w:pPr>
              <w:jc w:val="center"/>
            </w:pPr>
            <w:r>
              <w:rPr>
                <w:color w:val="FFFFFF"/>
                <w:sz w:val="18"/>
                <w:szCs w:val="18"/>
              </w:rPr>
              <w:t xml:space="preserve">projected by 2045</w:t>
            </w:r>
          </w:p>
        </w:tc>
        <w:tc>
          <w:tcPr>
            <w:tcW w:type="dxa" w:w="2700"/>
            <w:tcBorders>
              <w:top w:val="single" w:color="CCCCCC" w:sz="1"/>
              <w:left w:val="single" w:color="CCCCCC" w:sz="1"/>
              <w:bottom w:val="single" w:color="CCCCCC" w:sz="1"/>
              <w:right w:val="single" w:color="CCCCCC" w:sz="1"/>
            </w:tcBorders>
            <w:shd w:fill="4A6B7C" w:val="clear"/>
            <w:tcMar>
              <w:top w:type="dxa" w:w="80"/>
              <w:left w:type="dxa" w:w="80"/>
              <w:bottom w:type="dxa" w:w="80"/>
              <w:right w:type="dxa" w:w="80"/>
            </w:tcMar>
          </w:tcPr>
          <w:p>
            <w:pPr>
              <w:jc w:val="center"/>
            </w:pPr>
            <w:r>
              <w:rPr>
                <w:b/>
                <w:bCs/>
                <w:color w:val="FFFFFF"/>
                <w:sz w:val="36"/>
                <w:szCs w:val="36"/>
              </w:rPr>
              <w:t xml:space="preserve">37%</w:t>
            </w:r>
          </w:p>
          <w:p>
            <w:pPr>
              <w:jc w:val="center"/>
            </w:pPr>
            <w:r>
              <w:rPr>
                <w:color w:val="FFFFFF"/>
                <w:sz w:val="18"/>
                <w:szCs w:val="18"/>
              </w:rPr>
              <w:t xml:space="preserve">keep ashes at home</w:t>
            </w:r>
          </w:p>
        </w:tc>
        <w:tc>
          <w:tcPr>
            <w:tcW w:type="dxa" w:w="2700"/>
            <w:tcBorders>
              <w:top w:val="single" w:color="CCCCCC" w:sz="1"/>
              <w:left w:val="single" w:color="CCCCCC" w:sz="1"/>
              <w:bottom w:val="single" w:color="CCCCCC" w:sz="1"/>
              <w:right w:val="single" w:color="CCCCCC" w:sz="1"/>
            </w:tcBorders>
            <w:shd w:fill="4A6B7C" w:val="clear"/>
            <w:tcMar>
              <w:top w:type="dxa" w:w="80"/>
              <w:left w:type="dxa" w:w="80"/>
              <w:bottom w:type="dxa" w:w="80"/>
              <w:right w:type="dxa" w:w="80"/>
            </w:tcMar>
          </w:tcPr>
          <w:p>
            <w:pPr>
              <w:jc w:val="center"/>
            </w:pPr>
            <w:r>
              <w:rPr>
                <w:b/>
                <w:bCs/>
                <w:color w:val="FFFFFF"/>
                <w:sz w:val="36"/>
                <w:szCs w:val="36"/>
              </w:rPr>
              <w:t xml:space="preserve">95%</w:t>
            </w:r>
          </w:p>
          <w:p>
            <w:pPr>
              <w:jc w:val="center"/>
            </w:pPr>
            <w:r>
              <w:rPr>
                <w:color w:val="FFFFFF"/>
                <w:sz w:val="18"/>
                <w:szCs w:val="18"/>
              </w:rPr>
              <w:t xml:space="preserve">say memorializing matters</w:t>
            </w:r>
          </w:p>
        </w:tc>
      </w:tr>
    </w:tbl>
    <w:p>
      <w:pPr>
        <w:spacing w:before="40" w:after="120"/>
        <w:jc w:val="right"/>
      </w:pPr>
      <w:r>
        <w:rPr>
          <w:i/>
          <w:iCs/>
          <w:color w:val="7A7A7A"/>
          <w:sz w:val="16"/>
          <w:szCs w:val="16"/>
        </w:rPr>
        <w:t xml:space="preserve">Source: NFDA 2025 Cremation &amp; Burial Report, Consumer Awareness Survey</w:t>
      </w:r>
    </w:p>
    <w:p>
      <w:pPr>
        <w:pStyle w:val="Heading2"/>
      </w:pPr>
      <w:r>
        <w:t xml:space="preserve">Four Service Brands</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2700"/>
        <w:gridCol w:w="2700"/>
        <w:gridCol w:w="2700"/>
        <w:gridCol w:w="2700"/>
      </w:tblGrid>
      <w:tr>
        <w:tc>
          <w:tcPr>
            <w:tcW w:type="dxa" w:w="2700"/>
            <w:tcBorders>
              <w:top w:val="single" w:color="CCCCCC" w:sz="1"/>
              <w:left w:val="single" w:color="CCCCCC" w:sz="1"/>
              <w:bottom w:val="single" w:color="CCCCCC" w:sz="1"/>
              <w:right w:val="single" w:color="CCCCCC" w:sz="1"/>
            </w:tcBorders>
            <w:shd w:fill="F5F3F0" w:val="clear"/>
            <w:tcMar>
              <w:top w:type="dxa" w:w="80"/>
              <w:left w:type="dxa" w:w="80"/>
              <w:bottom w:type="dxa" w:w="80"/>
              <w:right w:type="dxa" w:w="80"/>
            </w:tcMar>
          </w:tcPr>
          <w:p>
            <w:r>
              <w:rPr>
                <w:b/>
                <w:bCs/>
                <w:color w:val="4A6B7C"/>
                <w:sz w:val="20"/>
                <w:szCs w:val="20"/>
              </w:rPr>
              <w:t xml:space="preserve">Off the Mantel</w:t>
            </w:r>
          </w:p>
          <w:p>
            <w:pPr>
              <w:spacing w:before="40"/>
            </w:pPr>
            <w:r>
              <w:rPr>
                <w:sz w:val="18"/>
                <w:szCs w:val="18"/>
              </w:rPr>
              <w:t xml:space="preserve">General post-cremation planning &amp; placement services</w:t>
            </w:r>
          </w:p>
        </w:tc>
        <w:tc>
          <w:tcPr>
            <w:tcW w:type="dxa" w:w="2700"/>
            <w:tcBorders>
              <w:top w:val="single" w:color="CCCCCC" w:sz="1"/>
              <w:left w:val="single" w:color="CCCCCC" w:sz="1"/>
              <w:bottom w:val="single" w:color="CCCCCC" w:sz="1"/>
              <w:right w:val="single" w:color="CCCCCC" w:sz="1"/>
            </w:tcBorders>
            <w:shd w:fill="F5F3F0" w:val="clear"/>
            <w:tcMar>
              <w:top w:type="dxa" w:w="80"/>
              <w:left w:type="dxa" w:w="80"/>
              <w:bottom w:type="dxa" w:w="80"/>
              <w:right w:type="dxa" w:w="80"/>
            </w:tcMar>
          </w:tcPr>
          <w:p>
            <w:r>
              <w:rPr>
                <w:b/>
                <w:bCs/>
                <w:color w:val="4A6B7C"/>
                <w:sz w:val="20"/>
                <w:szCs w:val="20"/>
              </w:rPr>
              <w:t xml:space="preserve">Earned Honor</w:t>
            </w:r>
          </w:p>
          <w:p>
            <w:pPr>
              <w:spacing w:before="40"/>
            </w:pPr>
            <w:r>
              <w:rPr>
                <w:sz w:val="18"/>
                <w:szCs w:val="18"/>
              </w:rPr>
              <w:t xml:space="preserve">Veteran placement &amp; VA benefits coordination</w:t>
            </w:r>
          </w:p>
        </w:tc>
        <w:tc>
          <w:tcPr>
            <w:tcW w:type="dxa" w:w="2700"/>
            <w:tcBorders>
              <w:top w:val="single" w:color="CCCCCC" w:sz="1"/>
              <w:left w:val="single" w:color="CCCCCC" w:sz="1"/>
              <w:bottom w:val="single" w:color="CCCCCC" w:sz="1"/>
              <w:right w:val="single" w:color="CCCCCC" w:sz="1"/>
            </w:tcBorders>
            <w:shd w:fill="F5F3F0" w:val="clear"/>
            <w:tcMar>
              <w:top w:type="dxa" w:w="80"/>
              <w:left w:type="dxa" w:w="80"/>
              <w:bottom w:type="dxa" w:w="80"/>
              <w:right w:type="dxa" w:w="80"/>
            </w:tcMar>
          </w:tcPr>
          <w:p>
            <w:r>
              <w:rPr>
                <w:b/>
                <w:bCs/>
                <w:color w:val="4A6B7C"/>
                <w:sz w:val="20"/>
                <w:szCs w:val="20"/>
              </w:rPr>
              <w:t xml:space="preserve">End of the Rainbow Bridge</w:t>
            </w:r>
          </w:p>
          <w:p>
            <w:pPr>
              <w:spacing w:before="40"/>
            </w:pPr>
            <w:r>
              <w:rPr>
                <w:sz w:val="18"/>
                <w:szCs w:val="18"/>
              </w:rPr>
              <w:t xml:space="preserve">Pet cremation guidance &amp; memorialization</w:t>
            </w:r>
          </w:p>
        </w:tc>
        <w:tc>
          <w:tcPr>
            <w:tcW w:type="dxa" w:w="2700"/>
            <w:tcBorders>
              <w:top w:val="single" w:color="CCCCCC" w:sz="1"/>
              <w:left w:val="single" w:color="CCCCCC" w:sz="1"/>
              <w:bottom w:val="single" w:color="CCCCCC" w:sz="1"/>
              <w:right w:val="single" w:color="CCCCCC" w:sz="1"/>
            </w:tcBorders>
            <w:shd w:fill="F5F3F0" w:val="clear"/>
            <w:tcMar>
              <w:top w:type="dxa" w:w="80"/>
              <w:left w:type="dxa" w:w="80"/>
              <w:bottom w:type="dxa" w:w="80"/>
              <w:right w:type="dxa" w:w="80"/>
            </w:tcMar>
          </w:tcPr>
          <w:p>
            <w:r>
              <w:rPr>
                <w:b/>
                <w:bCs/>
                <w:color w:val="4A6B7C"/>
                <w:sz w:val="20"/>
                <w:szCs w:val="20"/>
              </w:rPr>
              <w:t xml:space="preserve">Happily Ever Ashes</w:t>
            </w:r>
          </w:p>
          <w:p>
            <w:pPr>
              <w:spacing w:before="40"/>
            </w:pPr>
            <w:r>
              <w:rPr>
                <w:sz w:val="18"/>
                <w:szCs w:val="18"/>
              </w:rPr>
              <w:t xml:space="preserve">Curated urns, jewelry &amp; memorial products</w:t>
            </w:r>
          </w:p>
        </w:tc>
      </w:tr>
    </w:tbl>
    <w:p>
      <w:pPr>
        <w:spacing w:before="300"/>
      </w:pP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10800"/>
      </w:tblGrid>
      <w:tr>
        <w:tc>
          <w:tcPr>
            <w:tcW w:type="dxa" w:w="10800"/>
            <w:tcBorders>
              <w:top w:val="none" w:color="FFFFFF" w:sz="0"/>
              <w:left w:val="none" w:color="FFFFFF" w:sz="0"/>
              <w:bottom w:val="none" w:color="FFFFFF" w:sz="0"/>
              <w:right w:val="none" w:color="FFFFFF" w:sz="0"/>
            </w:tcBorders>
            <w:shd w:fill="4A6B7C" w:val="clear"/>
            <w:tcMar>
              <w:top w:type="dxa" w:w="120"/>
              <w:left w:type="dxa" w:w="200"/>
              <w:bottom w:type="dxa" w:w="120"/>
              <w:right w:type="dxa" w:w="200"/>
            </w:tcMar>
          </w:tcPr>
          <w:p>
            <w:pPr>
              <w:jc w:val="center"/>
            </w:pPr>
            <w:r>
              <w:rPr>
                <w:b/>
                <w:bCs/>
                <w:color w:val="C4A87C"/>
                <w:sz w:val="22"/>
                <w:szCs w:val="22"/>
              </w:rPr>
              <w:t xml:space="preserve">PRESS CONTACT: </w:t>
            </w:r>
            <w:r>
              <w:rPr>
                <w:color w:val="FFFFFF"/>
                <w:sz w:val="22"/>
                <w:szCs w:val="22"/>
              </w:rPr>
              <w:t xml:space="preserve">Joe Bell  •  (940) 762-8202  •  joe@bespokeundertakings.com  •  bespokeundertakings.com</w:t>
            </w:r>
          </w:p>
          <w:p>
            <w:pPr>
              <w:spacing w:before="60"/>
              <w:jc w:val="center"/>
            </w:pPr>
            <w:r>
              <w:rPr>
                <w:color w:val="FFFFFF"/>
                <w:sz w:val="20"/>
                <w:szCs w:val="20"/>
              </w:rPr>
              <w:t xml:space="preserve">501 S Carroll Blvd, Suite 101, Denton, TX 76201</w:t>
            </w:r>
          </w:p>
        </w:tc>
      </w:tr>
    </w:tbl>
    <w:sectPr>
      <w:pgSz w:w="12240" w:h="15840" w:orient="portrait"/>
      <w:pgMar w:top="720" w:right="720" w:bottom="720" w:left="72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0" w:after="120"/>
      <w:outlineLvl w:val="0"/>
    </w:pPr>
    <w:rPr>
      <w:rFonts w:ascii="Georgia" w:cs="Georgia" w:eastAsia="Georgia" w:hAnsi="Georgia"/>
      <w:b/>
      <w:bCs/>
      <w:color w:val="4A6B7C"/>
      <w:sz w:val="36"/>
      <w:szCs w:val="36"/>
    </w:rPr>
  </w:style>
  <w:style w:type="paragraph" w:styleId="Heading2">
    <w:name w:val="Heading 2"/>
    <w:basedOn w:val="Normal"/>
    <w:next w:val="Normal"/>
    <w:qFormat/>
    <w:pPr>
      <w:spacing w:before="200" w:after="80"/>
      <w:outlineLvl w:val="1"/>
    </w:pPr>
    <w:rPr>
      <w:rFonts w:ascii="Georgia" w:cs="Georgia" w:eastAsia="Georgia" w:hAnsi="Georgia"/>
      <w:b/>
      <w:bCs/>
      <w:color w:val="4A6B7C"/>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2026-01-14T23:57:54.869Z</dcterms:created>
  <dcterms:modified xsi:type="dcterms:W3CDTF">2026-01-14T23:57:54.870Z</dcterms:modified>
</cp:coreProperties>
</file>

<file path=docProps/custom.xml><?xml version="1.0" encoding="utf-8"?>
<Properties xmlns="http://schemas.openxmlformats.org/officeDocument/2006/custom-properties" xmlns:vt="http://schemas.openxmlformats.org/officeDocument/2006/docPropsVTypes"/>
</file>