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FA13F" w14:textId="77777777" w:rsidR="00BF5544" w:rsidRDefault="00BF5544" w:rsidP="00BF5544">
      <w:pPr>
        <w:spacing w:after="0" w:line="240" w:lineRule="auto"/>
        <w:jc w:val="center"/>
        <w:rPr>
          <w:b/>
          <w:sz w:val="28"/>
          <w:szCs w:val="28"/>
        </w:rPr>
      </w:pPr>
      <w:r>
        <w:rPr>
          <w:b/>
          <w:sz w:val="28"/>
          <w:szCs w:val="28"/>
        </w:rPr>
        <w:t xml:space="preserve">UNITED STATES GOVERNMENT </w:t>
      </w:r>
    </w:p>
    <w:p w14:paraId="34BC96EC" w14:textId="1649CF85" w:rsidR="00BF5544" w:rsidRDefault="00BF5544" w:rsidP="00BF5544">
      <w:pPr>
        <w:spacing w:after="0" w:line="240" w:lineRule="auto"/>
        <w:jc w:val="center"/>
        <w:rPr>
          <w:b/>
          <w:sz w:val="28"/>
          <w:szCs w:val="28"/>
        </w:rPr>
      </w:pPr>
      <w:r>
        <w:rPr>
          <w:b/>
          <w:sz w:val="28"/>
          <w:szCs w:val="28"/>
        </w:rPr>
        <w:t xml:space="preserve"> FEDERAL MEDIATION AND CONCILIATION SERVICE </w:t>
      </w:r>
    </w:p>
    <w:p w14:paraId="0B577C5E" w14:textId="2E778BD1" w:rsidR="007C1C7C" w:rsidRDefault="007C1C7C" w:rsidP="00660205">
      <w:pPr>
        <w:pBdr>
          <w:bottom w:val="single" w:sz="12" w:space="1" w:color="auto"/>
        </w:pBdr>
        <w:spacing w:line="240" w:lineRule="auto"/>
        <w:jc w:val="center"/>
        <w:rPr>
          <w:b/>
          <w:sz w:val="28"/>
          <w:szCs w:val="28"/>
        </w:rPr>
      </w:pPr>
      <w:r w:rsidRPr="007C1C7C">
        <w:rPr>
          <w:b/>
          <w:sz w:val="28"/>
          <w:szCs w:val="28"/>
        </w:rPr>
        <w:t xml:space="preserve">Case Number: </w:t>
      </w:r>
      <w:r w:rsidR="004D56FE">
        <w:rPr>
          <w:b/>
          <w:sz w:val="28"/>
          <w:szCs w:val="28"/>
        </w:rPr>
        <w:t>2401</w:t>
      </w:r>
      <w:r w:rsidR="009B1C68">
        <w:rPr>
          <w:b/>
          <w:sz w:val="28"/>
          <w:szCs w:val="28"/>
        </w:rPr>
        <w:t>11-02627</w:t>
      </w:r>
    </w:p>
    <w:p w14:paraId="53774D28" w14:textId="00CEF54A" w:rsidR="003D0B5F" w:rsidRDefault="003D0B5F" w:rsidP="00660205">
      <w:pPr>
        <w:pBdr>
          <w:bottom w:val="single" w:sz="12" w:space="1" w:color="auto"/>
        </w:pBdr>
        <w:spacing w:line="240" w:lineRule="auto"/>
        <w:jc w:val="center"/>
        <w:rPr>
          <w:b/>
          <w:sz w:val="28"/>
          <w:szCs w:val="28"/>
        </w:rPr>
      </w:pPr>
      <w:r>
        <w:rPr>
          <w:b/>
          <w:sz w:val="28"/>
          <w:szCs w:val="28"/>
        </w:rPr>
        <w:t xml:space="preserve">Before Theodore H. O’Brien, Arbitrator </w:t>
      </w:r>
    </w:p>
    <w:p w14:paraId="364ACB49" w14:textId="77777777" w:rsidR="007C1C7C" w:rsidRPr="007C1C7C" w:rsidRDefault="007C1C7C" w:rsidP="00660205">
      <w:pPr>
        <w:spacing w:line="240" w:lineRule="auto"/>
        <w:jc w:val="center"/>
        <w:rPr>
          <w:b/>
          <w:sz w:val="28"/>
          <w:szCs w:val="28"/>
        </w:rPr>
      </w:pPr>
      <w:r w:rsidRPr="007C1C7C">
        <w:rPr>
          <w:b/>
          <w:sz w:val="28"/>
          <w:szCs w:val="28"/>
        </w:rPr>
        <w:t>In the Matter of Arbitration between:</w:t>
      </w:r>
    </w:p>
    <w:p w14:paraId="6E657EA4" w14:textId="77777777" w:rsidR="007C1C7C" w:rsidRDefault="007C1C7C" w:rsidP="00660205">
      <w:pPr>
        <w:spacing w:line="240" w:lineRule="auto"/>
        <w:jc w:val="center"/>
        <w:rPr>
          <w:b/>
          <w:sz w:val="28"/>
          <w:szCs w:val="28"/>
        </w:rPr>
      </w:pPr>
    </w:p>
    <w:p w14:paraId="1142B7DC" w14:textId="453EEB56" w:rsidR="004D56FE" w:rsidRPr="00E75A52" w:rsidRDefault="009B1C68" w:rsidP="00660205">
      <w:pPr>
        <w:spacing w:line="240" w:lineRule="auto"/>
        <w:jc w:val="center"/>
        <w:rPr>
          <w:b/>
          <w:sz w:val="32"/>
          <w:szCs w:val="32"/>
        </w:rPr>
      </w:pPr>
      <w:r>
        <w:rPr>
          <w:b/>
          <w:sz w:val="32"/>
          <w:szCs w:val="32"/>
        </w:rPr>
        <w:t>City of Bradenton, F</w:t>
      </w:r>
      <w:r w:rsidR="005D3A86">
        <w:rPr>
          <w:b/>
          <w:sz w:val="32"/>
          <w:szCs w:val="32"/>
        </w:rPr>
        <w:t>lorida</w:t>
      </w:r>
      <w:r w:rsidR="004D56FE" w:rsidRPr="00E75A52">
        <w:rPr>
          <w:b/>
          <w:sz w:val="32"/>
          <w:szCs w:val="32"/>
        </w:rPr>
        <w:t xml:space="preserve"> </w:t>
      </w:r>
    </w:p>
    <w:p w14:paraId="46B85296" w14:textId="686A66D1" w:rsidR="007C1C7C" w:rsidRPr="00E02E7E" w:rsidRDefault="007C1C7C" w:rsidP="009C578A">
      <w:pPr>
        <w:spacing w:line="240" w:lineRule="auto"/>
        <w:rPr>
          <w:b/>
          <w:sz w:val="32"/>
          <w:szCs w:val="32"/>
        </w:rPr>
      </w:pPr>
    </w:p>
    <w:p w14:paraId="28452BD2" w14:textId="77777777" w:rsidR="007C1C7C" w:rsidRPr="007C1C7C" w:rsidRDefault="007C1C7C" w:rsidP="00660205">
      <w:pPr>
        <w:spacing w:line="240" w:lineRule="auto"/>
        <w:jc w:val="center"/>
        <w:rPr>
          <w:b/>
          <w:sz w:val="28"/>
          <w:szCs w:val="28"/>
        </w:rPr>
      </w:pPr>
      <w:r w:rsidRPr="007C1C7C">
        <w:rPr>
          <w:b/>
          <w:sz w:val="28"/>
          <w:szCs w:val="28"/>
        </w:rPr>
        <w:t>-and-</w:t>
      </w:r>
    </w:p>
    <w:p w14:paraId="4857377C" w14:textId="77777777" w:rsidR="009B1C68" w:rsidRDefault="009B1C68" w:rsidP="00660205">
      <w:pPr>
        <w:spacing w:line="240" w:lineRule="auto"/>
        <w:jc w:val="center"/>
        <w:rPr>
          <w:b/>
          <w:sz w:val="32"/>
          <w:szCs w:val="32"/>
        </w:rPr>
      </w:pPr>
    </w:p>
    <w:p w14:paraId="4F6B92EE" w14:textId="273F5765" w:rsidR="007C1C7C" w:rsidRPr="00E02E7E" w:rsidRDefault="009B1C68" w:rsidP="00660205">
      <w:pPr>
        <w:spacing w:line="240" w:lineRule="auto"/>
        <w:jc w:val="center"/>
        <w:rPr>
          <w:b/>
          <w:sz w:val="32"/>
          <w:szCs w:val="32"/>
        </w:rPr>
      </w:pPr>
      <w:r>
        <w:rPr>
          <w:b/>
          <w:sz w:val="32"/>
          <w:szCs w:val="32"/>
        </w:rPr>
        <w:t xml:space="preserve">Florida Police Benevolent Association </w:t>
      </w:r>
      <w:r w:rsidR="00E75A52">
        <w:rPr>
          <w:b/>
          <w:sz w:val="32"/>
          <w:szCs w:val="32"/>
        </w:rPr>
        <w:t xml:space="preserve"> </w:t>
      </w:r>
    </w:p>
    <w:p w14:paraId="14965FFE" w14:textId="77777777" w:rsidR="00B272A1" w:rsidRDefault="00B272A1" w:rsidP="00660205">
      <w:pPr>
        <w:spacing w:line="240" w:lineRule="auto"/>
        <w:jc w:val="center"/>
        <w:rPr>
          <w:b/>
          <w:sz w:val="28"/>
          <w:szCs w:val="28"/>
        </w:rPr>
      </w:pPr>
    </w:p>
    <w:p w14:paraId="662DBEF9" w14:textId="08F69D36" w:rsidR="007C1C7C" w:rsidRDefault="007C1C7C" w:rsidP="00660205">
      <w:pPr>
        <w:pBdr>
          <w:bottom w:val="single" w:sz="12" w:space="1" w:color="auto"/>
        </w:pBdr>
        <w:spacing w:line="240" w:lineRule="auto"/>
        <w:jc w:val="center"/>
        <w:rPr>
          <w:b/>
          <w:sz w:val="28"/>
          <w:szCs w:val="28"/>
        </w:rPr>
      </w:pPr>
      <w:r>
        <w:rPr>
          <w:b/>
          <w:sz w:val="28"/>
          <w:szCs w:val="28"/>
        </w:rPr>
        <w:t>Grievance:</w:t>
      </w:r>
      <w:r w:rsidR="00BF5544">
        <w:rPr>
          <w:b/>
          <w:sz w:val="28"/>
          <w:szCs w:val="28"/>
        </w:rPr>
        <w:t xml:space="preserve">  </w:t>
      </w:r>
      <w:r>
        <w:rPr>
          <w:b/>
          <w:sz w:val="28"/>
          <w:szCs w:val="28"/>
        </w:rPr>
        <w:t xml:space="preserve"> </w:t>
      </w:r>
      <w:r w:rsidR="009B1C68">
        <w:rPr>
          <w:b/>
          <w:sz w:val="28"/>
          <w:szCs w:val="28"/>
        </w:rPr>
        <w:t>Violation of Article 22, Section 1</w:t>
      </w:r>
    </w:p>
    <w:p w14:paraId="288A92BD" w14:textId="36D9860D" w:rsidR="00BF5544" w:rsidRDefault="00BF5544" w:rsidP="00660205">
      <w:pPr>
        <w:pBdr>
          <w:bottom w:val="single" w:sz="12" w:space="1" w:color="auto"/>
        </w:pBdr>
        <w:spacing w:line="240" w:lineRule="auto"/>
        <w:jc w:val="center"/>
        <w:rPr>
          <w:b/>
          <w:sz w:val="28"/>
          <w:szCs w:val="28"/>
        </w:rPr>
      </w:pPr>
    </w:p>
    <w:p w14:paraId="04044D13" w14:textId="519D78D6" w:rsidR="007C1C7C" w:rsidRDefault="00D540B2" w:rsidP="007B090B">
      <w:pPr>
        <w:spacing w:line="360" w:lineRule="auto"/>
        <w:jc w:val="center"/>
        <w:rPr>
          <w:b/>
          <w:sz w:val="28"/>
          <w:szCs w:val="28"/>
          <w:u w:val="single"/>
        </w:rPr>
      </w:pPr>
      <w:r>
        <w:rPr>
          <w:b/>
          <w:sz w:val="28"/>
          <w:szCs w:val="28"/>
          <w:u w:val="single"/>
        </w:rPr>
        <w:t xml:space="preserve">INTRODUCTION </w:t>
      </w:r>
    </w:p>
    <w:p w14:paraId="3D434CAC" w14:textId="7340BDDC" w:rsidR="0049620D" w:rsidRDefault="005D0889" w:rsidP="00001D14">
      <w:pPr>
        <w:spacing w:after="0" w:line="360" w:lineRule="auto"/>
        <w:ind w:firstLine="720"/>
        <w:rPr>
          <w:bCs/>
          <w:sz w:val="28"/>
          <w:szCs w:val="28"/>
        </w:rPr>
      </w:pPr>
      <w:r>
        <w:rPr>
          <w:bCs/>
          <w:sz w:val="28"/>
          <w:szCs w:val="28"/>
        </w:rPr>
        <w:t xml:space="preserve">On </w:t>
      </w:r>
      <w:r w:rsidR="009B1C68">
        <w:rPr>
          <w:bCs/>
          <w:sz w:val="28"/>
          <w:szCs w:val="28"/>
        </w:rPr>
        <w:t>February 20</w:t>
      </w:r>
      <w:r w:rsidR="000E2C0E">
        <w:rPr>
          <w:bCs/>
          <w:sz w:val="28"/>
          <w:szCs w:val="28"/>
        </w:rPr>
        <w:t>, 2024</w:t>
      </w:r>
      <w:r>
        <w:rPr>
          <w:bCs/>
          <w:sz w:val="28"/>
          <w:szCs w:val="28"/>
        </w:rPr>
        <w:t>, the Federal Mediation and Conciliation Service (“FMCS”) appointed Theodore H. O’Brien to serve as arbitrator in the matter</w:t>
      </w:r>
      <w:r w:rsidR="000E2C0E">
        <w:rPr>
          <w:bCs/>
          <w:sz w:val="28"/>
          <w:szCs w:val="28"/>
        </w:rPr>
        <w:t xml:space="preserve"> of a grievance filed by the</w:t>
      </w:r>
      <w:r w:rsidR="00175EF2">
        <w:rPr>
          <w:bCs/>
          <w:sz w:val="28"/>
          <w:szCs w:val="28"/>
        </w:rPr>
        <w:t xml:space="preserve"> Florida Police Benevolent Association</w:t>
      </w:r>
      <w:r w:rsidR="000E2C0E">
        <w:rPr>
          <w:bCs/>
          <w:sz w:val="28"/>
          <w:szCs w:val="28"/>
        </w:rPr>
        <w:t xml:space="preserve">, (herein, the “Union” or </w:t>
      </w:r>
      <w:r w:rsidR="00175EF2">
        <w:rPr>
          <w:bCs/>
          <w:sz w:val="28"/>
          <w:szCs w:val="28"/>
        </w:rPr>
        <w:t xml:space="preserve">the </w:t>
      </w:r>
      <w:r w:rsidR="000E2C0E">
        <w:rPr>
          <w:bCs/>
          <w:sz w:val="28"/>
          <w:szCs w:val="28"/>
        </w:rPr>
        <w:t>“</w:t>
      </w:r>
      <w:r w:rsidR="00175EF2">
        <w:rPr>
          <w:bCs/>
          <w:sz w:val="28"/>
          <w:szCs w:val="28"/>
        </w:rPr>
        <w:t>Association”).</w:t>
      </w:r>
    </w:p>
    <w:p w14:paraId="14115E8B" w14:textId="6ABD37C1" w:rsidR="00175EF2" w:rsidRDefault="00175EF2" w:rsidP="00001D14">
      <w:pPr>
        <w:spacing w:after="0" w:line="360" w:lineRule="auto"/>
        <w:ind w:firstLine="720"/>
        <w:rPr>
          <w:bCs/>
          <w:sz w:val="28"/>
          <w:szCs w:val="28"/>
        </w:rPr>
      </w:pPr>
      <w:r>
        <w:rPr>
          <w:bCs/>
          <w:sz w:val="28"/>
          <w:szCs w:val="28"/>
        </w:rPr>
        <w:t>The grievance, dated October 31, 2023, was submitted to the Bradenton Police Department</w:t>
      </w:r>
      <w:r w:rsidR="006F0DEB">
        <w:rPr>
          <w:bCs/>
          <w:sz w:val="28"/>
          <w:szCs w:val="28"/>
        </w:rPr>
        <w:t>, (herein, BPD”),</w:t>
      </w:r>
      <w:r>
        <w:rPr>
          <w:bCs/>
          <w:sz w:val="28"/>
          <w:szCs w:val="28"/>
        </w:rPr>
        <w:t xml:space="preserve"> on b</w:t>
      </w:r>
      <w:r w:rsidR="000E2C0E">
        <w:rPr>
          <w:bCs/>
          <w:sz w:val="28"/>
          <w:szCs w:val="28"/>
        </w:rPr>
        <w:t>ehalf</w:t>
      </w:r>
      <w:r>
        <w:rPr>
          <w:bCs/>
          <w:sz w:val="28"/>
          <w:szCs w:val="28"/>
        </w:rPr>
        <w:t xml:space="preserve"> of all members of the</w:t>
      </w:r>
      <w:r w:rsidR="0049620D">
        <w:rPr>
          <w:bCs/>
          <w:sz w:val="28"/>
          <w:szCs w:val="28"/>
        </w:rPr>
        <w:t xml:space="preserve"> </w:t>
      </w:r>
      <w:r>
        <w:rPr>
          <w:bCs/>
          <w:sz w:val="28"/>
          <w:szCs w:val="28"/>
        </w:rPr>
        <w:t xml:space="preserve">“Officers, Detectives and Sergeants Bargaining Unit, </w:t>
      </w:r>
      <w:r w:rsidR="000E2C0E">
        <w:rPr>
          <w:bCs/>
          <w:sz w:val="28"/>
          <w:szCs w:val="28"/>
        </w:rPr>
        <w:t>(herein, the “grievant</w:t>
      </w:r>
      <w:r w:rsidR="0049620D">
        <w:rPr>
          <w:bCs/>
          <w:sz w:val="28"/>
          <w:szCs w:val="28"/>
        </w:rPr>
        <w:t>s</w:t>
      </w:r>
      <w:r w:rsidR="000E2C0E">
        <w:rPr>
          <w:bCs/>
          <w:sz w:val="28"/>
          <w:szCs w:val="28"/>
        </w:rPr>
        <w:t>”)</w:t>
      </w:r>
      <w:r>
        <w:rPr>
          <w:bCs/>
          <w:sz w:val="28"/>
          <w:szCs w:val="28"/>
        </w:rPr>
        <w:t>.</w:t>
      </w:r>
    </w:p>
    <w:p w14:paraId="13BCE8A6" w14:textId="199A47C7" w:rsidR="00731783" w:rsidRDefault="00175EF2" w:rsidP="00001D14">
      <w:pPr>
        <w:spacing w:after="0" w:line="360" w:lineRule="auto"/>
        <w:ind w:firstLine="720"/>
        <w:rPr>
          <w:bCs/>
          <w:sz w:val="28"/>
          <w:szCs w:val="28"/>
        </w:rPr>
      </w:pPr>
      <w:r>
        <w:rPr>
          <w:bCs/>
          <w:sz w:val="28"/>
          <w:szCs w:val="28"/>
        </w:rPr>
        <w:t xml:space="preserve">The </w:t>
      </w:r>
      <w:r w:rsidR="005F5C2D">
        <w:rPr>
          <w:bCs/>
          <w:sz w:val="28"/>
          <w:szCs w:val="28"/>
        </w:rPr>
        <w:t>Union and the City of Bradenton, (herein, the “City” or the “Employer”),</w:t>
      </w:r>
      <w:r w:rsidR="00731783">
        <w:rPr>
          <w:bCs/>
          <w:sz w:val="28"/>
          <w:szCs w:val="28"/>
        </w:rPr>
        <w:t xml:space="preserve"> have bargained collectively for many years and </w:t>
      </w:r>
      <w:r w:rsidR="005F5C2D">
        <w:rPr>
          <w:bCs/>
          <w:sz w:val="28"/>
          <w:szCs w:val="28"/>
        </w:rPr>
        <w:t xml:space="preserve">are signatories to </w:t>
      </w:r>
      <w:r w:rsidR="00731783">
        <w:rPr>
          <w:bCs/>
          <w:sz w:val="28"/>
          <w:szCs w:val="28"/>
        </w:rPr>
        <w:lastRenderedPageBreak/>
        <w:t xml:space="preserve">several </w:t>
      </w:r>
      <w:r w:rsidR="005F5C2D">
        <w:rPr>
          <w:bCs/>
          <w:sz w:val="28"/>
          <w:szCs w:val="28"/>
        </w:rPr>
        <w:t>collective bargaining agreement</w:t>
      </w:r>
      <w:r w:rsidR="00731783">
        <w:rPr>
          <w:bCs/>
          <w:sz w:val="28"/>
          <w:szCs w:val="28"/>
        </w:rPr>
        <w:t>s</w:t>
      </w:r>
      <w:r w:rsidR="007B4544">
        <w:rPr>
          <w:bCs/>
          <w:sz w:val="28"/>
          <w:szCs w:val="28"/>
        </w:rPr>
        <w:t xml:space="preserve"> - t</w:t>
      </w:r>
      <w:r w:rsidR="005F5C2D">
        <w:rPr>
          <w:bCs/>
          <w:sz w:val="28"/>
          <w:szCs w:val="28"/>
        </w:rPr>
        <w:t>he most recent update is in effect from October 1, 2023 through September 30, 2026</w:t>
      </w:r>
      <w:r w:rsidR="00731783">
        <w:rPr>
          <w:bCs/>
          <w:sz w:val="28"/>
          <w:szCs w:val="28"/>
        </w:rPr>
        <w:t>. (herein, the “CBA”).</w:t>
      </w:r>
    </w:p>
    <w:p w14:paraId="3701A66B" w14:textId="2A62F1B6" w:rsidR="005D0889" w:rsidRDefault="00731783" w:rsidP="00001D14">
      <w:pPr>
        <w:spacing w:after="0" w:line="360" w:lineRule="auto"/>
        <w:ind w:firstLine="720"/>
        <w:rPr>
          <w:bCs/>
          <w:sz w:val="28"/>
          <w:szCs w:val="28"/>
        </w:rPr>
      </w:pPr>
      <w:r>
        <w:rPr>
          <w:bCs/>
          <w:sz w:val="28"/>
          <w:szCs w:val="28"/>
        </w:rPr>
        <w:t xml:space="preserve">The </w:t>
      </w:r>
      <w:r w:rsidR="005F5C2D">
        <w:rPr>
          <w:bCs/>
          <w:sz w:val="28"/>
          <w:szCs w:val="28"/>
        </w:rPr>
        <w:t xml:space="preserve">grievance </w:t>
      </w:r>
      <w:r>
        <w:rPr>
          <w:bCs/>
          <w:sz w:val="28"/>
          <w:szCs w:val="28"/>
        </w:rPr>
        <w:t xml:space="preserve">submitted by the Union on October 31, 2023 </w:t>
      </w:r>
      <w:r w:rsidR="005F5C2D">
        <w:rPr>
          <w:bCs/>
          <w:sz w:val="28"/>
          <w:szCs w:val="28"/>
        </w:rPr>
        <w:t>was denied by</w:t>
      </w:r>
      <w:r>
        <w:rPr>
          <w:bCs/>
          <w:sz w:val="28"/>
          <w:szCs w:val="28"/>
        </w:rPr>
        <w:t xml:space="preserve"> the City at each step of the grievance procedure. (</w:t>
      </w:r>
      <w:r w:rsidR="007B4544">
        <w:rPr>
          <w:bCs/>
          <w:sz w:val="28"/>
          <w:szCs w:val="28"/>
        </w:rPr>
        <w:t>Per</w:t>
      </w:r>
      <w:r>
        <w:rPr>
          <w:bCs/>
          <w:sz w:val="28"/>
          <w:szCs w:val="28"/>
        </w:rPr>
        <w:t xml:space="preserve"> Article 8</w:t>
      </w:r>
      <w:r w:rsidR="007B4544">
        <w:rPr>
          <w:bCs/>
          <w:sz w:val="28"/>
          <w:szCs w:val="28"/>
        </w:rPr>
        <w:t xml:space="preserve"> of the </w:t>
      </w:r>
      <w:proofErr w:type="gramStart"/>
      <w:r w:rsidR="007B4544">
        <w:rPr>
          <w:bCs/>
          <w:sz w:val="28"/>
          <w:szCs w:val="28"/>
        </w:rPr>
        <w:t xml:space="preserve">CBA, </w:t>
      </w:r>
      <w:r>
        <w:rPr>
          <w:bCs/>
          <w:sz w:val="28"/>
          <w:szCs w:val="28"/>
        </w:rPr>
        <w:t xml:space="preserve"> “</w:t>
      </w:r>
      <w:proofErr w:type="gramEnd"/>
      <w:r>
        <w:rPr>
          <w:bCs/>
          <w:sz w:val="28"/>
          <w:szCs w:val="28"/>
        </w:rPr>
        <w:t xml:space="preserve">Grievance and Arbitration”). Ultimately, the Union appealed the City’s denial to arbitration in accordance with Article 8, Section 4, of the CBA.  </w:t>
      </w:r>
    </w:p>
    <w:p w14:paraId="6D35ADC2" w14:textId="464C39C6" w:rsidR="009B1C68" w:rsidRDefault="00731783" w:rsidP="00001D14">
      <w:pPr>
        <w:spacing w:after="0" w:line="360" w:lineRule="auto"/>
        <w:ind w:firstLine="720"/>
        <w:rPr>
          <w:bCs/>
          <w:sz w:val="28"/>
          <w:szCs w:val="28"/>
        </w:rPr>
      </w:pPr>
      <w:r>
        <w:rPr>
          <w:bCs/>
          <w:sz w:val="28"/>
          <w:szCs w:val="28"/>
        </w:rPr>
        <w:t>The FMCS appointed the undersigned arbitrator who presided over v</w:t>
      </w:r>
      <w:r w:rsidR="009B1C68">
        <w:rPr>
          <w:bCs/>
          <w:sz w:val="28"/>
          <w:szCs w:val="28"/>
        </w:rPr>
        <w:t>irtual h</w:t>
      </w:r>
      <w:r w:rsidR="000E2C0E">
        <w:rPr>
          <w:bCs/>
          <w:sz w:val="28"/>
          <w:szCs w:val="28"/>
        </w:rPr>
        <w:t xml:space="preserve">earings on </w:t>
      </w:r>
      <w:r w:rsidR="009B1C68">
        <w:rPr>
          <w:bCs/>
          <w:sz w:val="28"/>
          <w:szCs w:val="28"/>
        </w:rPr>
        <w:t xml:space="preserve">August </w:t>
      </w:r>
      <w:r w:rsidR="000E2C0E">
        <w:rPr>
          <w:bCs/>
          <w:sz w:val="28"/>
          <w:szCs w:val="28"/>
        </w:rPr>
        <w:t>2</w:t>
      </w:r>
      <w:r w:rsidR="009B1C68">
        <w:rPr>
          <w:bCs/>
          <w:sz w:val="28"/>
          <w:szCs w:val="28"/>
        </w:rPr>
        <w:t>1</w:t>
      </w:r>
      <w:r w:rsidR="000E2C0E">
        <w:rPr>
          <w:bCs/>
          <w:sz w:val="28"/>
          <w:szCs w:val="28"/>
        </w:rPr>
        <w:t xml:space="preserve"> and 2</w:t>
      </w:r>
      <w:r w:rsidR="009B1C68">
        <w:rPr>
          <w:bCs/>
          <w:sz w:val="28"/>
          <w:szCs w:val="28"/>
        </w:rPr>
        <w:t>2</w:t>
      </w:r>
      <w:r w:rsidR="000E2C0E">
        <w:rPr>
          <w:bCs/>
          <w:sz w:val="28"/>
          <w:szCs w:val="28"/>
        </w:rPr>
        <w:t>, 2024</w:t>
      </w:r>
      <w:r w:rsidR="009B1C68">
        <w:rPr>
          <w:bCs/>
          <w:sz w:val="28"/>
          <w:szCs w:val="28"/>
        </w:rPr>
        <w:t>.</w:t>
      </w:r>
    </w:p>
    <w:p w14:paraId="4645E063" w14:textId="544AFDD1" w:rsidR="00731783" w:rsidRDefault="00731783" w:rsidP="00001D14">
      <w:pPr>
        <w:spacing w:after="0" w:line="360" w:lineRule="auto"/>
        <w:ind w:firstLine="720"/>
        <w:rPr>
          <w:bCs/>
          <w:sz w:val="28"/>
          <w:szCs w:val="28"/>
        </w:rPr>
      </w:pPr>
      <w:r>
        <w:rPr>
          <w:bCs/>
          <w:sz w:val="28"/>
          <w:szCs w:val="28"/>
        </w:rPr>
        <w:t xml:space="preserve">At the hearing, the Union was represented by Attorney Timothy P. Culhane of the Landmark Law Firm. The City was represented by </w:t>
      </w:r>
      <w:r w:rsidR="00BC605F">
        <w:rPr>
          <w:bCs/>
          <w:sz w:val="28"/>
          <w:szCs w:val="28"/>
        </w:rPr>
        <w:t>Attorney Sasha Dyson and Attorney Gregory Hearing of Bush, Graziano, Rice and Hearing, P.A.</w:t>
      </w:r>
    </w:p>
    <w:p w14:paraId="7E1C6C7A" w14:textId="10B8D8A6" w:rsidR="009B1C68" w:rsidRDefault="00BC605F" w:rsidP="00001D14">
      <w:pPr>
        <w:spacing w:after="0" w:line="360" w:lineRule="auto"/>
        <w:ind w:firstLine="720"/>
        <w:rPr>
          <w:bCs/>
          <w:sz w:val="28"/>
          <w:szCs w:val="28"/>
        </w:rPr>
      </w:pPr>
      <w:r>
        <w:rPr>
          <w:bCs/>
          <w:sz w:val="28"/>
          <w:szCs w:val="28"/>
        </w:rPr>
        <w:t>During the proceedings e</w:t>
      </w:r>
      <w:r w:rsidR="000E2C0E">
        <w:rPr>
          <w:bCs/>
          <w:sz w:val="28"/>
          <w:szCs w:val="28"/>
        </w:rPr>
        <w:t xml:space="preserve">ach party </w:t>
      </w:r>
      <w:r w:rsidR="00EB3689">
        <w:rPr>
          <w:bCs/>
          <w:sz w:val="28"/>
          <w:szCs w:val="28"/>
        </w:rPr>
        <w:t xml:space="preserve">was offered the opportunity to call witnesses for direct testimony and to cross-examine the opposition’s witnesses. </w:t>
      </w:r>
    </w:p>
    <w:p w14:paraId="03590482" w14:textId="5854AEF5" w:rsidR="000E2C0E" w:rsidRDefault="00EB3689" w:rsidP="00001D14">
      <w:pPr>
        <w:spacing w:after="0" w:line="360" w:lineRule="auto"/>
        <w:ind w:firstLine="720"/>
        <w:rPr>
          <w:bCs/>
          <w:sz w:val="28"/>
          <w:szCs w:val="28"/>
        </w:rPr>
      </w:pPr>
      <w:r>
        <w:rPr>
          <w:bCs/>
          <w:sz w:val="28"/>
          <w:szCs w:val="28"/>
        </w:rPr>
        <w:t>Numerous exhibits were offered and admitted into the record</w:t>
      </w:r>
      <w:r w:rsidR="00BC605F">
        <w:rPr>
          <w:bCs/>
          <w:sz w:val="28"/>
          <w:szCs w:val="28"/>
        </w:rPr>
        <w:t xml:space="preserve"> - the City offered twenty-five (25) exhibits and the Union offered </w:t>
      </w:r>
      <w:r w:rsidR="00225E22">
        <w:rPr>
          <w:bCs/>
          <w:sz w:val="28"/>
          <w:szCs w:val="28"/>
        </w:rPr>
        <w:t xml:space="preserve">nearly three </w:t>
      </w:r>
      <w:r w:rsidR="00BC605F">
        <w:rPr>
          <w:bCs/>
          <w:sz w:val="28"/>
          <w:szCs w:val="28"/>
        </w:rPr>
        <w:t>thousand pages of documents identified by page numbers</w:t>
      </w:r>
      <w:r w:rsidR="00225E22">
        <w:rPr>
          <w:bCs/>
          <w:sz w:val="28"/>
          <w:szCs w:val="28"/>
        </w:rPr>
        <w:t xml:space="preserve"> from page 1 to page 2,931. </w:t>
      </w:r>
      <w:r w:rsidR="00BC605F">
        <w:rPr>
          <w:bCs/>
          <w:sz w:val="28"/>
          <w:szCs w:val="28"/>
        </w:rPr>
        <w:t xml:space="preserve"> </w:t>
      </w:r>
      <w:r w:rsidR="003D0B5F">
        <w:rPr>
          <w:bCs/>
          <w:sz w:val="28"/>
          <w:szCs w:val="28"/>
        </w:rPr>
        <w:t xml:space="preserve"> </w:t>
      </w:r>
    </w:p>
    <w:p w14:paraId="5F64E0C7" w14:textId="632D5A58" w:rsidR="003D0B5F" w:rsidRDefault="006856E9" w:rsidP="00001D14">
      <w:pPr>
        <w:spacing w:after="0" w:line="360" w:lineRule="auto"/>
        <w:ind w:firstLine="720"/>
        <w:rPr>
          <w:bCs/>
          <w:sz w:val="28"/>
          <w:szCs w:val="28"/>
        </w:rPr>
      </w:pPr>
      <w:r>
        <w:rPr>
          <w:bCs/>
          <w:sz w:val="28"/>
          <w:szCs w:val="28"/>
        </w:rPr>
        <w:t>At the conclusion of the hearing each party elected to</w:t>
      </w:r>
      <w:r w:rsidR="005F4112">
        <w:rPr>
          <w:bCs/>
          <w:sz w:val="28"/>
          <w:szCs w:val="28"/>
        </w:rPr>
        <w:t xml:space="preserve"> submit</w:t>
      </w:r>
      <w:r>
        <w:rPr>
          <w:bCs/>
          <w:sz w:val="28"/>
          <w:szCs w:val="28"/>
        </w:rPr>
        <w:t xml:space="preserve"> a post-hearing brief.  The briefs were received by the arbitrator on</w:t>
      </w:r>
      <w:r w:rsidR="00225E22">
        <w:rPr>
          <w:bCs/>
          <w:sz w:val="28"/>
          <w:szCs w:val="28"/>
        </w:rPr>
        <w:t xml:space="preserve"> October 21, 2024</w:t>
      </w:r>
      <w:r>
        <w:rPr>
          <w:bCs/>
          <w:sz w:val="28"/>
          <w:szCs w:val="28"/>
        </w:rPr>
        <w:t>.</w:t>
      </w:r>
    </w:p>
    <w:p w14:paraId="3E630310" w14:textId="4021643F" w:rsidR="005F4112" w:rsidRDefault="00514E91" w:rsidP="00001D14">
      <w:pPr>
        <w:spacing w:after="0" w:line="360" w:lineRule="auto"/>
        <w:ind w:firstLine="720"/>
        <w:rPr>
          <w:bCs/>
          <w:sz w:val="28"/>
          <w:szCs w:val="28"/>
        </w:rPr>
      </w:pPr>
      <w:r>
        <w:rPr>
          <w:bCs/>
          <w:sz w:val="28"/>
          <w:szCs w:val="28"/>
        </w:rPr>
        <w:t>After consideration of the</w:t>
      </w:r>
      <w:r w:rsidR="003D0B5F">
        <w:rPr>
          <w:bCs/>
          <w:sz w:val="28"/>
          <w:szCs w:val="28"/>
        </w:rPr>
        <w:t xml:space="preserve"> </w:t>
      </w:r>
      <w:r>
        <w:rPr>
          <w:bCs/>
          <w:sz w:val="28"/>
          <w:szCs w:val="28"/>
        </w:rPr>
        <w:t>evidence offered at the hearing and the arguments made in the post-hearing briefs, t</w:t>
      </w:r>
      <w:r w:rsidR="003D0B5F">
        <w:rPr>
          <w:bCs/>
          <w:sz w:val="28"/>
          <w:szCs w:val="28"/>
        </w:rPr>
        <w:t>he</w:t>
      </w:r>
      <w:r w:rsidR="00E52185">
        <w:rPr>
          <w:bCs/>
          <w:sz w:val="28"/>
          <w:szCs w:val="28"/>
        </w:rPr>
        <w:t xml:space="preserve"> arbitrator</w:t>
      </w:r>
      <w:r w:rsidR="00BC0A82">
        <w:rPr>
          <w:bCs/>
          <w:sz w:val="28"/>
          <w:szCs w:val="28"/>
        </w:rPr>
        <w:t xml:space="preserve"> </w:t>
      </w:r>
      <w:r w:rsidR="002631BE">
        <w:rPr>
          <w:bCs/>
          <w:sz w:val="28"/>
          <w:szCs w:val="28"/>
        </w:rPr>
        <w:t>determined that</w:t>
      </w:r>
      <w:r>
        <w:rPr>
          <w:bCs/>
          <w:sz w:val="28"/>
          <w:szCs w:val="28"/>
        </w:rPr>
        <w:t xml:space="preserve"> </w:t>
      </w:r>
      <w:r w:rsidR="00E52185">
        <w:rPr>
          <w:bCs/>
          <w:sz w:val="28"/>
          <w:szCs w:val="28"/>
        </w:rPr>
        <w:t>the following statement of the issue</w:t>
      </w:r>
      <w:r w:rsidR="002631BE">
        <w:rPr>
          <w:bCs/>
          <w:sz w:val="28"/>
          <w:szCs w:val="28"/>
        </w:rPr>
        <w:t xml:space="preserve"> is </w:t>
      </w:r>
      <w:r w:rsidR="0072399E">
        <w:rPr>
          <w:bCs/>
          <w:sz w:val="28"/>
          <w:szCs w:val="28"/>
        </w:rPr>
        <w:t>appropriate</w:t>
      </w:r>
      <w:r>
        <w:rPr>
          <w:bCs/>
          <w:sz w:val="28"/>
          <w:szCs w:val="28"/>
        </w:rPr>
        <w:t>.</w:t>
      </w:r>
      <w:r w:rsidR="003D0B5F">
        <w:rPr>
          <w:bCs/>
          <w:sz w:val="28"/>
          <w:szCs w:val="28"/>
        </w:rPr>
        <w:t xml:space="preserve"> </w:t>
      </w:r>
    </w:p>
    <w:p w14:paraId="60799E06" w14:textId="77777777" w:rsidR="00DB6D60" w:rsidRDefault="00DB6D60" w:rsidP="00001D14">
      <w:pPr>
        <w:spacing w:line="360" w:lineRule="auto"/>
        <w:jc w:val="center"/>
        <w:rPr>
          <w:b/>
          <w:sz w:val="28"/>
          <w:szCs w:val="28"/>
          <w:u w:val="single"/>
        </w:rPr>
      </w:pPr>
    </w:p>
    <w:p w14:paraId="64EBBCC5" w14:textId="77777777" w:rsidR="00DB6D60" w:rsidRDefault="00DB6D60" w:rsidP="00001D14">
      <w:pPr>
        <w:spacing w:line="360" w:lineRule="auto"/>
        <w:jc w:val="center"/>
        <w:rPr>
          <w:b/>
          <w:sz w:val="28"/>
          <w:szCs w:val="28"/>
          <w:u w:val="single"/>
        </w:rPr>
      </w:pPr>
    </w:p>
    <w:p w14:paraId="52B375F4" w14:textId="77777777" w:rsidR="00DB6D60" w:rsidRDefault="00DB6D60" w:rsidP="00001D14">
      <w:pPr>
        <w:spacing w:line="360" w:lineRule="auto"/>
        <w:jc w:val="center"/>
        <w:rPr>
          <w:b/>
          <w:sz w:val="28"/>
          <w:szCs w:val="28"/>
          <w:u w:val="single"/>
        </w:rPr>
      </w:pPr>
    </w:p>
    <w:p w14:paraId="03196A90" w14:textId="42B5C781" w:rsidR="00660205" w:rsidRPr="00DE3741" w:rsidRDefault="002C1CDA" w:rsidP="00001D14">
      <w:pPr>
        <w:spacing w:line="360" w:lineRule="auto"/>
        <w:jc w:val="center"/>
        <w:rPr>
          <w:b/>
          <w:sz w:val="28"/>
          <w:szCs w:val="28"/>
          <w:u w:val="single"/>
        </w:rPr>
      </w:pPr>
      <w:r>
        <w:rPr>
          <w:b/>
          <w:sz w:val="28"/>
          <w:szCs w:val="28"/>
          <w:u w:val="single"/>
        </w:rPr>
        <w:lastRenderedPageBreak/>
        <w:t>I</w:t>
      </w:r>
      <w:r w:rsidR="00E80CFA" w:rsidRPr="00DE3741">
        <w:rPr>
          <w:b/>
          <w:sz w:val="28"/>
          <w:szCs w:val="28"/>
          <w:u w:val="single"/>
        </w:rPr>
        <w:t>SSUE</w:t>
      </w:r>
      <w:r w:rsidR="009802DB">
        <w:rPr>
          <w:b/>
          <w:sz w:val="28"/>
          <w:szCs w:val="28"/>
          <w:u w:val="single"/>
        </w:rPr>
        <w:t xml:space="preserve"> PRESENTED </w:t>
      </w:r>
    </w:p>
    <w:p w14:paraId="55FDB66E" w14:textId="0148A572" w:rsidR="00B649A8" w:rsidRDefault="00640AB4" w:rsidP="009B1C68">
      <w:pPr>
        <w:spacing w:line="360" w:lineRule="auto"/>
        <w:ind w:firstLine="720"/>
        <w:rPr>
          <w:sz w:val="28"/>
          <w:szCs w:val="28"/>
        </w:rPr>
      </w:pPr>
      <w:r>
        <w:rPr>
          <w:sz w:val="28"/>
          <w:szCs w:val="28"/>
        </w:rPr>
        <w:t>Did the City of Bradenton violate Article 22</w:t>
      </w:r>
      <w:r w:rsidR="00D41C78">
        <w:rPr>
          <w:sz w:val="28"/>
          <w:szCs w:val="28"/>
        </w:rPr>
        <w:t>, Section 1,</w:t>
      </w:r>
      <w:r>
        <w:rPr>
          <w:sz w:val="28"/>
          <w:szCs w:val="28"/>
        </w:rPr>
        <w:t xml:space="preserve"> of the 2023-2026 CBA when it failed to</w:t>
      </w:r>
      <w:r w:rsidR="002631BE">
        <w:rPr>
          <w:sz w:val="28"/>
          <w:szCs w:val="28"/>
        </w:rPr>
        <w:t xml:space="preserve"> </w:t>
      </w:r>
      <w:r>
        <w:rPr>
          <w:sz w:val="28"/>
          <w:szCs w:val="28"/>
        </w:rPr>
        <w:t>place all bargaining unit members in the step that reflects their complete</w:t>
      </w:r>
      <w:r w:rsidR="005573D2">
        <w:rPr>
          <w:sz w:val="28"/>
          <w:szCs w:val="28"/>
        </w:rPr>
        <w:t>d</w:t>
      </w:r>
      <w:r>
        <w:rPr>
          <w:sz w:val="28"/>
          <w:szCs w:val="28"/>
        </w:rPr>
        <w:t xml:space="preserve"> years of service as of September 30, 2023? </w:t>
      </w:r>
    </w:p>
    <w:p w14:paraId="61C0EE6F" w14:textId="20AFE0CD" w:rsidR="00E80CFA" w:rsidRDefault="00B703BA" w:rsidP="00B13E32">
      <w:pPr>
        <w:spacing w:line="360" w:lineRule="auto"/>
        <w:ind w:firstLine="720"/>
        <w:rPr>
          <w:sz w:val="28"/>
          <w:szCs w:val="28"/>
        </w:rPr>
      </w:pPr>
      <w:r>
        <w:rPr>
          <w:sz w:val="28"/>
          <w:szCs w:val="28"/>
        </w:rPr>
        <w:t xml:space="preserve">If so, </w:t>
      </w:r>
      <w:r w:rsidR="009E76A5">
        <w:rPr>
          <w:sz w:val="28"/>
          <w:szCs w:val="28"/>
        </w:rPr>
        <w:t xml:space="preserve">what shall be the remedy? </w:t>
      </w:r>
    </w:p>
    <w:p w14:paraId="707E41A0" w14:textId="77777777" w:rsidR="00620643" w:rsidRDefault="00620643" w:rsidP="00BD52BA">
      <w:pPr>
        <w:spacing w:line="360" w:lineRule="auto"/>
        <w:jc w:val="center"/>
        <w:rPr>
          <w:b/>
          <w:sz w:val="28"/>
          <w:szCs w:val="28"/>
          <w:u w:val="single"/>
        </w:rPr>
      </w:pPr>
    </w:p>
    <w:p w14:paraId="7AD0A715" w14:textId="43F0306B" w:rsidR="00D62D22" w:rsidRDefault="009802DB" w:rsidP="00BD52BA">
      <w:pPr>
        <w:spacing w:line="360" w:lineRule="auto"/>
        <w:jc w:val="center"/>
        <w:rPr>
          <w:b/>
          <w:sz w:val="28"/>
          <w:szCs w:val="28"/>
          <w:u w:val="single"/>
        </w:rPr>
      </w:pPr>
      <w:r>
        <w:rPr>
          <w:b/>
          <w:sz w:val="28"/>
          <w:szCs w:val="28"/>
          <w:u w:val="single"/>
        </w:rPr>
        <w:t xml:space="preserve">THE </w:t>
      </w:r>
      <w:r w:rsidR="00765147" w:rsidRPr="00DE3741">
        <w:rPr>
          <w:b/>
          <w:sz w:val="28"/>
          <w:szCs w:val="28"/>
          <w:u w:val="single"/>
        </w:rPr>
        <w:t>FACT</w:t>
      </w:r>
      <w:r>
        <w:rPr>
          <w:b/>
          <w:sz w:val="28"/>
          <w:szCs w:val="28"/>
          <w:u w:val="single"/>
        </w:rPr>
        <w:t>S</w:t>
      </w:r>
    </w:p>
    <w:p w14:paraId="087D9F86" w14:textId="62C96B75" w:rsidR="006F0DEB" w:rsidRDefault="006F0DEB" w:rsidP="009B1C68">
      <w:pPr>
        <w:spacing w:line="360" w:lineRule="auto"/>
        <w:rPr>
          <w:bCs/>
          <w:sz w:val="28"/>
          <w:szCs w:val="28"/>
        </w:rPr>
      </w:pPr>
      <w:r>
        <w:rPr>
          <w:bCs/>
          <w:sz w:val="28"/>
          <w:szCs w:val="28"/>
        </w:rPr>
        <w:tab/>
        <w:t>The facts germane to this</w:t>
      </w:r>
      <w:r w:rsidR="0018141B">
        <w:rPr>
          <w:bCs/>
          <w:sz w:val="28"/>
          <w:szCs w:val="28"/>
        </w:rPr>
        <w:t xml:space="preserve"> grievance</w:t>
      </w:r>
      <w:r>
        <w:rPr>
          <w:bCs/>
          <w:sz w:val="28"/>
          <w:szCs w:val="28"/>
        </w:rPr>
        <w:t xml:space="preserve"> are not</w:t>
      </w:r>
      <w:r w:rsidR="0018141B">
        <w:rPr>
          <w:bCs/>
          <w:sz w:val="28"/>
          <w:szCs w:val="28"/>
        </w:rPr>
        <w:t xml:space="preserve"> in</w:t>
      </w:r>
      <w:r>
        <w:rPr>
          <w:bCs/>
          <w:sz w:val="28"/>
          <w:szCs w:val="28"/>
        </w:rPr>
        <w:t xml:space="preserve"> </w:t>
      </w:r>
      <w:r w:rsidR="0018141B">
        <w:rPr>
          <w:bCs/>
          <w:sz w:val="28"/>
          <w:szCs w:val="28"/>
        </w:rPr>
        <w:t>dispute</w:t>
      </w:r>
      <w:r>
        <w:rPr>
          <w:bCs/>
          <w:sz w:val="28"/>
          <w:szCs w:val="28"/>
        </w:rPr>
        <w:t xml:space="preserve">. </w:t>
      </w:r>
      <w:r w:rsidR="00DB6D60">
        <w:rPr>
          <w:bCs/>
          <w:sz w:val="28"/>
          <w:szCs w:val="28"/>
        </w:rPr>
        <w:t>However,</w:t>
      </w:r>
      <w:r>
        <w:rPr>
          <w:bCs/>
          <w:sz w:val="28"/>
          <w:szCs w:val="28"/>
        </w:rPr>
        <w:t xml:space="preserve"> the evidence presented at the hearing and the respective arguments made by the parties reveal a genuine disagreement over the meaning of the newly-added portion of the CBA</w:t>
      </w:r>
      <w:r w:rsidR="000C0278">
        <w:rPr>
          <w:bCs/>
          <w:sz w:val="28"/>
          <w:szCs w:val="28"/>
        </w:rPr>
        <w:t>,</w:t>
      </w:r>
      <w:r>
        <w:rPr>
          <w:bCs/>
          <w:sz w:val="28"/>
          <w:szCs w:val="28"/>
        </w:rPr>
        <w:t xml:space="preserve"> Article 22, Section 1,</w:t>
      </w:r>
      <w:r w:rsidR="000C0278">
        <w:rPr>
          <w:bCs/>
          <w:sz w:val="28"/>
          <w:szCs w:val="28"/>
        </w:rPr>
        <w:t xml:space="preserve"> paragraph 3, </w:t>
      </w:r>
      <w:r>
        <w:rPr>
          <w:bCs/>
          <w:sz w:val="28"/>
          <w:szCs w:val="28"/>
        </w:rPr>
        <w:t xml:space="preserve">which states:  </w:t>
      </w:r>
    </w:p>
    <w:p w14:paraId="36625B54" w14:textId="6E0647E7" w:rsidR="006F0DEB" w:rsidRDefault="006F0DEB" w:rsidP="006F0DEB">
      <w:pPr>
        <w:spacing w:line="360" w:lineRule="auto"/>
        <w:ind w:left="1440"/>
        <w:rPr>
          <w:bCs/>
          <w:sz w:val="28"/>
          <w:szCs w:val="28"/>
        </w:rPr>
      </w:pPr>
      <w:r>
        <w:rPr>
          <w:bCs/>
          <w:sz w:val="28"/>
          <w:szCs w:val="28"/>
        </w:rPr>
        <w:t xml:space="preserve">“Effective the first full pay period in October 2023, all bargaining unit members shall be placed in the last step that reflects their current complete years of service as of September 30, 2023.” </w:t>
      </w:r>
      <w:r w:rsidR="00BD52BA">
        <w:rPr>
          <w:bCs/>
          <w:sz w:val="28"/>
          <w:szCs w:val="28"/>
        </w:rPr>
        <w:tab/>
      </w:r>
    </w:p>
    <w:p w14:paraId="778F326C" w14:textId="29890A9F" w:rsidR="006B30A1" w:rsidRDefault="006B30A1" w:rsidP="006B30A1">
      <w:pPr>
        <w:spacing w:line="360" w:lineRule="auto"/>
        <w:ind w:firstLine="720"/>
        <w:rPr>
          <w:bCs/>
          <w:sz w:val="28"/>
          <w:szCs w:val="28"/>
        </w:rPr>
      </w:pPr>
      <w:r>
        <w:rPr>
          <w:bCs/>
          <w:sz w:val="28"/>
          <w:szCs w:val="28"/>
        </w:rPr>
        <w:t xml:space="preserve">The </w:t>
      </w:r>
      <w:r w:rsidR="000C0278">
        <w:rPr>
          <w:bCs/>
          <w:sz w:val="28"/>
          <w:szCs w:val="28"/>
        </w:rPr>
        <w:t xml:space="preserve">Union </w:t>
      </w:r>
      <w:r>
        <w:rPr>
          <w:bCs/>
          <w:sz w:val="28"/>
          <w:szCs w:val="28"/>
        </w:rPr>
        <w:t>ha</w:t>
      </w:r>
      <w:r w:rsidR="000C0278">
        <w:rPr>
          <w:bCs/>
          <w:sz w:val="28"/>
          <w:szCs w:val="28"/>
        </w:rPr>
        <w:t>s</w:t>
      </w:r>
      <w:r>
        <w:rPr>
          <w:bCs/>
          <w:sz w:val="28"/>
          <w:szCs w:val="28"/>
        </w:rPr>
        <w:t xml:space="preserve"> asked the arbitrator to interpret the applicable terms of the CBA to determine whether or not the City’s interpretation and application of Article 22, Section 1, violated that provision. </w:t>
      </w:r>
    </w:p>
    <w:p w14:paraId="0F955D7B" w14:textId="1AE9F90F" w:rsidR="00312BC9" w:rsidRDefault="00312BC9" w:rsidP="00CD2C78">
      <w:pPr>
        <w:spacing w:line="360" w:lineRule="auto"/>
        <w:ind w:firstLine="720"/>
        <w:rPr>
          <w:bCs/>
          <w:sz w:val="28"/>
          <w:szCs w:val="28"/>
        </w:rPr>
      </w:pPr>
      <w:r>
        <w:rPr>
          <w:bCs/>
          <w:sz w:val="28"/>
          <w:szCs w:val="28"/>
        </w:rPr>
        <w:t xml:space="preserve">The </w:t>
      </w:r>
      <w:proofErr w:type="gramStart"/>
      <w:r>
        <w:rPr>
          <w:bCs/>
          <w:sz w:val="28"/>
          <w:szCs w:val="28"/>
        </w:rPr>
        <w:t>City</w:t>
      </w:r>
      <w:proofErr w:type="gramEnd"/>
      <w:r>
        <w:rPr>
          <w:bCs/>
          <w:sz w:val="28"/>
          <w:szCs w:val="28"/>
        </w:rPr>
        <w:t xml:space="preserve"> and the Union ha</w:t>
      </w:r>
      <w:r w:rsidR="000C0278">
        <w:rPr>
          <w:bCs/>
          <w:sz w:val="28"/>
          <w:szCs w:val="28"/>
        </w:rPr>
        <w:t>ve</w:t>
      </w:r>
      <w:r>
        <w:rPr>
          <w:bCs/>
          <w:sz w:val="28"/>
          <w:szCs w:val="28"/>
        </w:rPr>
        <w:t xml:space="preserve"> negotiated and agreed to several CBA’s since 2003. Those CBA’s included provisions governing wages and corresponding step increases for members. </w:t>
      </w:r>
    </w:p>
    <w:p w14:paraId="597F53DC" w14:textId="3D3E0253" w:rsidR="00714BB5" w:rsidRDefault="00714BB5" w:rsidP="000C0278">
      <w:pPr>
        <w:spacing w:after="0" w:line="360" w:lineRule="auto"/>
        <w:ind w:firstLine="720"/>
        <w:rPr>
          <w:bCs/>
          <w:sz w:val="28"/>
          <w:szCs w:val="28"/>
        </w:rPr>
      </w:pPr>
      <w:r>
        <w:rPr>
          <w:bCs/>
          <w:sz w:val="28"/>
          <w:szCs w:val="28"/>
        </w:rPr>
        <w:lastRenderedPageBreak/>
        <w:t xml:space="preserve">In several prior CBA’s, the parties agreed to </w:t>
      </w:r>
      <w:r w:rsidR="000C0278">
        <w:rPr>
          <w:bCs/>
          <w:sz w:val="28"/>
          <w:szCs w:val="28"/>
        </w:rPr>
        <w:t>“P</w:t>
      </w:r>
      <w:r>
        <w:rPr>
          <w:bCs/>
          <w:sz w:val="28"/>
          <w:szCs w:val="28"/>
        </w:rPr>
        <w:t xml:space="preserve">ay </w:t>
      </w:r>
      <w:r w:rsidR="000C0278">
        <w:rPr>
          <w:bCs/>
          <w:sz w:val="28"/>
          <w:szCs w:val="28"/>
        </w:rPr>
        <w:t>P</w:t>
      </w:r>
      <w:r>
        <w:rPr>
          <w:bCs/>
          <w:sz w:val="28"/>
          <w:szCs w:val="28"/>
        </w:rPr>
        <w:t>lans</w:t>
      </w:r>
      <w:r w:rsidR="000C0278">
        <w:rPr>
          <w:bCs/>
          <w:sz w:val="28"/>
          <w:szCs w:val="28"/>
        </w:rPr>
        <w:t>”</w:t>
      </w:r>
      <w:r>
        <w:rPr>
          <w:bCs/>
          <w:sz w:val="28"/>
          <w:szCs w:val="28"/>
        </w:rPr>
        <w:t xml:space="preserve"> that did not strictly adhere to an annual step schedule. As a result, bargaining unit members have not advanced to the next step every year based upon the member’s years of service.</w:t>
      </w:r>
    </w:p>
    <w:p w14:paraId="160244CC" w14:textId="77777777" w:rsidR="00A910A4" w:rsidRDefault="00714BB5" w:rsidP="000C0278">
      <w:pPr>
        <w:spacing w:after="240" w:line="360" w:lineRule="auto"/>
        <w:rPr>
          <w:bCs/>
          <w:sz w:val="28"/>
          <w:szCs w:val="28"/>
        </w:rPr>
      </w:pPr>
      <w:r>
        <w:rPr>
          <w:bCs/>
          <w:sz w:val="28"/>
          <w:szCs w:val="28"/>
        </w:rPr>
        <w:t xml:space="preserve">According to the evidence, the Union membership accepted a wage increase or a lump-sum payment in lieu of an annual step increase in previous </w:t>
      </w:r>
      <w:r w:rsidR="00A910A4">
        <w:rPr>
          <w:bCs/>
          <w:sz w:val="28"/>
          <w:szCs w:val="28"/>
        </w:rPr>
        <w:t xml:space="preserve">negotiations. </w:t>
      </w:r>
    </w:p>
    <w:p w14:paraId="14B9DC35" w14:textId="0FB6D9E6" w:rsidR="00F40466" w:rsidRDefault="00A910A4" w:rsidP="000C0278">
      <w:pPr>
        <w:spacing w:after="240" w:line="360" w:lineRule="auto"/>
        <w:rPr>
          <w:bCs/>
          <w:sz w:val="28"/>
          <w:szCs w:val="28"/>
        </w:rPr>
      </w:pPr>
      <w:r>
        <w:rPr>
          <w:bCs/>
          <w:sz w:val="28"/>
          <w:szCs w:val="28"/>
        </w:rPr>
        <w:tab/>
      </w:r>
      <w:r w:rsidR="00CD2C78">
        <w:rPr>
          <w:bCs/>
          <w:sz w:val="28"/>
          <w:szCs w:val="28"/>
        </w:rPr>
        <w:t>The parties</w:t>
      </w:r>
      <w:r w:rsidR="000C0278">
        <w:rPr>
          <w:bCs/>
          <w:sz w:val="28"/>
          <w:szCs w:val="28"/>
        </w:rPr>
        <w:t xml:space="preserve">’ </w:t>
      </w:r>
      <w:r w:rsidR="00CD2C78">
        <w:rPr>
          <w:bCs/>
          <w:sz w:val="28"/>
          <w:szCs w:val="28"/>
        </w:rPr>
        <w:t xml:space="preserve">previously negotiated CBA </w:t>
      </w:r>
      <w:r w:rsidR="000C0278">
        <w:rPr>
          <w:bCs/>
          <w:sz w:val="28"/>
          <w:szCs w:val="28"/>
        </w:rPr>
        <w:t xml:space="preserve">had an effective term of </w:t>
      </w:r>
      <w:r w:rsidR="00CD2C78">
        <w:rPr>
          <w:bCs/>
          <w:sz w:val="28"/>
          <w:szCs w:val="28"/>
        </w:rPr>
        <w:t>202</w:t>
      </w:r>
      <w:r w:rsidR="00312BC9">
        <w:rPr>
          <w:bCs/>
          <w:sz w:val="28"/>
          <w:szCs w:val="28"/>
        </w:rPr>
        <w:t>2 – 2025.</w:t>
      </w:r>
      <w:r w:rsidR="000C0278">
        <w:rPr>
          <w:bCs/>
          <w:sz w:val="28"/>
          <w:szCs w:val="28"/>
        </w:rPr>
        <w:t xml:space="preserve"> </w:t>
      </w:r>
      <w:r w:rsidR="00312BC9">
        <w:rPr>
          <w:bCs/>
          <w:sz w:val="28"/>
          <w:szCs w:val="28"/>
        </w:rPr>
        <w:t xml:space="preserve"> </w:t>
      </w:r>
      <w:r w:rsidR="009F3E29">
        <w:rPr>
          <w:bCs/>
          <w:sz w:val="28"/>
          <w:szCs w:val="28"/>
        </w:rPr>
        <w:t xml:space="preserve">In that CBA, the language of Article 22, Section 1, was similar to the successor agreement (2023-2026) but did not include the third paragraph which is the focus of this grievance. </w:t>
      </w:r>
    </w:p>
    <w:p w14:paraId="0AF7B5A5" w14:textId="77777777" w:rsidR="009A7317" w:rsidRDefault="00F40466" w:rsidP="009A7317">
      <w:pPr>
        <w:spacing w:line="360" w:lineRule="auto"/>
        <w:ind w:firstLine="720"/>
        <w:rPr>
          <w:bCs/>
          <w:sz w:val="28"/>
          <w:szCs w:val="28"/>
        </w:rPr>
      </w:pPr>
      <w:r>
        <w:rPr>
          <w:bCs/>
          <w:sz w:val="28"/>
          <w:szCs w:val="28"/>
        </w:rPr>
        <w:t>The second paragraph of th</w:t>
      </w:r>
      <w:r w:rsidR="009441D5">
        <w:rPr>
          <w:bCs/>
          <w:sz w:val="28"/>
          <w:szCs w:val="28"/>
        </w:rPr>
        <w:t>e 2022 - 2025</w:t>
      </w:r>
      <w:r>
        <w:rPr>
          <w:bCs/>
          <w:sz w:val="28"/>
          <w:szCs w:val="28"/>
        </w:rPr>
        <w:t xml:space="preserve"> CBA stated, in pertinent part, as follows: </w:t>
      </w:r>
    </w:p>
    <w:p w14:paraId="3CD15AE6" w14:textId="1155284C" w:rsidR="00F40466" w:rsidRDefault="00F40466" w:rsidP="009A7317">
      <w:pPr>
        <w:spacing w:line="360" w:lineRule="auto"/>
        <w:ind w:left="1440"/>
        <w:rPr>
          <w:bCs/>
          <w:sz w:val="28"/>
          <w:szCs w:val="28"/>
        </w:rPr>
      </w:pPr>
      <w:r>
        <w:rPr>
          <w:bCs/>
          <w:sz w:val="28"/>
          <w:szCs w:val="28"/>
        </w:rPr>
        <w:t xml:space="preserve">“Each bargaining unit member will stay at their current fiscal year (2021-2022) step, but will be paid at the new pay rate for that step beginning in the first full pay period of October 2022 or upon ratification of this Agreement, which ever date is later.” </w:t>
      </w:r>
    </w:p>
    <w:p w14:paraId="3749A53A" w14:textId="77777777" w:rsidR="000C0278" w:rsidRDefault="009441D5" w:rsidP="009441D5">
      <w:pPr>
        <w:spacing w:line="360" w:lineRule="auto"/>
        <w:rPr>
          <w:bCs/>
          <w:sz w:val="28"/>
          <w:szCs w:val="28"/>
        </w:rPr>
      </w:pPr>
      <w:r>
        <w:rPr>
          <w:bCs/>
          <w:sz w:val="28"/>
          <w:szCs w:val="28"/>
        </w:rPr>
        <w:tab/>
        <w:t>Pursuant to a reopener clause in the 2022 – 2025 CBA, the Union and the City entered into negotiations in the Spring of 2023. The parties held three bargaining sessions which ultimately resulted in a new three-year CBA</w:t>
      </w:r>
      <w:r w:rsidR="00421BEC">
        <w:rPr>
          <w:bCs/>
          <w:sz w:val="28"/>
          <w:szCs w:val="28"/>
        </w:rPr>
        <w:t xml:space="preserve"> covering the period from October 1, 2023 through September 30, 2026. </w:t>
      </w:r>
    </w:p>
    <w:p w14:paraId="3BFFFFA9" w14:textId="47A64481" w:rsidR="00421BEC" w:rsidRDefault="00421BEC" w:rsidP="000C0278">
      <w:pPr>
        <w:spacing w:line="360" w:lineRule="auto"/>
        <w:ind w:firstLine="720"/>
        <w:rPr>
          <w:bCs/>
          <w:sz w:val="28"/>
          <w:szCs w:val="28"/>
        </w:rPr>
      </w:pPr>
      <w:r>
        <w:rPr>
          <w:bCs/>
          <w:sz w:val="28"/>
          <w:szCs w:val="28"/>
        </w:rPr>
        <w:t>In negotiations for the current agreement the parties maintained</w:t>
      </w:r>
      <w:r w:rsidR="00073C20">
        <w:rPr>
          <w:bCs/>
          <w:sz w:val="28"/>
          <w:szCs w:val="28"/>
        </w:rPr>
        <w:t xml:space="preserve"> similar </w:t>
      </w:r>
      <w:r>
        <w:rPr>
          <w:bCs/>
          <w:sz w:val="28"/>
          <w:szCs w:val="28"/>
        </w:rPr>
        <w:t xml:space="preserve">language in the second paragraph of the prior agreement, but with new effective dates.  The </w:t>
      </w:r>
      <w:r w:rsidR="000C0278">
        <w:rPr>
          <w:bCs/>
          <w:sz w:val="28"/>
          <w:szCs w:val="28"/>
        </w:rPr>
        <w:t xml:space="preserve">second </w:t>
      </w:r>
      <w:r>
        <w:rPr>
          <w:bCs/>
          <w:sz w:val="28"/>
          <w:szCs w:val="28"/>
        </w:rPr>
        <w:t xml:space="preserve">paragraph states as follows: </w:t>
      </w:r>
    </w:p>
    <w:p w14:paraId="7FFE12CB" w14:textId="1C0E8C27" w:rsidR="00421BEC" w:rsidRDefault="00421BEC" w:rsidP="00421BEC">
      <w:pPr>
        <w:spacing w:line="360" w:lineRule="auto"/>
        <w:ind w:left="1440"/>
        <w:rPr>
          <w:bCs/>
          <w:sz w:val="28"/>
          <w:szCs w:val="28"/>
        </w:rPr>
      </w:pPr>
      <w:r>
        <w:rPr>
          <w:bCs/>
          <w:sz w:val="28"/>
          <w:szCs w:val="28"/>
        </w:rPr>
        <w:t>“Each bargaining unit member will stay at their current fiscal year (2022-2023) step, but will be paid at the new pay rate for that step beginning in the first full pay period of October 2023. For fiscal year 2024-2025 and 2025-2026, each bargaining unit member shall advance one step in the pay plan reflected in Appendix ‘A’.”</w:t>
      </w:r>
    </w:p>
    <w:p w14:paraId="2A342D39" w14:textId="7FC33E7F" w:rsidR="00F5407C" w:rsidRDefault="00F5407C" w:rsidP="00F5407C">
      <w:pPr>
        <w:spacing w:line="360" w:lineRule="auto"/>
        <w:ind w:firstLine="720"/>
        <w:rPr>
          <w:bCs/>
          <w:sz w:val="28"/>
          <w:szCs w:val="28"/>
        </w:rPr>
      </w:pPr>
      <w:r>
        <w:rPr>
          <w:bCs/>
          <w:sz w:val="28"/>
          <w:szCs w:val="28"/>
        </w:rPr>
        <w:t>In addition to the updated language in the second paragraph, however, the parties negotiated</w:t>
      </w:r>
      <w:r w:rsidR="000C0278">
        <w:rPr>
          <w:bCs/>
          <w:sz w:val="28"/>
          <w:szCs w:val="28"/>
        </w:rPr>
        <w:t xml:space="preserve"> the </w:t>
      </w:r>
      <w:r w:rsidR="00421BEC">
        <w:rPr>
          <w:bCs/>
          <w:sz w:val="28"/>
          <w:szCs w:val="28"/>
        </w:rPr>
        <w:t>third</w:t>
      </w:r>
      <w:r>
        <w:rPr>
          <w:bCs/>
          <w:sz w:val="28"/>
          <w:szCs w:val="28"/>
        </w:rPr>
        <w:t xml:space="preserve"> paragraph</w:t>
      </w:r>
      <w:r w:rsidR="00E849E3">
        <w:rPr>
          <w:bCs/>
          <w:sz w:val="28"/>
          <w:szCs w:val="28"/>
        </w:rPr>
        <w:t xml:space="preserve"> </w:t>
      </w:r>
      <w:r>
        <w:rPr>
          <w:bCs/>
          <w:sz w:val="28"/>
          <w:szCs w:val="28"/>
        </w:rPr>
        <w:t xml:space="preserve">which </w:t>
      </w:r>
      <w:r w:rsidR="00E849E3">
        <w:rPr>
          <w:bCs/>
          <w:sz w:val="28"/>
          <w:szCs w:val="28"/>
        </w:rPr>
        <w:t>i</w:t>
      </w:r>
      <w:r>
        <w:rPr>
          <w:bCs/>
          <w:sz w:val="28"/>
          <w:szCs w:val="28"/>
        </w:rPr>
        <w:t>s</w:t>
      </w:r>
      <w:r w:rsidR="00E849E3">
        <w:rPr>
          <w:bCs/>
          <w:sz w:val="28"/>
          <w:szCs w:val="28"/>
        </w:rPr>
        <w:t xml:space="preserve"> quoted above.</w:t>
      </w:r>
      <w:r>
        <w:rPr>
          <w:bCs/>
          <w:sz w:val="28"/>
          <w:szCs w:val="28"/>
        </w:rPr>
        <w:t xml:space="preserve"> </w:t>
      </w:r>
    </w:p>
    <w:p w14:paraId="77AFA469" w14:textId="09B6D621" w:rsidR="00BB5CC4" w:rsidRDefault="00BB5CC4" w:rsidP="00BB5CC4">
      <w:pPr>
        <w:spacing w:line="360" w:lineRule="auto"/>
        <w:rPr>
          <w:bCs/>
          <w:sz w:val="28"/>
          <w:szCs w:val="28"/>
        </w:rPr>
      </w:pPr>
      <w:r>
        <w:rPr>
          <w:bCs/>
          <w:sz w:val="28"/>
          <w:szCs w:val="28"/>
        </w:rPr>
        <w:tab/>
        <w:t>During negotiations, the Union had identified fourteen (14) members who</w:t>
      </w:r>
      <w:r w:rsidR="002D4DFE">
        <w:rPr>
          <w:bCs/>
          <w:sz w:val="28"/>
          <w:szCs w:val="28"/>
        </w:rPr>
        <w:t xml:space="preserve"> </w:t>
      </w:r>
      <w:r>
        <w:rPr>
          <w:bCs/>
          <w:sz w:val="28"/>
          <w:szCs w:val="28"/>
        </w:rPr>
        <w:t xml:space="preserve">were not slotted </w:t>
      </w:r>
      <w:r w:rsidR="00E849E3">
        <w:rPr>
          <w:bCs/>
          <w:sz w:val="28"/>
          <w:szCs w:val="28"/>
        </w:rPr>
        <w:t>i</w:t>
      </w:r>
      <w:r>
        <w:rPr>
          <w:bCs/>
          <w:sz w:val="28"/>
          <w:szCs w:val="28"/>
        </w:rPr>
        <w:t>n their correct steps. Subsequently, two more sergeants were added, bring</w:t>
      </w:r>
      <w:r w:rsidR="002D4DFE">
        <w:rPr>
          <w:bCs/>
          <w:sz w:val="28"/>
          <w:szCs w:val="28"/>
        </w:rPr>
        <w:t>ing</w:t>
      </w:r>
      <w:r>
        <w:rPr>
          <w:bCs/>
          <w:sz w:val="28"/>
          <w:szCs w:val="28"/>
        </w:rPr>
        <w:t xml:space="preserve"> the total to sixteen (16) members</w:t>
      </w:r>
      <w:r w:rsidR="002D4DFE">
        <w:rPr>
          <w:bCs/>
          <w:sz w:val="28"/>
          <w:szCs w:val="28"/>
        </w:rPr>
        <w:t xml:space="preserve"> who were not being compensated at the proper step level</w:t>
      </w:r>
      <w:r>
        <w:rPr>
          <w:bCs/>
          <w:sz w:val="28"/>
          <w:szCs w:val="28"/>
        </w:rPr>
        <w:t xml:space="preserve">.  </w:t>
      </w:r>
    </w:p>
    <w:p w14:paraId="502B75B3" w14:textId="0ACDFF6C" w:rsidR="00C679D3" w:rsidRDefault="00C679D3" w:rsidP="00C679D3">
      <w:pPr>
        <w:spacing w:line="360" w:lineRule="auto"/>
        <w:rPr>
          <w:bCs/>
          <w:sz w:val="28"/>
          <w:szCs w:val="28"/>
        </w:rPr>
      </w:pPr>
      <w:r>
        <w:rPr>
          <w:bCs/>
          <w:sz w:val="28"/>
          <w:szCs w:val="28"/>
        </w:rPr>
        <w:tab/>
        <w:t xml:space="preserve">The successor agreement was approved by the City’s elected council members on August 23, 2023, and was ratified by the Union membership on September 5, 2023. </w:t>
      </w:r>
    </w:p>
    <w:p w14:paraId="3026CCC4" w14:textId="77777777" w:rsidR="001A0AE7" w:rsidRDefault="00F93A86" w:rsidP="00C679D3">
      <w:pPr>
        <w:spacing w:line="360" w:lineRule="auto"/>
        <w:rPr>
          <w:bCs/>
          <w:sz w:val="28"/>
          <w:szCs w:val="28"/>
        </w:rPr>
      </w:pPr>
      <w:r>
        <w:rPr>
          <w:bCs/>
          <w:sz w:val="28"/>
          <w:szCs w:val="28"/>
        </w:rPr>
        <w:tab/>
        <w:t xml:space="preserve">On October 1, 2023, </w:t>
      </w:r>
      <w:r w:rsidR="001A0AE7">
        <w:rPr>
          <w:bCs/>
          <w:sz w:val="28"/>
          <w:szCs w:val="28"/>
        </w:rPr>
        <w:t>the City paid bargaining unit members at the new rate of pay negotiated by the parties, but maintained their existing step levels.</w:t>
      </w:r>
    </w:p>
    <w:p w14:paraId="600EB12D" w14:textId="7A6022EF" w:rsidR="008D0F78" w:rsidRDefault="001A0AE7" w:rsidP="008D0F78">
      <w:pPr>
        <w:spacing w:line="360" w:lineRule="auto"/>
        <w:rPr>
          <w:bCs/>
          <w:sz w:val="28"/>
          <w:szCs w:val="28"/>
        </w:rPr>
      </w:pPr>
      <w:r>
        <w:rPr>
          <w:bCs/>
          <w:sz w:val="28"/>
          <w:szCs w:val="28"/>
        </w:rPr>
        <w:tab/>
      </w:r>
      <w:r w:rsidR="008D0F78">
        <w:rPr>
          <w:bCs/>
          <w:sz w:val="28"/>
          <w:szCs w:val="28"/>
        </w:rPr>
        <w:t xml:space="preserve">On October 10, 2023, George Corwine, the Union’s chief negotiator contacted City Attorney Gregory Hearing </w:t>
      </w:r>
      <w:r w:rsidR="00A5696C">
        <w:rPr>
          <w:bCs/>
          <w:sz w:val="28"/>
          <w:szCs w:val="28"/>
        </w:rPr>
        <w:t xml:space="preserve">and informed him that certain members </w:t>
      </w:r>
      <w:r w:rsidR="00E849E3">
        <w:rPr>
          <w:bCs/>
          <w:sz w:val="28"/>
          <w:szCs w:val="28"/>
        </w:rPr>
        <w:t xml:space="preserve">informed him that </w:t>
      </w:r>
      <w:r w:rsidR="00A5696C">
        <w:rPr>
          <w:bCs/>
          <w:sz w:val="28"/>
          <w:szCs w:val="28"/>
        </w:rPr>
        <w:t xml:space="preserve">they were improperly slotted in the most recent pay period, i.e., the fiscal year that began on October 1, 2023.  </w:t>
      </w:r>
    </w:p>
    <w:p w14:paraId="36431487" w14:textId="2F65C9F6" w:rsidR="00A5696C" w:rsidRDefault="00A5696C" w:rsidP="00A5696C">
      <w:pPr>
        <w:spacing w:line="360" w:lineRule="auto"/>
        <w:rPr>
          <w:bCs/>
          <w:sz w:val="28"/>
          <w:szCs w:val="28"/>
        </w:rPr>
      </w:pPr>
      <w:r>
        <w:rPr>
          <w:bCs/>
          <w:sz w:val="28"/>
          <w:szCs w:val="28"/>
        </w:rPr>
        <w:tab/>
        <w:t>On October 17, 2023, Mr. Corwine contacted the City’s Chief Operating Officer Lance Williams, who had participated in collective bargaining, to inquire about the Union members Corwine had identified during bargaining as not being properly slotted in their correct steps.</w:t>
      </w:r>
      <w:r w:rsidR="00E849E3">
        <w:rPr>
          <w:bCs/>
          <w:sz w:val="28"/>
          <w:szCs w:val="28"/>
        </w:rPr>
        <w:t xml:space="preserve"> According to Corwine, these members were not properly slotted as of October 1, 2023.</w:t>
      </w:r>
    </w:p>
    <w:p w14:paraId="0BD8856A" w14:textId="6E842A4B" w:rsidR="00DA7C79" w:rsidRDefault="00A5696C" w:rsidP="00A5696C">
      <w:pPr>
        <w:spacing w:line="360" w:lineRule="auto"/>
        <w:rPr>
          <w:bCs/>
          <w:sz w:val="28"/>
          <w:szCs w:val="28"/>
        </w:rPr>
      </w:pPr>
      <w:r>
        <w:rPr>
          <w:bCs/>
          <w:sz w:val="28"/>
          <w:szCs w:val="28"/>
        </w:rPr>
        <w:tab/>
      </w:r>
      <w:r w:rsidR="00DA7C79">
        <w:rPr>
          <w:bCs/>
          <w:sz w:val="28"/>
          <w:szCs w:val="28"/>
        </w:rPr>
        <w:t xml:space="preserve">On October 26, 2023, Corwine and Sgt. Meridan met with several City representatives including Williams. At the meeting, Williams showed the Union representatives spreadsheets with his calculations showing the slotting of the unit members who were allegedly slotted improperly. According to Williams’ data, the members were properly slotted. </w:t>
      </w:r>
    </w:p>
    <w:p w14:paraId="0A0DF155" w14:textId="1A61475E" w:rsidR="00733508" w:rsidRDefault="00D07A65" w:rsidP="00AA29A7">
      <w:pPr>
        <w:spacing w:line="360" w:lineRule="auto"/>
        <w:ind w:firstLine="720"/>
        <w:rPr>
          <w:bCs/>
          <w:sz w:val="28"/>
          <w:szCs w:val="28"/>
        </w:rPr>
      </w:pPr>
      <w:r>
        <w:rPr>
          <w:bCs/>
          <w:sz w:val="28"/>
          <w:szCs w:val="28"/>
        </w:rPr>
        <w:t xml:space="preserve">As of October 31, 2023, at least sixteen bargaining unit members had not been given step increases that coincided with their </w:t>
      </w:r>
      <w:r w:rsidR="006F0DEB">
        <w:rPr>
          <w:bCs/>
          <w:sz w:val="28"/>
          <w:szCs w:val="28"/>
        </w:rPr>
        <w:t>years of service with the Bradenton Police Department.</w:t>
      </w:r>
      <w:r w:rsidR="00E849E3">
        <w:rPr>
          <w:bCs/>
          <w:sz w:val="28"/>
          <w:szCs w:val="28"/>
        </w:rPr>
        <w:t xml:space="preserve"> As a result, t</w:t>
      </w:r>
      <w:r w:rsidR="00733508">
        <w:rPr>
          <w:bCs/>
          <w:sz w:val="28"/>
          <w:szCs w:val="28"/>
        </w:rPr>
        <w:t xml:space="preserve">he Union filed the instant grievance seeking to correct that </w:t>
      </w:r>
      <w:r w:rsidR="00DA7C79">
        <w:rPr>
          <w:bCs/>
          <w:sz w:val="28"/>
          <w:szCs w:val="28"/>
        </w:rPr>
        <w:t>alleged</w:t>
      </w:r>
      <w:r w:rsidR="00733508">
        <w:rPr>
          <w:bCs/>
          <w:sz w:val="28"/>
          <w:szCs w:val="28"/>
        </w:rPr>
        <w:t xml:space="preserve"> </w:t>
      </w:r>
      <w:r w:rsidR="00DA7C79">
        <w:rPr>
          <w:bCs/>
          <w:sz w:val="28"/>
          <w:szCs w:val="28"/>
        </w:rPr>
        <w:t>violation of the CBA</w:t>
      </w:r>
      <w:r w:rsidR="00733508">
        <w:rPr>
          <w:bCs/>
          <w:sz w:val="28"/>
          <w:szCs w:val="28"/>
        </w:rPr>
        <w:t xml:space="preserve">. </w:t>
      </w:r>
    </w:p>
    <w:p w14:paraId="64373FDD" w14:textId="77777777" w:rsidR="00E849E3" w:rsidRDefault="00D07A65" w:rsidP="00E849E3">
      <w:pPr>
        <w:spacing w:line="360" w:lineRule="auto"/>
        <w:ind w:firstLine="720"/>
        <w:rPr>
          <w:bCs/>
          <w:sz w:val="28"/>
          <w:szCs w:val="28"/>
        </w:rPr>
      </w:pPr>
      <w:r>
        <w:rPr>
          <w:bCs/>
          <w:sz w:val="28"/>
          <w:szCs w:val="28"/>
        </w:rPr>
        <w:t xml:space="preserve"> </w:t>
      </w:r>
      <w:r w:rsidR="00E849E3">
        <w:rPr>
          <w:bCs/>
          <w:sz w:val="28"/>
          <w:szCs w:val="28"/>
        </w:rPr>
        <w:t xml:space="preserve">The </w:t>
      </w:r>
      <w:proofErr w:type="gramStart"/>
      <w:r w:rsidR="00E849E3">
        <w:rPr>
          <w:bCs/>
          <w:sz w:val="28"/>
          <w:szCs w:val="28"/>
        </w:rPr>
        <w:t>City</w:t>
      </w:r>
      <w:proofErr w:type="gramEnd"/>
      <w:r w:rsidR="00E849E3">
        <w:rPr>
          <w:bCs/>
          <w:sz w:val="28"/>
          <w:szCs w:val="28"/>
        </w:rPr>
        <w:t xml:space="preserve"> denied the grievance and maintains that all bargaining unit members have been slotted correctly.</w:t>
      </w:r>
    </w:p>
    <w:p w14:paraId="7A5AB307" w14:textId="3699F2E1" w:rsidR="00D1056B" w:rsidRDefault="00D1056B" w:rsidP="00AA29A7">
      <w:pPr>
        <w:spacing w:line="360" w:lineRule="auto"/>
        <w:ind w:firstLine="720"/>
        <w:rPr>
          <w:bCs/>
          <w:sz w:val="28"/>
          <w:szCs w:val="28"/>
        </w:rPr>
      </w:pPr>
      <w:r>
        <w:rPr>
          <w:bCs/>
          <w:sz w:val="28"/>
          <w:szCs w:val="28"/>
        </w:rPr>
        <w:t>As a remedy, in the event the arbitrator determines that the Employer violated the CBA,</w:t>
      </w:r>
      <w:r w:rsidRPr="00D1056B">
        <w:rPr>
          <w:bCs/>
          <w:sz w:val="28"/>
          <w:szCs w:val="28"/>
        </w:rPr>
        <w:t xml:space="preserve"> </w:t>
      </w:r>
      <w:r>
        <w:rPr>
          <w:bCs/>
          <w:sz w:val="28"/>
          <w:szCs w:val="28"/>
        </w:rPr>
        <w:t xml:space="preserve">the Union is asking the arbitrator to place all member of the bargaining unit into the step reflecting their years of service as of September 30, 2023, and to award the grievants “retroactive backpay” to the first pay period of October 2023. </w:t>
      </w:r>
    </w:p>
    <w:p w14:paraId="763F5BEC" w14:textId="36A87F47" w:rsidR="0073730A" w:rsidRDefault="00E76496" w:rsidP="0073730A">
      <w:pPr>
        <w:spacing w:after="240" w:line="360" w:lineRule="auto"/>
        <w:jc w:val="center"/>
        <w:rPr>
          <w:b/>
          <w:sz w:val="28"/>
          <w:szCs w:val="28"/>
          <w:u w:val="single"/>
        </w:rPr>
      </w:pPr>
      <w:r w:rsidRPr="00DE3741">
        <w:rPr>
          <w:b/>
          <w:sz w:val="28"/>
          <w:szCs w:val="28"/>
          <w:u w:val="single"/>
        </w:rPr>
        <w:t>FINDINGS</w:t>
      </w:r>
      <w:r w:rsidR="00640AB4">
        <w:rPr>
          <w:b/>
          <w:sz w:val="28"/>
          <w:szCs w:val="28"/>
          <w:u w:val="single"/>
        </w:rPr>
        <w:t xml:space="preserve"> and DECISION </w:t>
      </w:r>
    </w:p>
    <w:p w14:paraId="1BA3CA9A" w14:textId="65FBC7B0" w:rsidR="00CF1947" w:rsidRDefault="0073730A" w:rsidP="0073730A">
      <w:pPr>
        <w:spacing w:after="240" w:line="360" w:lineRule="auto"/>
        <w:rPr>
          <w:bCs/>
          <w:sz w:val="28"/>
          <w:szCs w:val="28"/>
        </w:rPr>
      </w:pPr>
      <w:r>
        <w:rPr>
          <w:bCs/>
          <w:sz w:val="28"/>
          <w:szCs w:val="28"/>
        </w:rPr>
        <w:tab/>
      </w:r>
      <w:r w:rsidR="006C4CB0">
        <w:rPr>
          <w:bCs/>
          <w:sz w:val="28"/>
          <w:szCs w:val="28"/>
        </w:rPr>
        <w:t>T</w:t>
      </w:r>
      <w:r w:rsidR="008A1F4B">
        <w:rPr>
          <w:bCs/>
          <w:sz w:val="28"/>
          <w:szCs w:val="28"/>
        </w:rPr>
        <w:t>he City</w:t>
      </w:r>
      <w:r w:rsidR="006C4CB0">
        <w:rPr>
          <w:bCs/>
          <w:sz w:val="28"/>
          <w:szCs w:val="28"/>
        </w:rPr>
        <w:t xml:space="preserve"> contends</w:t>
      </w:r>
      <w:r w:rsidR="008A1F4B">
        <w:rPr>
          <w:bCs/>
          <w:sz w:val="28"/>
          <w:szCs w:val="28"/>
        </w:rPr>
        <w:t xml:space="preserve"> that all members have been correctly slotted in accordance with the</w:t>
      </w:r>
      <w:r w:rsidR="00DE3DBC">
        <w:rPr>
          <w:bCs/>
          <w:sz w:val="28"/>
          <w:szCs w:val="28"/>
        </w:rPr>
        <w:t xml:space="preserve"> second paragraph of </w:t>
      </w:r>
      <w:r w:rsidR="008A1F4B">
        <w:rPr>
          <w:bCs/>
          <w:sz w:val="28"/>
          <w:szCs w:val="28"/>
        </w:rPr>
        <w:t>Article 22, Section 1, which states that members in FY 2023-24 shall “stay at their current fiscal year (2022-23) step.” The City</w:t>
      </w:r>
      <w:r w:rsidR="00CF1947">
        <w:rPr>
          <w:bCs/>
          <w:sz w:val="28"/>
          <w:szCs w:val="28"/>
        </w:rPr>
        <w:t xml:space="preserve"> argues that it was the intent of the parties in negotiations to address the slotting mistakes existing at that time – not to require the City to place sixteen unit members on steps consistent with their years of service. </w:t>
      </w:r>
    </w:p>
    <w:p w14:paraId="354EE6CB" w14:textId="046FC830" w:rsidR="00CE3CA8" w:rsidRDefault="00CE3CA8" w:rsidP="0073730A">
      <w:pPr>
        <w:spacing w:after="240" w:line="360" w:lineRule="auto"/>
        <w:rPr>
          <w:bCs/>
          <w:sz w:val="28"/>
          <w:szCs w:val="28"/>
        </w:rPr>
      </w:pPr>
      <w:r>
        <w:rPr>
          <w:bCs/>
          <w:sz w:val="28"/>
          <w:szCs w:val="28"/>
        </w:rPr>
        <w:tab/>
        <w:t xml:space="preserve">The </w:t>
      </w:r>
      <w:proofErr w:type="gramStart"/>
      <w:r>
        <w:rPr>
          <w:bCs/>
          <w:sz w:val="28"/>
          <w:szCs w:val="28"/>
        </w:rPr>
        <w:t>City</w:t>
      </w:r>
      <w:proofErr w:type="gramEnd"/>
      <w:r>
        <w:rPr>
          <w:bCs/>
          <w:sz w:val="28"/>
          <w:szCs w:val="28"/>
        </w:rPr>
        <w:t xml:space="preserve"> argues further that Section 1 must be construed as a whole</w:t>
      </w:r>
      <w:r w:rsidR="00E849E3">
        <w:rPr>
          <w:bCs/>
          <w:sz w:val="28"/>
          <w:szCs w:val="28"/>
        </w:rPr>
        <w:t>. T</w:t>
      </w:r>
      <w:r>
        <w:rPr>
          <w:bCs/>
          <w:sz w:val="28"/>
          <w:szCs w:val="28"/>
        </w:rPr>
        <w:t xml:space="preserve">hat is, the third paragraph cannot be taken out of context as proposed by the Union. It is the City’s contention that </w:t>
      </w:r>
      <w:r w:rsidR="00E849E3">
        <w:rPr>
          <w:bCs/>
          <w:sz w:val="28"/>
          <w:szCs w:val="28"/>
        </w:rPr>
        <w:t xml:space="preserve">a proper interpretation of the contested section of the CBA </w:t>
      </w:r>
      <w:r w:rsidR="00FD65BA">
        <w:rPr>
          <w:bCs/>
          <w:sz w:val="28"/>
          <w:szCs w:val="28"/>
        </w:rPr>
        <w:t>must give effect to</w:t>
      </w:r>
      <w:r w:rsidR="00E849E3">
        <w:rPr>
          <w:bCs/>
          <w:sz w:val="28"/>
          <w:szCs w:val="28"/>
        </w:rPr>
        <w:t xml:space="preserve"> </w:t>
      </w:r>
      <w:r>
        <w:rPr>
          <w:bCs/>
          <w:sz w:val="28"/>
          <w:szCs w:val="28"/>
        </w:rPr>
        <w:t xml:space="preserve">both paragraphs. </w:t>
      </w:r>
      <w:r w:rsidR="00673D3D">
        <w:rPr>
          <w:bCs/>
          <w:sz w:val="28"/>
          <w:szCs w:val="28"/>
        </w:rPr>
        <w:t>According to the City’s interpretation of Section 1, each bargaining member should be advanced only one step in the pay plan for “fiscal years 2023 - 2024 and 2024 – 2025.”</w:t>
      </w:r>
    </w:p>
    <w:p w14:paraId="74F0AF04" w14:textId="0809C15F" w:rsidR="005053BF" w:rsidRDefault="00DE3DBC" w:rsidP="0073730A">
      <w:pPr>
        <w:spacing w:after="240" w:line="360" w:lineRule="auto"/>
        <w:rPr>
          <w:bCs/>
          <w:sz w:val="28"/>
          <w:szCs w:val="28"/>
        </w:rPr>
      </w:pPr>
      <w:r>
        <w:rPr>
          <w:bCs/>
          <w:sz w:val="28"/>
          <w:szCs w:val="28"/>
        </w:rPr>
        <w:tab/>
      </w:r>
      <w:r w:rsidR="00CE3CA8">
        <w:rPr>
          <w:bCs/>
          <w:sz w:val="28"/>
          <w:szCs w:val="28"/>
        </w:rPr>
        <w:t>However</w:t>
      </w:r>
      <w:r>
        <w:rPr>
          <w:bCs/>
          <w:sz w:val="28"/>
          <w:szCs w:val="28"/>
        </w:rPr>
        <w:t>, the City’s argument completely ignores the clear language it agreed to in the third paragraph on Article 22, Section 1, in favor of the language in the second paragraph</w:t>
      </w:r>
      <w:r w:rsidR="00F92B05">
        <w:rPr>
          <w:bCs/>
          <w:sz w:val="28"/>
          <w:szCs w:val="28"/>
        </w:rPr>
        <w:t>. T</w:t>
      </w:r>
      <w:r w:rsidR="00CE3CA8">
        <w:rPr>
          <w:bCs/>
          <w:sz w:val="28"/>
          <w:szCs w:val="28"/>
        </w:rPr>
        <w:t>he third paragraph</w:t>
      </w:r>
      <w:r w:rsidR="00312D96">
        <w:rPr>
          <w:bCs/>
          <w:sz w:val="28"/>
          <w:szCs w:val="28"/>
        </w:rPr>
        <w:t xml:space="preserve"> </w:t>
      </w:r>
      <w:r>
        <w:rPr>
          <w:bCs/>
          <w:sz w:val="28"/>
          <w:szCs w:val="28"/>
        </w:rPr>
        <w:t xml:space="preserve">unequivocally requires the City to place “all bargaining unit members” into the step that “reflects their current complete years of service as of September 30, 2023.” </w:t>
      </w:r>
    </w:p>
    <w:p w14:paraId="452D65EE" w14:textId="0105CF30" w:rsidR="004566D3" w:rsidRDefault="005053BF" w:rsidP="0073730A">
      <w:pPr>
        <w:spacing w:after="240" w:line="360" w:lineRule="auto"/>
        <w:rPr>
          <w:bCs/>
          <w:sz w:val="28"/>
          <w:szCs w:val="28"/>
        </w:rPr>
      </w:pPr>
      <w:r>
        <w:rPr>
          <w:bCs/>
          <w:sz w:val="28"/>
          <w:szCs w:val="28"/>
        </w:rPr>
        <w:tab/>
      </w:r>
      <w:r w:rsidR="00312D96">
        <w:rPr>
          <w:bCs/>
          <w:sz w:val="28"/>
          <w:szCs w:val="28"/>
        </w:rPr>
        <w:t>T</w:t>
      </w:r>
      <w:r>
        <w:rPr>
          <w:bCs/>
          <w:sz w:val="28"/>
          <w:szCs w:val="28"/>
        </w:rPr>
        <w:t xml:space="preserve">he City </w:t>
      </w:r>
      <w:r w:rsidR="004566D3">
        <w:rPr>
          <w:bCs/>
          <w:sz w:val="28"/>
          <w:szCs w:val="28"/>
        </w:rPr>
        <w:t xml:space="preserve">suggests that </w:t>
      </w:r>
      <w:r>
        <w:rPr>
          <w:bCs/>
          <w:sz w:val="28"/>
          <w:szCs w:val="28"/>
        </w:rPr>
        <w:t xml:space="preserve">there was </w:t>
      </w:r>
      <w:r w:rsidR="004566D3">
        <w:rPr>
          <w:bCs/>
          <w:sz w:val="28"/>
          <w:szCs w:val="28"/>
        </w:rPr>
        <w:t>a misunderstanding during negotiations (</w:t>
      </w:r>
      <w:r>
        <w:rPr>
          <w:bCs/>
          <w:sz w:val="28"/>
          <w:szCs w:val="28"/>
        </w:rPr>
        <w:t>“</w:t>
      </w:r>
      <w:r w:rsidR="004566D3">
        <w:rPr>
          <w:bCs/>
          <w:sz w:val="28"/>
          <w:szCs w:val="28"/>
        </w:rPr>
        <w:t xml:space="preserve">there was </w:t>
      </w:r>
      <w:r>
        <w:rPr>
          <w:bCs/>
          <w:sz w:val="28"/>
          <w:szCs w:val="28"/>
        </w:rPr>
        <w:t>no</w:t>
      </w:r>
      <w:r w:rsidR="004566D3">
        <w:rPr>
          <w:bCs/>
          <w:sz w:val="28"/>
          <w:szCs w:val="28"/>
        </w:rPr>
        <w:t>t a</w:t>
      </w:r>
      <w:r>
        <w:rPr>
          <w:bCs/>
          <w:sz w:val="28"/>
          <w:szCs w:val="28"/>
        </w:rPr>
        <w:t xml:space="preserve"> meeting of the minds</w:t>
      </w:r>
      <w:r w:rsidR="004566D3">
        <w:rPr>
          <w:bCs/>
          <w:sz w:val="28"/>
          <w:szCs w:val="28"/>
        </w:rPr>
        <w:t>”)</w:t>
      </w:r>
      <w:r w:rsidR="004566D3">
        <w:rPr>
          <w:rStyle w:val="FootnoteReference"/>
          <w:bCs/>
          <w:sz w:val="28"/>
          <w:szCs w:val="28"/>
        </w:rPr>
        <w:footnoteReference w:id="1"/>
      </w:r>
      <w:r w:rsidR="00DE3DBC">
        <w:rPr>
          <w:bCs/>
          <w:sz w:val="28"/>
          <w:szCs w:val="28"/>
        </w:rPr>
        <w:t xml:space="preserve"> </w:t>
      </w:r>
      <w:r w:rsidR="004566D3">
        <w:rPr>
          <w:bCs/>
          <w:sz w:val="28"/>
          <w:szCs w:val="28"/>
        </w:rPr>
        <w:t>and that the City negotiators believed the language at issue was merely “meant to correct mistakes by the City’s payroll personnel when slotting unit members into the pay plan.</w:t>
      </w:r>
      <w:r w:rsidR="00CE3CA8">
        <w:rPr>
          <w:bCs/>
          <w:sz w:val="28"/>
          <w:szCs w:val="28"/>
        </w:rPr>
        <w:t>”</w:t>
      </w:r>
    </w:p>
    <w:p w14:paraId="020FD297" w14:textId="255FBD25" w:rsidR="00DB12F8" w:rsidRDefault="00CE3CA8" w:rsidP="0073730A">
      <w:pPr>
        <w:spacing w:after="240" w:line="360" w:lineRule="auto"/>
        <w:rPr>
          <w:bCs/>
          <w:sz w:val="28"/>
          <w:szCs w:val="28"/>
        </w:rPr>
      </w:pPr>
      <w:r>
        <w:rPr>
          <w:bCs/>
          <w:sz w:val="28"/>
          <w:szCs w:val="28"/>
        </w:rPr>
        <w:tab/>
        <w:t>It is true that the second and third paragraphs of Article 22, Section1, appear to be in conflict</w:t>
      </w:r>
      <w:r w:rsidR="00673D3D">
        <w:rPr>
          <w:bCs/>
          <w:sz w:val="28"/>
          <w:szCs w:val="28"/>
        </w:rPr>
        <w:t>. T</w:t>
      </w:r>
      <w:r w:rsidR="00753C7D">
        <w:rPr>
          <w:bCs/>
          <w:sz w:val="28"/>
          <w:szCs w:val="28"/>
        </w:rPr>
        <w:t xml:space="preserve">he positions </w:t>
      </w:r>
      <w:r w:rsidR="00DB12F8">
        <w:rPr>
          <w:bCs/>
          <w:sz w:val="28"/>
          <w:szCs w:val="28"/>
        </w:rPr>
        <w:t xml:space="preserve">of the parties </w:t>
      </w:r>
      <w:r w:rsidR="00753C7D">
        <w:rPr>
          <w:bCs/>
          <w:sz w:val="28"/>
          <w:szCs w:val="28"/>
        </w:rPr>
        <w:t>ar</w:t>
      </w:r>
      <w:r w:rsidR="00DB12F8">
        <w:rPr>
          <w:bCs/>
          <w:sz w:val="28"/>
          <w:szCs w:val="28"/>
        </w:rPr>
        <w:t>e contradictory</w:t>
      </w:r>
      <w:r w:rsidR="00753C7D">
        <w:rPr>
          <w:bCs/>
          <w:sz w:val="28"/>
          <w:szCs w:val="28"/>
        </w:rPr>
        <w:t>.</w:t>
      </w:r>
      <w:r w:rsidR="00E46FA7">
        <w:rPr>
          <w:bCs/>
          <w:sz w:val="28"/>
          <w:szCs w:val="28"/>
        </w:rPr>
        <w:t xml:space="preserve"> </w:t>
      </w:r>
      <w:r w:rsidR="00753C7D">
        <w:rPr>
          <w:bCs/>
          <w:sz w:val="28"/>
          <w:szCs w:val="28"/>
        </w:rPr>
        <w:t xml:space="preserve">Nonetheless, the parties have asked the arbitrator to </w:t>
      </w:r>
      <w:r w:rsidR="00BD72B1">
        <w:rPr>
          <w:bCs/>
          <w:sz w:val="28"/>
          <w:szCs w:val="28"/>
        </w:rPr>
        <w:t>make sense of</w:t>
      </w:r>
      <w:r w:rsidR="00753C7D">
        <w:rPr>
          <w:bCs/>
          <w:sz w:val="28"/>
          <w:szCs w:val="28"/>
        </w:rPr>
        <w:t xml:space="preserve"> the language.</w:t>
      </w:r>
      <w:r w:rsidR="00F92B05">
        <w:rPr>
          <w:bCs/>
          <w:sz w:val="28"/>
          <w:szCs w:val="28"/>
        </w:rPr>
        <w:t xml:space="preserve"> </w:t>
      </w:r>
    </w:p>
    <w:p w14:paraId="438C1BCB" w14:textId="41763F76" w:rsidR="00753C7D" w:rsidRDefault="00753C7D" w:rsidP="00DB12F8">
      <w:pPr>
        <w:spacing w:after="240" w:line="360" w:lineRule="auto"/>
        <w:ind w:firstLine="720"/>
        <w:rPr>
          <w:bCs/>
          <w:sz w:val="28"/>
          <w:szCs w:val="28"/>
        </w:rPr>
      </w:pPr>
    </w:p>
    <w:p w14:paraId="4F06345D" w14:textId="5B398F9D" w:rsidR="00F92B05" w:rsidRDefault="00F92B05" w:rsidP="0073730A">
      <w:pPr>
        <w:spacing w:after="240" w:line="360" w:lineRule="auto"/>
        <w:rPr>
          <w:bCs/>
          <w:sz w:val="28"/>
          <w:szCs w:val="28"/>
        </w:rPr>
      </w:pPr>
      <w:r>
        <w:rPr>
          <w:bCs/>
          <w:sz w:val="28"/>
          <w:szCs w:val="28"/>
        </w:rPr>
        <w:tab/>
      </w:r>
      <w:r w:rsidR="00492FDA">
        <w:rPr>
          <w:bCs/>
          <w:sz w:val="28"/>
          <w:szCs w:val="28"/>
        </w:rPr>
        <w:t xml:space="preserve">In the 2023 – 2026 CBA, the second paragraph of Section 1 is merely a restatement of the “Pay Plan Rates” in the 2022 – 2025 CBA, with the effective dates changed for the fiscal years covered by the CBA. In addition, paragraph two of </w:t>
      </w:r>
      <w:r w:rsidR="00305E84">
        <w:rPr>
          <w:bCs/>
          <w:sz w:val="28"/>
          <w:szCs w:val="28"/>
        </w:rPr>
        <w:t xml:space="preserve">Section 1 in </w:t>
      </w:r>
      <w:r w:rsidR="00492FDA">
        <w:rPr>
          <w:bCs/>
          <w:sz w:val="28"/>
          <w:szCs w:val="28"/>
        </w:rPr>
        <w:t>the 2023 -2026 CBA was modified with this final sentence: “For fiscal year 2024 – 2025 and 2025 – 2026, each bargaining unit member shall advance one step in the pay plan . . .</w:t>
      </w:r>
      <w:r w:rsidR="00305E84">
        <w:rPr>
          <w:bCs/>
          <w:sz w:val="28"/>
          <w:szCs w:val="28"/>
        </w:rPr>
        <w:t>”</w:t>
      </w:r>
    </w:p>
    <w:p w14:paraId="2E440038" w14:textId="00E8DF4B" w:rsidR="00305E84" w:rsidRDefault="00305E84" w:rsidP="0073730A">
      <w:pPr>
        <w:spacing w:after="240" w:line="360" w:lineRule="auto"/>
        <w:rPr>
          <w:bCs/>
          <w:sz w:val="28"/>
          <w:szCs w:val="28"/>
        </w:rPr>
      </w:pPr>
      <w:r>
        <w:rPr>
          <w:bCs/>
          <w:sz w:val="28"/>
          <w:szCs w:val="28"/>
        </w:rPr>
        <w:tab/>
        <w:t>However, the negotiators also added a third paragraph which states, in part: “</w:t>
      </w:r>
      <w:r w:rsidR="00E96308">
        <w:rPr>
          <w:bCs/>
          <w:sz w:val="28"/>
          <w:szCs w:val="28"/>
        </w:rPr>
        <w:t xml:space="preserve">Effective the first full pay period in October 2023, all bargaining unit members shall be placed in the last step that reflects their current years of service . . .” </w:t>
      </w:r>
    </w:p>
    <w:p w14:paraId="01F2748B" w14:textId="3C152559" w:rsidR="00E96308" w:rsidRDefault="00E96308" w:rsidP="0073730A">
      <w:pPr>
        <w:spacing w:after="240" w:line="360" w:lineRule="auto"/>
        <w:rPr>
          <w:bCs/>
          <w:sz w:val="28"/>
          <w:szCs w:val="28"/>
        </w:rPr>
      </w:pPr>
      <w:r>
        <w:rPr>
          <w:bCs/>
          <w:sz w:val="28"/>
          <w:szCs w:val="28"/>
        </w:rPr>
        <w:tab/>
        <w:t>The City is asking the arbitrator to ignore the final paragraph, even though it was negotiated and accepted by the City’s negotiators.</w:t>
      </w:r>
    </w:p>
    <w:p w14:paraId="6B53DB84" w14:textId="77777777" w:rsidR="00E96308" w:rsidRDefault="00E96308" w:rsidP="0073730A">
      <w:pPr>
        <w:spacing w:after="240" w:line="360" w:lineRule="auto"/>
        <w:rPr>
          <w:bCs/>
          <w:sz w:val="28"/>
          <w:szCs w:val="28"/>
        </w:rPr>
      </w:pPr>
      <w:r>
        <w:rPr>
          <w:bCs/>
          <w:sz w:val="28"/>
          <w:szCs w:val="28"/>
        </w:rPr>
        <w:tab/>
        <w:t xml:space="preserve">In my opinion, one thing is clear from the evidence in the record – the negotiators agreed, during collective bargaining, to place all bargaining unit members on a step that is consistent with their years of service. There is no other way to interpret this contract provision, unless one chooses to ignore the clear language of that paragraph. </w:t>
      </w:r>
    </w:p>
    <w:p w14:paraId="1D367B7D" w14:textId="6B91E4AA" w:rsidR="0073730A" w:rsidRDefault="0070243C" w:rsidP="00E96308">
      <w:pPr>
        <w:spacing w:after="240" w:line="360" w:lineRule="auto"/>
        <w:ind w:firstLine="720"/>
        <w:rPr>
          <w:bCs/>
          <w:sz w:val="28"/>
          <w:szCs w:val="28"/>
        </w:rPr>
      </w:pPr>
      <w:r>
        <w:rPr>
          <w:bCs/>
          <w:sz w:val="28"/>
          <w:szCs w:val="28"/>
        </w:rPr>
        <w:t xml:space="preserve">The City’s </w:t>
      </w:r>
      <w:r w:rsidR="004566D3">
        <w:rPr>
          <w:bCs/>
          <w:sz w:val="28"/>
          <w:szCs w:val="28"/>
        </w:rPr>
        <w:t xml:space="preserve">argues that the </w:t>
      </w:r>
      <w:r w:rsidR="00DE3DBC">
        <w:rPr>
          <w:bCs/>
          <w:sz w:val="28"/>
          <w:szCs w:val="28"/>
        </w:rPr>
        <w:t xml:space="preserve">calculations </w:t>
      </w:r>
      <w:r w:rsidR="00AB2C45">
        <w:rPr>
          <w:bCs/>
          <w:sz w:val="28"/>
          <w:szCs w:val="28"/>
        </w:rPr>
        <w:t>developed by Chief Operating Officer Williams</w:t>
      </w:r>
      <w:r w:rsidR="00DE3DBC">
        <w:rPr>
          <w:bCs/>
          <w:sz w:val="28"/>
          <w:szCs w:val="28"/>
        </w:rPr>
        <w:t xml:space="preserve"> and presented to the Union on October 26, 2023</w:t>
      </w:r>
      <w:r w:rsidR="004566D3">
        <w:rPr>
          <w:bCs/>
          <w:sz w:val="28"/>
          <w:szCs w:val="28"/>
        </w:rPr>
        <w:t xml:space="preserve"> represent the proper slotting of unit members.</w:t>
      </w:r>
      <w:r w:rsidR="00DE3DBC">
        <w:rPr>
          <w:bCs/>
          <w:sz w:val="28"/>
          <w:szCs w:val="28"/>
        </w:rPr>
        <w:t xml:space="preserve"> However, </w:t>
      </w:r>
      <w:r w:rsidR="00FF2998">
        <w:rPr>
          <w:bCs/>
          <w:sz w:val="28"/>
          <w:szCs w:val="28"/>
        </w:rPr>
        <w:t xml:space="preserve">the </w:t>
      </w:r>
      <w:r w:rsidR="00DE3DBC">
        <w:rPr>
          <w:bCs/>
          <w:sz w:val="28"/>
          <w:szCs w:val="28"/>
        </w:rPr>
        <w:t xml:space="preserve">information contained in Williams’ </w:t>
      </w:r>
      <w:r w:rsidR="00FF2998">
        <w:rPr>
          <w:bCs/>
          <w:sz w:val="28"/>
          <w:szCs w:val="28"/>
        </w:rPr>
        <w:t xml:space="preserve">spreadsheets was compiled </w:t>
      </w:r>
      <w:r w:rsidR="004566D3">
        <w:rPr>
          <w:bCs/>
          <w:sz w:val="28"/>
          <w:szCs w:val="28"/>
        </w:rPr>
        <w:t xml:space="preserve">in response to the </w:t>
      </w:r>
      <w:r w:rsidR="00636CBB">
        <w:rPr>
          <w:bCs/>
          <w:sz w:val="28"/>
          <w:szCs w:val="28"/>
        </w:rPr>
        <w:t xml:space="preserve">Union’s assertion that the members were not properly compensated on October 1, 2023.  Mr. Williams compiled this information long </w:t>
      </w:r>
      <w:r w:rsidR="00FF2998">
        <w:rPr>
          <w:bCs/>
          <w:sz w:val="28"/>
          <w:szCs w:val="28"/>
        </w:rPr>
        <w:t>after negotiations were concluded and after the CBA was signed and ratified by the Union</w:t>
      </w:r>
      <w:r w:rsidR="00DE3DBC">
        <w:rPr>
          <w:bCs/>
          <w:sz w:val="28"/>
          <w:szCs w:val="28"/>
        </w:rPr>
        <w:t>.</w:t>
      </w:r>
      <w:r w:rsidR="00636CBB">
        <w:rPr>
          <w:bCs/>
          <w:sz w:val="28"/>
          <w:szCs w:val="28"/>
        </w:rPr>
        <w:t xml:space="preserve"> </w:t>
      </w:r>
    </w:p>
    <w:p w14:paraId="253F98FE" w14:textId="336D12E2" w:rsidR="00636CBB" w:rsidRDefault="00636CBB" w:rsidP="0073730A">
      <w:pPr>
        <w:spacing w:after="240" w:line="360" w:lineRule="auto"/>
        <w:rPr>
          <w:bCs/>
          <w:sz w:val="28"/>
          <w:szCs w:val="28"/>
        </w:rPr>
      </w:pPr>
      <w:r>
        <w:rPr>
          <w:bCs/>
          <w:sz w:val="28"/>
          <w:szCs w:val="28"/>
        </w:rPr>
        <w:tab/>
        <w:t>In the arbitrator’s opinion the spreadsheets presented to the Union on October 26</w:t>
      </w:r>
      <w:r w:rsidRPr="00636CBB">
        <w:rPr>
          <w:bCs/>
          <w:sz w:val="28"/>
          <w:szCs w:val="28"/>
          <w:vertAlign w:val="superscript"/>
        </w:rPr>
        <w:t>th</w:t>
      </w:r>
      <w:r>
        <w:rPr>
          <w:bCs/>
          <w:sz w:val="28"/>
          <w:szCs w:val="28"/>
        </w:rPr>
        <w:t xml:space="preserve">, represent a last-ditch effort by the City to minimize the financial impact of the contract language agreed to in bargaining. </w:t>
      </w:r>
    </w:p>
    <w:p w14:paraId="5CD06619" w14:textId="5B640015" w:rsidR="00E96308" w:rsidRPr="0073730A" w:rsidRDefault="00DB12F8" w:rsidP="00806BBF">
      <w:pPr>
        <w:spacing w:after="240" w:line="360" w:lineRule="auto"/>
        <w:ind w:firstLine="720"/>
        <w:rPr>
          <w:b/>
          <w:sz w:val="28"/>
          <w:szCs w:val="28"/>
          <w:u w:val="single"/>
        </w:rPr>
      </w:pPr>
      <w:r>
        <w:rPr>
          <w:bCs/>
          <w:sz w:val="28"/>
          <w:szCs w:val="28"/>
        </w:rPr>
        <w:t>Further, t</w:t>
      </w:r>
      <w:r w:rsidR="00E96308">
        <w:rPr>
          <w:bCs/>
          <w:sz w:val="28"/>
          <w:szCs w:val="28"/>
        </w:rPr>
        <w:t xml:space="preserve">he City’s assertion that the parties reached a “gentlemen’s agreement” on October 26, 2023, subsequent to endorsing and ratifying the CBA is not supported by the evidence. </w:t>
      </w:r>
      <w:r w:rsidR="00806BBF">
        <w:rPr>
          <w:bCs/>
          <w:sz w:val="28"/>
          <w:szCs w:val="28"/>
        </w:rPr>
        <w:t xml:space="preserve"> </w:t>
      </w:r>
    </w:p>
    <w:p w14:paraId="7FB8F225" w14:textId="35A5008A" w:rsidR="00640AB4" w:rsidRDefault="008A1F4B" w:rsidP="00E96308">
      <w:pPr>
        <w:spacing w:after="240" w:line="360" w:lineRule="auto"/>
        <w:rPr>
          <w:bCs/>
          <w:sz w:val="28"/>
          <w:szCs w:val="28"/>
        </w:rPr>
      </w:pPr>
      <w:r>
        <w:rPr>
          <w:bCs/>
          <w:sz w:val="28"/>
          <w:szCs w:val="28"/>
        </w:rPr>
        <w:tab/>
      </w:r>
      <w:r w:rsidR="00F175F4">
        <w:rPr>
          <w:bCs/>
          <w:sz w:val="28"/>
          <w:szCs w:val="28"/>
        </w:rPr>
        <w:t>Having consider</w:t>
      </w:r>
      <w:r w:rsidR="00F56BEA">
        <w:rPr>
          <w:bCs/>
          <w:sz w:val="28"/>
          <w:szCs w:val="28"/>
        </w:rPr>
        <w:t>ed</w:t>
      </w:r>
      <w:r w:rsidR="00F175F4">
        <w:rPr>
          <w:bCs/>
          <w:sz w:val="28"/>
          <w:szCs w:val="28"/>
        </w:rPr>
        <w:t xml:space="preserve"> the applicable</w:t>
      </w:r>
      <w:r w:rsidR="00F56BEA">
        <w:rPr>
          <w:bCs/>
          <w:sz w:val="28"/>
          <w:szCs w:val="28"/>
        </w:rPr>
        <w:t xml:space="preserve"> </w:t>
      </w:r>
      <w:r w:rsidR="00F175F4">
        <w:rPr>
          <w:bCs/>
          <w:sz w:val="28"/>
          <w:szCs w:val="28"/>
        </w:rPr>
        <w:t>provision</w:t>
      </w:r>
      <w:r w:rsidR="00806BBF">
        <w:rPr>
          <w:bCs/>
          <w:sz w:val="28"/>
          <w:szCs w:val="28"/>
        </w:rPr>
        <w:t>s</w:t>
      </w:r>
      <w:r w:rsidR="00F175F4">
        <w:rPr>
          <w:bCs/>
          <w:sz w:val="28"/>
          <w:szCs w:val="28"/>
        </w:rPr>
        <w:t xml:space="preserve"> of the CBA, the parties’ bargaining history and the differing opinions of the witnesses, I can only conclude that Article 22, Section 1, (third paragraph) is </w:t>
      </w:r>
      <w:r w:rsidR="00F56BEA">
        <w:rPr>
          <w:bCs/>
          <w:sz w:val="28"/>
          <w:szCs w:val="28"/>
        </w:rPr>
        <w:t xml:space="preserve">unambiguous </w:t>
      </w:r>
      <w:r w:rsidR="00F175F4">
        <w:rPr>
          <w:bCs/>
          <w:sz w:val="28"/>
          <w:szCs w:val="28"/>
        </w:rPr>
        <w:t xml:space="preserve">and the intent of the provision is </w:t>
      </w:r>
      <w:r w:rsidR="00F56BEA">
        <w:rPr>
          <w:bCs/>
          <w:sz w:val="28"/>
          <w:szCs w:val="28"/>
        </w:rPr>
        <w:t>clear</w:t>
      </w:r>
      <w:r w:rsidR="00F175F4">
        <w:rPr>
          <w:bCs/>
          <w:sz w:val="28"/>
          <w:szCs w:val="28"/>
        </w:rPr>
        <w:t xml:space="preserve">. </w:t>
      </w:r>
    </w:p>
    <w:p w14:paraId="0B1D3E1D" w14:textId="77777777" w:rsidR="002332A5" w:rsidRDefault="002332A5" w:rsidP="00F175F4">
      <w:pPr>
        <w:spacing w:after="240" w:line="360" w:lineRule="auto"/>
        <w:rPr>
          <w:bCs/>
          <w:sz w:val="28"/>
          <w:szCs w:val="28"/>
        </w:rPr>
      </w:pPr>
      <w:r>
        <w:rPr>
          <w:bCs/>
          <w:sz w:val="28"/>
          <w:szCs w:val="28"/>
        </w:rPr>
        <w:tab/>
        <w:t>Each party had ample opportunity to propose any changes it needed to the prior contract language during negotiations for a successor agreement.  Each party also had the opportunity to offer modifications to the proposals offered by its counterpart or to reject any proposed new contract language.</w:t>
      </w:r>
    </w:p>
    <w:p w14:paraId="4120915E" w14:textId="62B23670" w:rsidR="002332A5" w:rsidRDefault="002332A5" w:rsidP="00F175F4">
      <w:pPr>
        <w:spacing w:after="240" w:line="360" w:lineRule="auto"/>
        <w:rPr>
          <w:bCs/>
          <w:sz w:val="28"/>
          <w:szCs w:val="28"/>
        </w:rPr>
      </w:pPr>
      <w:r>
        <w:rPr>
          <w:bCs/>
          <w:sz w:val="28"/>
          <w:szCs w:val="28"/>
        </w:rPr>
        <w:tab/>
        <w:t>As to the new provision to the CBA at issue here, both parties participated in the process of amending the CBA</w:t>
      </w:r>
      <w:r w:rsidR="00A13A86">
        <w:rPr>
          <w:bCs/>
          <w:sz w:val="28"/>
          <w:szCs w:val="28"/>
        </w:rPr>
        <w:t xml:space="preserve"> and </w:t>
      </w:r>
      <w:r>
        <w:rPr>
          <w:bCs/>
          <w:sz w:val="28"/>
          <w:szCs w:val="28"/>
        </w:rPr>
        <w:t>each party signed the agreement</w:t>
      </w:r>
      <w:r w:rsidR="00A13A86">
        <w:rPr>
          <w:bCs/>
          <w:sz w:val="28"/>
          <w:szCs w:val="28"/>
        </w:rPr>
        <w:t xml:space="preserve"> – the City representative on August 23, 2023 and the Union representative </w:t>
      </w:r>
      <w:r>
        <w:rPr>
          <w:bCs/>
          <w:sz w:val="28"/>
          <w:szCs w:val="28"/>
        </w:rPr>
        <w:t xml:space="preserve">on </w:t>
      </w:r>
      <w:r w:rsidR="00A13A86">
        <w:rPr>
          <w:bCs/>
          <w:sz w:val="28"/>
          <w:szCs w:val="28"/>
        </w:rPr>
        <w:t>September 5,</w:t>
      </w:r>
      <w:r>
        <w:rPr>
          <w:bCs/>
          <w:sz w:val="28"/>
          <w:szCs w:val="28"/>
        </w:rPr>
        <w:t xml:space="preserve"> 2023</w:t>
      </w:r>
      <w:r w:rsidR="00A13A86">
        <w:rPr>
          <w:bCs/>
          <w:sz w:val="28"/>
          <w:szCs w:val="28"/>
        </w:rPr>
        <w:t>. T</w:t>
      </w:r>
      <w:r>
        <w:rPr>
          <w:bCs/>
          <w:sz w:val="28"/>
          <w:szCs w:val="28"/>
        </w:rPr>
        <w:t>he Union membership ratified the language agreed to by the Employer and added into the CBA as an amendment to Article 22, Section 1</w:t>
      </w:r>
      <w:r w:rsidR="00EB6867">
        <w:rPr>
          <w:bCs/>
          <w:sz w:val="28"/>
          <w:szCs w:val="28"/>
        </w:rPr>
        <w:t xml:space="preserve"> on September 5, 2023. </w:t>
      </w:r>
      <w:r w:rsidR="00DB12F8">
        <w:rPr>
          <w:bCs/>
          <w:sz w:val="28"/>
          <w:szCs w:val="28"/>
        </w:rPr>
        <w:t xml:space="preserve">The position taken by the </w:t>
      </w:r>
      <w:proofErr w:type="gramStart"/>
      <w:r w:rsidR="00DB12F8">
        <w:rPr>
          <w:bCs/>
          <w:sz w:val="28"/>
          <w:szCs w:val="28"/>
        </w:rPr>
        <w:t>City</w:t>
      </w:r>
      <w:proofErr w:type="gramEnd"/>
      <w:r w:rsidR="00DB12F8">
        <w:rPr>
          <w:bCs/>
          <w:sz w:val="28"/>
          <w:szCs w:val="28"/>
        </w:rPr>
        <w:t xml:space="preserve"> in this arbitration would negate that entire process. </w:t>
      </w:r>
    </w:p>
    <w:p w14:paraId="011E04FA" w14:textId="4AFBC582" w:rsidR="00640AB4" w:rsidRDefault="00F56BEA" w:rsidP="00806BBF">
      <w:pPr>
        <w:spacing w:after="240" w:line="360" w:lineRule="auto"/>
        <w:rPr>
          <w:bCs/>
          <w:sz w:val="28"/>
          <w:szCs w:val="28"/>
        </w:rPr>
      </w:pPr>
      <w:r>
        <w:rPr>
          <w:bCs/>
          <w:sz w:val="28"/>
          <w:szCs w:val="28"/>
        </w:rPr>
        <w:tab/>
      </w:r>
      <w:r w:rsidR="00DB12F8">
        <w:rPr>
          <w:bCs/>
          <w:sz w:val="28"/>
          <w:szCs w:val="28"/>
        </w:rPr>
        <w:t>It is t</w:t>
      </w:r>
      <w:r w:rsidR="00E27918">
        <w:rPr>
          <w:bCs/>
          <w:sz w:val="28"/>
          <w:szCs w:val="28"/>
        </w:rPr>
        <w:t>he</w:t>
      </w:r>
      <w:r w:rsidR="00DB12F8">
        <w:rPr>
          <w:bCs/>
          <w:sz w:val="28"/>
          <w:szCs w:val="28"/>
        </w:rPr>
        <w:t xml:space="preserve"> opinion of the arbitrator that the </w:t>
      </w:r>
      <w:proofErr w:type="gramStart"/>
      <w:r w:rsidR="00E27918">
        <w:rPr>
          <w:bCs/>
          <w:sz w:val="28"/>
          <w:szCs w:val="28"/>
        </w:rPr>
        <w:t>City</w:t>
      </w:r>
      <w:proofErr w:type="gramEnd"/>
      <w:r w:rsidR="00E27918">
        <w:rPr>
          <w:bCs/>
          <w:sz w:val="28"/>
          <w:szCs w:val="28"/>
        </w:rPr>
        <w:t xml:space="preserve"> violated Article 22, Section 1, of the CBA when it refused to place all bargaining unit members </w:t>
      </w:r>
      <w:r w:rsidR="00D41C78">
        <w:rPr>
          <w:bCs/>
          <w:sz w:val="28"/>
          <w:szCs w:val="28"/>
        </w:rPr>
        <w:t>i</w:t>
      </w:r>
      <w:r w:rsidR="00E27918">
        <w:rPr>
          <w:bCs/>
          <w:sz w:val="28"/>
          <w:szCs w:val="28"/>
        </w:rPr>
        <w:t xml:space="preserve">n </w:t>
      </w:r>
      <w:r w:rsidR="00D41C78">
        <w:rPr>
          <w:bCs/>
          <w:sz w:val="28"/>
          <w:szCs w:val="28"/>
        </w:rPr>
        <w:t>the</w:t>
      </w:r>
      <w:r w:rsidR="00E27918">
        <w:rPr>
          <w:bCs/>
          <w:sz w:val="28"/>
          <w:szCs w:val="28"/>
        </w:rPr>
        <w:t xml:space="preserve"> step that reflects their completed years of service as of September 30, 2023. </w:t>
      </w:r>
      <w:r w:rsidR="00453D6C">
        <w:rPr>
          <w:bCs/>
          <w:sz w:val="28"/>
          <w:szCs w:val="28"/>
        </w:rPr>
        <w:t xml:space="preserve"> </w:t>
      </w:r>
      <w:r w:rsidR="00806BBF">
        <w:rPr>
          <w:bCs/>
          <w:sz w:val="28"/>
          <w:szCs w:val="28"/>
        </w:rPr>
        <w:t xml:space="preserve">The grievance shall by sustained. </w:t>
      </w:r>
    </w:p>
    <w:p w14:paraId="5FC7E3BE" w14:textId="77777777" w:rsidR="00D41C78" w:rsidRDefault="00D41C78" w:rsidP="00D41C78">
      <w:pPr>
        <w:spacing w:after="240" w:line="360" w:lineRule="auto"/>
        <w:rPr>
          <w:bCs/>
          <w:sz w:val="28"/>
          <w:szCs w:val="28"/>
        </w:rPr>
      </w:pPr>
      <w:r>
        <w:rPr>
          <w:bCs/>
          <w:sz w:val="28"/>
          <w:szCs w:val="28"/>
        </w:rPr>
        <w:tab/>
        <w:t>In the</w:t>
      </w:r>
      <w:r w:rsidR="00DA7C79">
        <w:rPr>
          <w:bCs/>
          <w:sz w:val="28"/>
          <w:szCs w:val="28"/>
        </w:rPr>
        <w:t xml:space="preserve"> “Class Action Grievance” form</w:t>
      </w:r>
      <w:r>
        <w:rPr>
          <w:bCs/>
          <w:sz w:val="28"/>
          <w:szCs w:val="28"/>
        </w:rPr>
        <w:t xml:space="preserve"> submitted by the Union on October 31, 2023 the following remedy was requested: </w:t>
      </w:r>
    </w:p>
    <w:p w14:paraId="664825FD" w14:textId="3E089231" w:rsidR="00640AB4" w:rsidRDefault="00D41C78" w:rsidP="00D41C78">
      <w:pPr>
        <w:spacing w:after="240" w:line="360" w:lineRule="auto"/>
        <w:ind w:left="1440"/>
        <w:rPr>
          <w:bCs/>
          <w:sz w:val="28"/>
          <w:szCs w:val="28"/>
        </w:rPr>
      </w:pPr>
      <w:r>
        <w:rPr>
          <w:bCs/>
          <w:sz w:val="28"/>
          <w:szCs w:val="28"/>
        </w:rPr>
        <w:t xml:space="preserve">“All members of the Officers, Detectives, and Sergeants Bargaining Unit should be placed into the step reflecting their complete years of service as of September 30, 2023 . .  with retroactive backpay to the first pay period of October 2023.” (Employer Exhibit No.2a.) </w:t>
      </w:r>
      <w:r w:rsidR="00DA7C79">
        <w:rPr>
          <w:bCs/>
          <w:sz w:val="28"/>
          <w:szCs w:val="28"/>
        </w:rPr>
        <w:t xml:space="preserve">  </w:t>
      </w:r>
    </w:p>
    <w:p w14:paraId="65C35AF4" w14:textId="6D9B07B3" w:rsidR="00D41C78" w:rsidRDefault="00D41C78" w:rsidP="00D41C78">
      <w:pPr>
        <w:spacing w:after="240" w:line="360" w:lineRule="auto"/>
        <w:rPr>
          <w:bCs/>
          <w:sz w:val="28"/>
          <w:szCs w:val="28"/>
        </w:rPr>
      </w:pPr>
      <w:r>
        <w:rPr>
          <w:bCs/>
          <w:sz w:val="28"/>
          <w:szCs w:val="28"/>
        </w:rPr>
        <w:tab/>
        <w:t xml:space="preserve">The arbitrator finds that remedy to be appropriate and so orders the City to implement that remedy as soon as practicable. </w:t>
      </w:r>
      <w:r w:rsidR="00A34FF7">
        <w:rPr>
          <w:bCs/>
          <w:sz w:val="28"/>
          <w:szCs w:val="28"/>
        </w:rPr>
        <w:t>The request by the Union</w:t>
      </w:r>
      <w:r w:rsidR="00DB12F8">
        <w:rPr>
          <w:bCs/>
          <w:sz w:val="28"/>
          <w:szCs w:val="28"/>
        </w:rPr>
        <w:t>’s attorney to include</w:t>
      </w:r>
      <w:r w:rsidR="00A34FF7">
        <w:rPr>
          <w:bCs/>
          <w:sz w:val="28"/>
          <w:szCs w:val="28"/>
        </w:rPr>
        <w:t xml:space="preserve"> interest and attorney’s fees </w:t>
      </w:r>
      <w:r w:rsidR="00DB12F8">
        <w:rPr>
          <w:bCs/>
          <w:sz w:val="28"/>
          <w:szCs w:val="28"/>
        </w:rPr>
        <w:t xml:space="preserve">in the remedy </w:t>
      </w:r>
      <w:r w:rsidR="00A34FF7">
        <w:rPr>
          <w:bCs/>
          <w:sz w:val="28"/>
          <w:szCs w:val="28"/>
        </w:rPr>
        <w:t>is denied.</w:t>
      </w:r>
    </w:p>
    <w:p w14:paraId="2AA538C3" w14:textId="77777777" w:rsidR="00FF26CF" w:rsidRDefault="00FF26CF" w:rsidP="00DB12F8">
      <w:pPr>
        <w:spacing w:after="240" w:line="360" w:lineRule="auto"/>
        <w:jc w:val="center"/>
        <w:rPr>
          <w:b/>
          <w:sz w:val="28"/>
          <w:szCs w:val="28"/>
          <w:u w:val="single"/>
        </w:rPr>
      </w:pPr>
    </w:p>
    <w:p w14:paraId="14C5DF3C" w14:textId="0A2E3B4A" w:rsidR="00CC0E5F" w:rsidRDefault="00CC0E5F" w:rsidP="00DB12F8">
      <w:pPr>
        <w:spacing w:after="240" w:line="360" w:lineRule="auto"/>
        <w:jc w:val="center"/>
        <w:rPr>
          <w:b/>
          <w:sz w:val="28"/>
          <w:szCs w:val="28"/>
          <w:u w:val="single"/>
        </w:rPr>
      </w:pPr>
      <w:r w:rsidRPr="00DE3741">
        <w:rPr>
          <w:b/>
          <w:sz w:val="28"/>
          <w:szCs w:val="28"/>
          <w:u w:val="single"/>
        </w:rPr>
        <w:t>AWARD</w:t>
      </w:r>
    </w:p>
    <w:p w14:paraId="58157406" w14:textId="4A10F4CD" w:rsidR="00A34FF7" w:rsidRPr="00EB3E8E" w:rsidRDefault="00EB3E8E" w:rsidP="009B1C68">
      <w:pPr>
        <w:spacing w:after="240" w:line="360" w:lineRule="auto"/>
        <w:rPr>
          <w:bCs/>
          <w:sz w:val="28"/>
          <w:szCs w:val="28"/>
        </w:rPr>
      </w:pPr>
      <w:r>
        <w:rPr>
          <w:bCs/>
          <w:sz w:val="28"/>
          <w:szCs w:val="28"/>
        </w:rPr>
        <w:tab/>
        <w:t xml:space="preserve"> </w:t>
      </w:r>
      <w:r w:rsidR="00AB575A">
        <w:rPr>
          <w:bCs/>
          <w:sz w:val="28"/>
          <w:szCs w:val="28"/>
        </w:rPr>
        <w:t xml:space="preserve">The grievance is allowed. The </w:t>
      </w:r>
      <w:proofErr w:type="gramStart"/>
      <w:r w:rsidR="00AB575A">
        <w:rPr>
          <w:bCs/>
          <w:sz w:val="28"/>
          <w:szCs w:val="28"/>
        </w:rPr>
        <w:t>City</w:t>
      </w:r>
      <w:proofErr w:type="gramEnd"/>
      <w:r w:rsidR="00AB575A">
        <w:rPr>
          <w:bCs/>
          <w:sz w:val="28"/>
          <w:szCs w:val="28"/>
        </w:rPr>
        <w:t xml:space="preserve"> is directed to comply with the foregoing findings of the arbitrator and to make whole all bargaining unit members impacted by its violation of the CBA. </w:t>
      </w:r>
    </w:p>
    <w:p w14:paraId="5EB1CF00" w14:textId="078C4886" w:rsidR="00324E16" w:rsidRDefault="00E02E7E" w:rsidP="00EB3E8E">
      <w:pPr>
        <w:spacing w:after="0" w:line="240" w:lineRule="auto"/>
        <w:ind w:left="4320" w:firstLine="720"/>
        <w:rPr>
          <w:sz w:val="28"/>
          <w:szCs w:val="28"/>
        </w:rPr>
      </w:pPr>
      <w:r w:rsidRPr="00E02E7E">
        <w:rPr>
          <w:i/>
          <w:iCs/>
          <w:sz w:val="28"/>
          <w:szCs w:val="28"/>
          <w:u w:val="single"/>
        </w:rPr>
        <w:t>/</w:t>
      </w:r>
      <w:r w:rsidR="002C1CDA" w:rsidRPr="00E02E7E">
        <w:rPr>
          <w:i/>
          <w:iCs/>
          <w:sz w:val="28"/>
          <w:szCs w:val="28"/>
          <w:u w:val="single"/>
        </w:rPr>
        <w:t>s/</w:t>
      </w:r>
      <w:r w:rsidRPr="00E02E7E">
        <w:rPr>
          <w:i/>
          <w:iCs/>
          <w:sz w:val="28"/>
          <w:szCs w:val="28"/>
          <w:u w:val="single"/>
        </w:rPr>
        <w:t xml:space="preserve"> Theodore H. O’Brien </w:t>
      </w:r>
      <w:r w:rsidR="00324E16">
        <w:rPr>
          <w:sz w:val="28"/>
          <w:szCs w:val="28"/>
        </w:rPr>
        <w:tab/>
      </w:r>
      <w:r w:rsidR="00324E16">
        <w:rPr>
          <w:sz w:val="28"/>
          <w:szCs w:val="28"/>
        </w:rPr>
        <w:tab/>
      </w:r>
      <w:r w:rsidR="00324E16">
        <w:rPr>
          <w:sz w:val="28"/>
          <w:szCs w:val="28"/>
        </w:rPr>
        <w:tab/>
      </w:r>
      <w:r w:rsidR="002853F5">
        <w:rPr>
          <w:sz w:val="28"/>
          <w:szCs w:val="28"/>
        </w:rPr>
        <w:tab/>
        <w:t>Theodore</w:t>
      </w:r>
      <w:r w:rsidR="00324E16">
        <w:rPr>
          <w:sz w:val="28"/>
          <w:szCs w:val="28"/>
        </w:rPr>
        <w:t xml:space="preserve"> H. O’Brien, Arbitrator</w:t>
      </w:r>
    </w:p>
    <w:p w14:paraId="3AC7FEAC" w14:textId="3F476ACB" w:rsidR="003F5215" w:rsidRPr="00C21163" w:rsidRDefault="003F5215" w:rsidP="00A34FF7">
      <w:pPr>
        <w:spacing w:after="0" w:line="240" w:lineRule="auto"/>
        <w:ind w:left="5040"/>
        <w:rPr>
          <w:sz w:val="28"/>
          <w:szCs w:val="28"/>
        </w:rPr>
      </w:pPr>
      <w:r w:rsidRPr="00C21163">
        <w:rPr>
          <w:sz w:val="28"/>
          <w:szCs w:val="28"/>
        </w:rPr>
        <w:t>November 12, 2024</w:t>
      </w:r>
    </w:p>
    <w:sectPr w:rsidR="003F5215" w:rsidRPr="00C211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742FF" w14:textId="77777777" w:rsidR="00482DA4" w:rsidRDefault="00482DA4" w:rsidP="00EC5A39">
      <w:pPr>
        <w:spacing w:after="0" w:line="240" w:lineRule="auto"/>
      </w:pPr>
      <w:r>
        <w:separator/>
      </w:r>
    </w:p>
  </w:endnote>
  <w:endnote w:type="continuationSeparator" w:id="0">
    <w:p w14:paraId="254397D7" w14:textId="77777777" w:rsidR="00482DA4" w:rsidRDefault="00482DA4" w:rsidP="00EC5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5229530"/>
      <w:docPartObj>
        <w:docPartGallery w:val="Page Numbers (Bottom of Page)"/>
        <w:docPartUnique/>
      </w:docPartObj>
    </w:sdtPr>
    <w:sdtEndPr>
      <w:rPr>
        <w:noProof/>
      </w:rPr>
    </w:sdtEndPr>
    <w:sdtContent>
      <w:p w14:paraId="29802133" w14:textId="7279140B" w:rsidR="00C73C66" w:rsidRDefault="00C73C66">
        <w:pPr>
          <w:pStyle w:val="Footer"/>
          <w:jc w:val="right"/>
        </w:pPr>
        <w:r>
          <w:fldChar w:fldCharType="begin"/>
        </w:r>
        <w:r>
          <w:instrText xml:space="preserve"> PAGE   \* MERGEFORMAT </w:instrText>
        </w:r>
        <w:r>
          <w:fldChar w:fldCharType="separate"/>
        </w:r>
        <w:r w:rsidR="00C156A7">
          <w:rPr>
            <w:noProof/>
          </w:rPr>
          <w:t>1</w:t>
        </w:r>
        <w:r>
          <w:rPr>
            <w:noProof/>
          </w:rPr>
          <w:fldChar w:fldCharType="end"/>
        </w:r>
      </w:p>
    </w:sdtContent>
  </w:sdt>
  <w:p w14:paraId="338668A3" w14:textId="77777777" w:rsidR="00C73C66" w:rsidRDefault="00C7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96B75" w14:textId="77777777" w:rsidR="00482DA4" w:rsidRDefault="00482DA4" w:rsidP="00EC5A39">
      <w:pPr>
        <w:spacing w:after="0" w:line="240" w:lineRule="auto"/>
      </w:pPr>
      <w:r>
        <w:separator/>
      </w:r>
    </w:p>
  </w:footnote>
  <w:footnote w:type="continuationSeparator" w:id="0">
    <w:p w14:paraId="5C1985A4" w14:textId="77777777" w:rsidR="00482DA4" w:rsidRDefault="00482DA4" w:rsidP="00EC5A39">
      <w:pPr>
        <w:spacing w:after="0" w:line="240" w:lineRule="auto"/>
      </w:pPr>
      <w:r>
        <w:continuationSeparator/>
      </w:r>
    </w:p>
  </w:footnote>
  <w:footnote w:id="1">
    <w:p w14:paraId="633F3957" w14:textId="0BDB2A44" w:rsidR="004566D3" w:rsidRDefault="004566D3">
      <w:pPr>
        <w:pStyle w:val="FootnoteText"/>
      </w:pPr>
      <w:r>
        <w:rPr>
          <w:rStyle w:val="FootnoteReference"/>
        </w:rPr>
        <w:footnoteRef/>
      </w:r>
      <w:r>
        <w:t xml:space="preserve">  “Brief of Employer” page 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64265"/>
    <w:multiLevelType w:val="hybridMultilevel"/>
    <w:tmpl w:val="61E4F5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112B7"/>
    <w:multiLevelType w:val="hybridMultilevel"/>
    <w:tmpl w:val="2B62C678"/>
    <w:lvl w:ilvl="0" w:tplc="855215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AD0EF8"/>
    <w:multiLevelType w:val="hybridMultilevel"/>
    <w:tmpl w:val="882EC20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6C1720"/>
    <w:multiLevelType w:val="hybridMultilevel"/>
    <w:tmpl w:val="5D3A0028"/>
    <w:lvl w:ilvl="0" w:tplc="A1F82D6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A131F6"/>
    <w:multiLevelType w:val="hybridMultilevel"/>
    <w:tmpl w:val="9386205E"/>
    <w:lvl w:ilvl="0" w:tplc="893659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B338F5"/>
    <w:multiLevelType w:val="hybridMultilevel"/>
    <w:tmpl w:val="CD68C7E6"/>
    <w:lvl w:ilvl="0" w:tplc="BFD03F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559EC"/>
    <w:multiLevelType w:val="hybridMultilevel"/>
    <w:tmpl w:val="8C225AA2"/>
    <w:lvl w:ilvl="0" w:tplc="59AC71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E73D7"/>
    <w:multiLevelType w:val="hybridMultilevel"/>
    <w:tmpl w:val="8C587A74"/>
    <w:lvl w:ilvl="0" w:tplc="0CD24F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B607E8"/>
    <w:multiLevelType w:val="hybridMultilevel"/>
    <w:tmpl w:val="35B6E7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A52638"/>
    <w:multiLevelType w:val="hybridMultilevel"/>
    <w:tmpl w:val="1E108D82"/>
    <w:lvl w:ilvl="0" w:tplc="92F444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BA1BF9"/>
    <w:multiLevelType w:val="hybridMultilevel"/>
    <w:tmpl w:val="19A08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675297">
    <w:abstractNumId w:val="9"/>
  </w:num>
  <w:num w:numId="2" w16cid:durableId="205413395">
    <w:abstractNumId w:val="0"/>
  </w:num>
  <w:num w:numId="3" w16cid:durableId="622347985">
    <w:abstractNumId w:val="8"/>
  </w:num>
  <w:num w:numId="4" w16cid:durableId="1987733665">
    <w:abstractNumId w:val="3"/>
  </w:num>
  <w:num w:numId="5" w16cid:durableId="1812285006">
    <w:abstractNumId w:val="7"/>
  </w:num>
  <w:num w:numId="6" w16cid:durableId="2086222790">
    <w:abstractNumId w:val="4"/>
  </w:num>
  <w:num w:numId="7" w16cid:durableId="2126921169">
    <w:abstractNumId w:val="5"/>
  </w:num>
  <w:num w:numId="8" w16cid:durableId="716009124">
    <w:abstractNumId w:val="1"/>
  </w:num>
  <w:num w:numId="9" w16cid:durableId="1999188889">
    <w:abstractNumId w:val="10"/>
  </w:num>
  <w:num w:numId="10" w16cid:durableId="1963924103">
    <w:abstractNumId w:val="6"/>
  </w:num>
  <w:num w:numId="11" w16cid:durableId="1556891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50"/>
    <w:rsid w:val="00001D14"/>
    <w:rsid w:val="0000520E"/>
    <w:rsid w:val="000210A2"/>
    <w:rsid w:val="00022A48"/>
    <w:rsid w:val="0004065B"/>
    <w:rsid w:val="00041F1A"/>
    <w:rsid w:val="00042A93"/>
    <w:rsid w:val="00047D17"/>
    <w:rsid w:val="00051235"/>
    <w:rsid w:val="00060484"/>
    <w:rsid w:val="0006747B"/>
    <w:rsid w:val="0007175D"/>
    <w:rsid w:val="00073C20"/>
    <w:rsid w:val="00077975"/>
    <w:rsid w:val="0008536E"/>
    <w:rsid w:val="00090B6E"/>
    <w:rsid w:val="00092735"/>
    <w:rsid w:val="000B4CA2"/>
    <w:rsid w:val="000B534F"/>
    <w:rsid w:val="000C0278"/>
    <w:rsid w:val="000C2047"/>
    <w:rsid w:val="000C5249"/>
    <w:rsid w:val="000D1979"/>
    <w:rsid w:val="000E1A87"/>
    <w:rsid w:val="000E2C0E"/>
    <w:rsid w:val="000E540E"/>
    <w:rsid w:val="000E7A9F"/>
    <w:rsid w:val="00101E28"/>
    <w:rsid w:val="00107489"/>
    <w:rsid w:val="00114D1D"/>
    <w:rsid w:val="0011634A"/>
    <w:rsid w:val="001203ED"/>
    <w:rsid w:val="00123C1A"/>
    <w:rsid w:val="00133D21"/>
    <w:rsid w:val="00140B06"/>
    <w:rsid w:val="00142003"/>
    <w:rsid w:val="0014449B"/>
    <w:rsid w:val="00144E44"/>
    <w:rsid w:val="001534CC"/>
    <w:rsid w:val="00160837"/>
    <w:rsid w:val="001661E5"/>
    <w:rsid w:val="001736E5"/>
    <w:rsid w:val="00173E3D"/>
    <w:rsid w:val="00175EF2"/>
    <w:rsid w:val="00180D66"/>
    <w:rsid w:val="0018141B"/>
    <w:rsid w:val="00193530"/>
    <w:rsid w:val="0019378E"/>
    <w:rsid w:val="0019780A"/>
    <w:rsid w:val="001A0AE7"/>
    <w:rsid w:val="001B6017"/>
    <w:rsid w:val="001C1141"/>
    <w:rsid w:val="002075C4"/>
    <w:rsid w:val="00214BAA"/>
    <w:rsid w:val="00216905"/>
    <w:rsid w:val="00225046"/>
    <w:rsid w:val="00225E22"/>
    <w:rsid w:val="002332A5"/>
    <w:rsid w:val="00236CA6"/>
    <w:rsid w:val="0024082A"/>
    <w:rsid w:val="00241013"/>
    <w:rsid w:val="0024185D"/>
    <w:rsid w:val="002420F3"/>
    <w:rsid w:val="0025525A"/>
    <w:rsid w:val="00257DD9"/>
    <w:rsid w:val="002631BE"/>
    <w:rsid w:val="002708A1"/>
    <w:rsid w:val="002742B7"/>
    <w:rsid w:val="002853F5"/>
    <w:rsid w:val="00295D28"/>
    <w:rsid w:val="002B77B4"/>
    <w:rsid w:val="002C0965"/>
    <w:rsid w:val="002C1A9A"/>
    <w:rsid w:val="002C1CDA"/>
    <w:rsid w:val="002C508A"/>
    <w:rsid w:val="002C60CC"/>
    <w:rsid w:val="002C6562"/>
    <w:rsid w:val="002C6F56"/>
    <w:rsid w:val="002D0CD9"/>
    <w:rsid w:val="002D4DFE"/>
    <w:rsid w:val="002F0E8C"/>
    <w:rsid w:val="00305E84"/>
    <w:rsid w:val="00312BC9"/>
    <w:rsid w:val="00312D96"/>
    <w:rsid w:val="003239CA"/>
    <w:rsid w:val="00324E16"/>
    <w:rsid w:val="0032582F"/>
    <w:rsid w:val="0033259B"/>
    <w:rsid w:val="0033794A"/>
    <w:rsid w:val="00340132"/>
    <w:rsid w:val="0034251F"/>
    <w:rsid w:val="00350335"/>
    <w:rsid w:val="00350696"/>
    <w:rsid w:val="003579ED"/>
    <w:rsid w:val="0038104D"/>
    <w:rsid w:val="00385CE0"/>
    <w:rsid w:val="00386528"/>
    <w:rsid w:val="003A0F9D"/>
    <w:rsid w:val="003A5746"/>
    <w:rsid w:val="003A60D7"/>
    <w:rsid w:val="003C7C39"/>
    <w:rsid w:val="003D03AC"/>
    <w:rsid w:val="003D0B5F"/>
    <w:rsid w:val="003D0DCE"/>
    <w:rsid w:val="003F1328"/>
    <w:rsid w:val="003F5215"/>
    <w:rsid w:val="003F6F7B"/>
    <w:rsid w:val="004076CC"/>
    <w:rsid w:val="004115E7"/>
    <w:rsid w:val="00414BD9"/>
    <w:rsid w:val="00416423"/>
    <w:rsid w:val="00416FEB"/>
    <w:rsid w:val="00421BEC"/>
    <w:rsid w:val="0045006E"/>
    <w:rsid w:val="004536D1"/>
    <w:rsid w:val="00453D6C"/>
    <w:rsid w:val="00455446"/>
    <w:rsid w:val="004566D3"/>
    <w:rsid w:val="004726CF"/>
    <w:rsid w:val="004728F4"/>
    <w:rsid w:val="0047658E"/>
    <w:rsid w:val="00482DA4"/>
    <w:rsid w:val="004919F0"/>
    <w:rsid w:val="00492FDA"/>
    <w:rsid w:val="0049620D"/>
    <w:rsid w:val="004A4F43"/>
    <w:rsid w:val="004A62D9"/>
    <w:rsid w:val="004B3572"/>
    <w:rsid w:val="004B795D"/>
    <w:rsid w:val="004C2D0B"/>
    <w:rsid w:val="004D14A5"/>
    <w:rsid w:val="004D1D5A"/>
    <w:rsid w:val="004D21AB"/>
    <w:rsid w:val="004D2E7E"/>
    <w:rsid w:val="004D56FE"/>
    <w:rsid w:val="004D6E0D"/>
    <w:rsid w:val="004E0735"/>
    <w:rsid w:val="004E0D93"/>
    <w:rsid w:val="004E0F81"/>
    <w:rsid w:val="004E14CF"/>
    <w:rsid w:val="004E2ADD"/>
    <w:rsid w:val="004F3F79"/>
    <w:rsid w:val="004F6307"/>
    <w:rsid w:val="004F6C47"/>
    <w:rsid w:val="00500CC9"/>
    <w:rsid w:val="005012B6"/>
    <w:rsid w:val="00502ECE"/>
    <w:rsid w:val="005053BF"/>
    <w:rsid w:val="005078C1"/>
    <w:rsid w:val="00511D72"/>
    <w:rsid w:val="00514E91"/>
    <w:rsid w:val="00521F93"/>
    <w:rsid w:val="00525A94"/>
    <w:rsid w:val="005301B1"/>
    <w:rsid w:val="005377DC"/>
    <w:rsid w:val="005558F2"/>
    <w:rsid w:val="005573D2"/>
    <w:rsid w:val="00573D91"/>
    <w:rsid w:val="00581FD9"/>
    <w:rsid w:val="00594977"/>
    <w:rsid w:val="005A5CF0"/>
    <w:rsid w:val="005B4E08"/>
    <w:rsid w:val="005D0889"/>
    <w:rsid w:val="005D1616"/>
    <w:rsid w:val="005D3A86"/>
    <w:rsid w:val="005E41B8"/>
    <w:rsid w:val="005E5A5C"/>
    <w:rsid w:val="005E79FB"/>
    <w:rsid w:val="005F1831"/>
    <w:rsid w:val="005F1A46"/>
    <w:rsid w:val="005F4112"/>
    <w:rsid w:val="005F5C2D"/>
    <w:rsid w:val="00620643"/>
    <w:rsid w:val="00626748"/>
    <w:rsid w:val="00634CEB"/>
    <w:rsid w:val="00636CBB"/>
    <w:rsid w:val="00640AB4"/>
    <w:rsid w:val="00641655"/>
    <w:rsid w:val="00660205"/>
    <w:rsid w:val="0066234A"/>
    <w:rsid w:val="00663892"/>
    <w:rsid w:val="00664413"/>
    <w:rsid w:val="0066496E"/>
    <w:rsid w:val="006678B4"/>
    <w:rsid w:val="00667A28"/>
    <w:rsid w:val="00673D3D"/>
    <w:rsid w:val="006809EA"/>
    <w:rsid w:val="0068163A"/>
    <w:rsid w:val="006856E9"/>
    <w:rsid w:val="00690368"/>
    <w:rsid w:val="0069107F"/>
    <w:rsid w:val="0069501F"/>
    <w:rsid w:val="006A0D05"/>
    <w:rsid w:val="006A30BA"/>
    <w:rsid w:val="006A73BB"/>
    <w:rsid w:val="006B30A1"/>
    <w:rsid w:val="006B3F85"/>
    <w:rsid w:val="006B456E"/>
    <w:rsid w:val="006B69D4"/>
    <w:rsid w:val="006B7BD1"/>
    <w:rsid w:val="006C3D99"/>
    <w:rsid w:val="006C4CB0"/>
    <w:rsid w:val="006D4107"/>
    <w:rsid w:val="006E07EE"/>
    <w:rsid w:val="006E3DC1"/>
    <w:rsid w:val="006F05FD"/>
    <w:rsid w:val="006F0DEB"/>
    <w:rsid w:val="00701BF8"/>
    <w:rsid w:val="0070243C"/>
    <w:rsid w:val="0070787D"/>
    <w:rsid w:val="0071094D"/>
    <w:rsid w:val="00710D57"/>
    <w:rsid w:val="00714BB5"/>
    <w:rsid w:val="007155E2"/>
    <w:rsid w:val="0072227C"/>
    <w:rsid w:val="0072399E"/>
    <w:rsid w:val="007246FD"/>
    <w:rsid w:val="00731783"/>
    <w:rsid w:val="00733508"/>
    <w:rsid w:val="0073730A"/>
    <w:rsid w:val="007424E2"/>
    <w:rsid w:val="00747C6F"/>
    <w:rsid w:val="007508BB"/>
    <w:rsid w:val="00752550"/>
    <w:rsid w:val="00752F57"/>
    <w:rsid w:val="00753C7D"/>
    <w:rsid w:val="00754EF7"/>
    <w:rsid w:val="00756600"/>
    <w:rsid w:val="00765147"/>
    <w:rsid w:val="0076612A"/>
    <w:rsid w:val="00772CF0"/>
    <w:rsid w:val="007805BD"/>
    <w:rsid w:val="007916FA"/>
    <w:rsid w:val="00791AE0"/>
    <w:rsid w:val="00793ED8"/>
    <w:rsid w:val="007979E7"/>
    <w:rsid w:val="007A2556"/>
    <w:rsid w:val="007A6729"/>
    <w:rsid w:val="007B0663"/>
    <w:rsid w:val="007B090B"/>
    <w:rsid w:val="007B11D7"/>
    <w:rsid w:val="007B3FAB"/>
    <w:rsid w:val="007B4544"/>
    <w:rsid w:val="007B5B54"/>
    <w:rsid w:val="007C1035"/>
    <w:rsid w:val="007C1C7C"/>
    <w:rsid w:val="007C3985"/>
    <w:rsid w:val="007C655D"/>
    <w:rsid w:val="007D2834"/>
    <w:rsid w:val="007D6E20"/>
    <w:rsid w:val="007E393B"/>
    <w:rsid w:val="007F2025"/>
    <w:rsid w:val="007F6018"/>
    <w:rsid w:val="00804A2E"/>
    <w:rsid w:val="0080683F"/>
    <w:rsid w:val="00806BBF"/>
    <w:rsid w:val="0081660E"/>
    <w:rsid w:val="00820E78"/>
    <w:rsid w:val="0082360E"/>
    <w:rsid w:val="00827468"/>
    <w:rsid w:val="00830A5F"/>
    <w:rsid w:val="00833F7E"/>
    <w:rsid w:val="008358EA"/>
    <w:rsid w:val="0086737D"/>
    <w:rsid w:val="00872633"/>
    <w:rsid w:val="00886220"/>
    <w:rsid w:val="00891B1C"/>
    <w:rsid w:val="00897173"/>
    <w:rsid w:val="008A1F4B"/>
    <w:rsid w:val="008A2C7C"/>
    <w:rsid w:val="008B512A"/>
    <w:rsid w:val="008B6178"/>
    <w:rsid w:val="008C21D0"/>
    <w:rsid w:val="008C53ED"/>
    <w:rsid w:val="008C6D95"/>
    <w:rsid w:val="008D0F78"/>
    <w:rsid w:val="008D370A"/>
    <w:rsid w:val="008E0E7F"/>
    <w:rsid w:val="008E0F52"/>
    <w:rsid w:val="008E3F3B"/>
    <w:rsid w:val="008E6005"/>
    <w:rsid w:val="008F0F8A"/>
    <w:rsid w:val="008F6CD2"/>
    <w:rsid w:val="009050A7"/>
    <w:rsid w:val="0091595D"/>
    <w:rsid w:val="00924CC0"/>
    <w:rsid w:val="0093231C"/>
    <w:rsid w:val="00932650"/>
    <w:rsid w:val="009441D5"/>
    <w:rsid w:val="00946387"/>
    <w:rsid w:val="00951570"/>
    <w:rsid w:val="00955731"/>
    <w:rsid w:val="0096183C"/>
    <w:rsid w:val="009710A5"/>
    <w:rsid w:val="00974C9B"/>
    <w:rsid w:val="009757E7"/>
    <w:rsid w:val="009802DB"/>
    <w:rsid w:val="00986F14"/>
    <w:rsid w:val="00990CEA"/>
    <w:rsid w:val="009A27C1"/>
    <w:rsid w:val="009A3157"/>
    <w:rsid w:val="009A3674"/>
    <w:rsid w:val="009A4E02"/>
    <w:rsid w:val="009A7317"/>
    <w:rsid w:val="009B010D"/>
    <w:rsid w:val="009B1C68"/>
    <w:rsid w:val="009C06E3"/>
    <w:rsid w:val="009C235D"/>
    <w:rsid w:val="009C578A"/>
    <w:rsid w:val="009C7F78"/>
    <w:rsid w:val="009D5073"/>
    <w:rsid w:val="009E14FD"/>
    <w:rsid w:val="009E76A5"/>
    <w:rsid w:val="009F3E29"/>
    <w:rsid w:val="00A01326"/>
    <w:rsid w:val="00A02EDD"/>
    <w:rsid w:val="00A13A86"/>
    <w:rsid w:val="00A1728D"/>
    <w:rsid w:val="00A21424"/>
    <w:rsid w:val="00A24242"/>
    <w:rsid w:val="00A34FF7"/>
    <w:rsid w:val="00A50ABC"/>
    <w:rsid w:val="00A54A75"/>
    <w:rsid w:val="00A5696C"/>
    <w:rsid w:val="00A6131D"/>
    <w:rsid w:val="00A62706"/>
    <w:rsid w:val="00A72A03"/>
    <w:rsid w:val="00A73222"/>
    <w:rsid w:val="00A77FAB"/>
    <w:rsid w:val="00A81DE5"/>
    <w:rsid w:val="00A90F7C"/>
    <w:rsid w:val="00A910A4"/>
    <w:rsid w:val="00A97693"/>
    <w:rsid w:val="00AA028A"/>
    <w:rsid w:val="00AA29A7"/>
    <w:rsid w:val="00AA5960"/>
    <w:rsid w:val="00AB2C45"/>
    <w:rsid w:val="00AB34D2"/>
    <w:rsid w:val="00AB4831"/>
    <w:rsid w:val="00AB575A"/>
    <w:rsid w:val="00AC4A81"/>
    <w:rsid w:val="00AC5664"/>
    <w:rsid w:val="00AC5B8A"/>
    <w:rsid w:val="00AF1B3D"/>
    <w:rsid w:val="00AF34F6"/>
    <w:rsid w:val="00B00B0A"/>
    <w:rsid w:val="00B04FCD"/>
    <w:rsid w:val="00B13E32"/>
    <w:rsid w:val="00B15D28"/>
    <w:rsid w:val="00B272A1"/>
    <w:rsid w:val="00B506DF"/>
    <w:rsid w:val="00B50EF0"/>
    <w:rsid w:val="00B54992"/>
    <w:rsid w:val="00B649A8"/>
    <w:rsid w:val="00B64D50"/>
    <w:rsid w:val="00B703BA"/>
    <w:rsid w:val="00B76C4B"/>
    <w:rsid w:val="00B82F75"/>
    <w:rsid w:val="00B84508"/>
    <w:rsid w:val="00B917A4"/>
    <w:rsid w:val="00BA40FF"/>
    <w:rsid w:val="00BB5CC4"/>
    <w:rsid w:val="00BC0A82"/>
    <w:rsid w:val="00BC605F"/>
    <w:rsid w:val="00BD52BA"/>
    <w:rsid w:val="00BD5C58"/>
    <w:rsid w:val="00BD698F"/>
    <w:rsid w:val="00BD72B1"/>
    <w:rsid w:val="00BF4EA1"/>
    <w:rsid w:val="00BF5544"/>
    <w:rsid w:val="00C00800"/>
    <w:rsid w:val="00C00BAF"/>
    <w:rsid w:val="00C0300E"/>
    <w:rsid w:val="00C156A7"/>
    <w:rsid w:val="00C21163"/>
    <w:rsid w:val="00C34C37"/>
    <w:rsid w:val="00C3645A"/>
    <w:rsid w:val="00C40D19"/>
    <w:rsid w:val="00C464DF"/>
    <w:rsid w:val="00C54E9E"/>
    <w:rsid w:val="00C679D3"/>
    <w:rsid w:val="00C731F5"/>
    <w:rsid w:val="00C73C66"/>
    <w:rsid w:val="00C91446"/>
    <w:rsid w:val="00CA5A9C"/>
    <w:rsid w:val="00CB3F18"/>
    <w:rsid w:val="00CB5CB1"/>
    <w:rsid w:val="00CC033D"/>
    <w:rsid w:val="00CC0E5F"/>
    <w:rsid w:val="00CC49E8"/>
    <w:rsid w:val="00CC5B14"/>
    <w:rsid w:val="00CC6473"/>
    <w:rsid w:val="00CC766B"/>
    <w:rsid w:val="00CD2C78"/>
    <w:rsid w:val="00CD45AF"/>
    <w:rsid w:val="00CE148C"/>
    <w:rsid w:val="00CE3CA8"/>
    <w:rsid w:val="00CF1947"/>
    <w:rsid w:val="00CF48EF"/>
    <w:rsid w:val="00D07A65"/>
    <w:rsid w:val="00D1056B"/>
    <w:rsid w:val="00D21325"/>
    <w:rsid w:val="00D24115"/>
    <w:rsid w:val="00D30CDA"/>
    <w:rsid w:val="00D31A96"/>
    <w:rsid w:val="00D41C78"/>
    <w:rsid w:val="00D52761"/>
    <w:rsid w:val="00D540B2"/>
    <w:rsid w:val="00D54AFA"/>
    <w:rsid w:val="00D55EEC"/>
    <w:rsid w:val="00D6121C"/>
    <w:rsid w:val="00D62D22"/>
    <w:rsid w:val="00D82EFB"/>
    <w:rsid w:val="00D83E65"/>
    <w:rsid w:val="00D8422B"/>
    <w:rsid w:val="00D84461"/>
    <w:rsid w:val="00D847BC"/>
    <w:rsid w:val="00D9047D"/>
    <w:rsid w:val="00D90C2B"/>
    <w:rsid w:val="00DA34FB"/>
    <w:rsid w:val="00DA7C79"/>
    <w:rsid w:val="00DB12F8"/>
    <w:rsid w:val="00DB523C"/>
    <w:rsid w:val="00DB6D60"/>
    <w:rsid w:val="00DD0173"/>
    <w:rsid w:val="00DD4EF0"/>
    <w:rsid w:val="00DD6713"/>
    <w:rsid w:val="00DD6F30"/>
    <w:rsid w:val="00DE1D31"/>
    <w:rsid w:val="00DE3741"/>
    <w:rsid w:val="00DE3A39"/>
    <w:rsid w:val="00DE3DBC"/>
    <w:rsid w:val="00E02E7E"/>
    <w:rsid w:val="00E143F3"/>
    <w:rsid w:val="00E20143"/>
    <w:rsid w:val="00E27918"/>
    <w:rsid w:val="00E33B0A"/>
    <w:rsid w:val="00E357B9"/>
    <w:rsid w:val="00E46FA7"/>
    <w:rsid w:val="00E52185"/>
    <w:rsid w:val="00E525C0"/>
    <w:rsid w:val="00E562F6"/>
    <w:rsid w:val="00E57C3E"/>
    <w:rsid w:val="00E75A52"/>
    <w:rsid w:val="00E76496"/>
    <w:rsid w:val="00E80CFA"/>
    <w:rsid w:val="00E8117B"/>
    <w:rsid w:val="00E83913"/>
    <w:rsid w:val="00E844A7"/>
    <w:rsid w:val="00E84843"/>
    <w:rsid w:val="00E849E3"/>
    <w:rsid w:val="00E861E3"/>
    <w:rsid w:val="00E874AA"/>
    <w:rsid w:val="00E91C3F"/>
    <w:rsid w:val="00E960B0"/>
    <w:rsid w:val="00E96308"/>
    <w:rsid w:val="00EA44C7"/>
    <w:rsid w:val="00EB0435"/>
    <w:rsid w:val="00EB061B"/>
    <w:rsid w:val="00EB3689"/>
    <w:rsid w:val="00EB3E8E"/>
    <w:rsid w:val="00EB6867"/>
    <w:rsid w:val="00EC0CE7"/>
    <w:rsid w:val="00EC0E92"/>
    <w:rsid w:val="00EC21CD"/>
    <w:rsid w:val="00EC2E6B"/>
    <w:rsid w:val="00EC5A39"/>
    <w:rsid w:val="00EE488C"/>
    <w:rsid w:val="00EE5271"/>
    <w:rsid w:val="00EE65DE"/>
    <w:rsid w:val="00EF090E"/>
    <w:rsid w:val="00EF3C30"/>
    <w:rsid w:val="00F124BD"/>
    <w:rsid w:val="00F175F4"/>
    <w:rsid w:val="00F311AA"/>
    <w:rsid w:val="00F40466"/>
    <w:rsid w:val="00F41FA3"/>
    <w:rsid w:val="00F45A9E"/>
    <w:rsid w:val="00F50CE0"/>
    <w:rsid w:val="00F52E19"/>
    <w:rsid w:val="00F5407C"/>
    <w:rsid w:val="00F56BEA"/>
    <w:rsid w:val="00F60ED5"/>
    <w:rsid w:val="00F71A00"/>
    <w:rsid w:val="00F74696"/>
    <w:rsid w:val="00F92B05"/>
    <w:rsid w:val="00F93A86"/>
    <w:rsid w:val="00F96379"/>
    <w:rsid w:val="00FC4A60"/>
    <w:rsid w:val="00FD4350"/>
    <w:rsid w:val="00FD65BA"/>
    <w:rsid w:val="00FE637C"/>
    <w:rsid w:val="00FF26CF"/>
    <w:rsid w:val="00FF2998"/>
    <w:rsid w:val="00FF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6F58"/>
  <w15:docId w15:val="{ADB5860F-3A91-46D3-8757-28382DBC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9CA"/>
    <w:pPr>
      <w:ind w:left="720"/>
      <w:contextualSpacing/>
    </w:pPr>
  </w:style>
  <w:style w:type="paragraph" w:styleId="FootnoteText">
    <w:name w:val="footnote text"/>
    <w:basedOn w:val="Normal"/>
    <w:link w:val="FootnoteTextChar"/>
    <w:uiPriority w:val="99"/>
    <w:semiHidden/>
    <w:unhideWhenUsed/>
    <w:rsid w:val="00EC5A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5A39"/>
    <w:rPr>
      <w:sz w:val="20"/>
      <w:szCs w:val="20"/>
    </w:rPr>
  </w:style>
  <w:style w:type="character" w:styleId="FootnoteReference">
    <w:name w:val="footnote reference"/>
    <w:basedOn w:val="DefaultParagraphFont"/>
    <w:uiPriority w:val="99"/>
    <w:semiHidden/>
    <w:unhideWhenUsed/>
    <w:rsid w:val="00EC5A39"/>
    <w:rPr>
      <w:vertAlign w:val="superscript"/>
    </w:rPr>
  </w:style>
  <w:style w:type="paragraph" w:styleId="Header">
    <w:name w:val="header"/>
    <w:basedOn w:val="Normal"/>
    <w:link w:val="HeaderChar"/>
    <w:uiPriority w:val="99"/>
    <w:unhideWhenUsed/>
    <w:rsid w:val="00C73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C66"/>
  </w:style>
  <w:style w:type="paragraph" w:styleId="Footer">
    <w:name w:val="footer"/>
    <w:basedOn w:val="Normal"/>
    <w:link w:val="FooterChar"/>
    <w:uiPriority w:val="99"/>
    <w:unhideWhenUsed/>
    <w:rsid w:val="00C73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C66"/>
  </w:style>
  <w:style w:type="paragraph" w:styleId="BalloonText">
    <w:name w:val="Balloon Text"/>
    <w:basedOn w:val="Normal"/>
    <w:link w:val="BalloonTextChar"/>
    <w:uiPriority w:val="99"/>
    <w:semiHidden/>
    <w:unhideWhenUsed/>
    <w:rsid w:val="00507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8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87678-7DAD-48AB-8BAB-98EB116B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Michael Skelly</cp:lastModifiedBy>
  <cp:revision>2</cp:revision>
  <cp:lastPrinted>2024-11-12T17:37:00Z</cp:lastPrinted>
  <dcterms:created xsi:type="dcterms:W3CDTF">2024-11-14T16:14:00Z</dcterms:created>
  <dcterms:modified xsi:type="dcterms:W3CDTF">2024-11-14T16:14:00Z</dcterms:modified>
</cp:coreProperties>
</file>