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2E22" w14:textId="77777777" w:rsidR="00126274" w:rsidRPr="00126274" w:rsidRDefault="00126274" w:rsidP="00126274">
      <w:pPr>
        <w:pStyle w:val="Heading1"/>
        <w:spacing w:before="0" w:after="0" w:line="240" w:lineRule="auto"/>
        <w:rPr>
          <w:rFonts w:ascii="Arial" w:hAnsi="Arial" w:cs="Arial"/>
          <w:b/>
          <w:bCs/>
          <w:color w:val="000000" w:themeColor="text1"/>
          <w:sz w:val="20"/>
          <w:szCs w:val="20"/>
        </w:rPr>
      </w:pPr>
      <w:r w:rsidRPr="00126274">
        <w:rPr>
          <w:rFonts w:ascii="Arial" w:hAnsi="Arial" w:cs="Arial"/>
          <w:b/>
          <w:bCs/>
          <w:color w:val="000000" w:themeColor="text1"/>
          <w:sz w:val="20"/>
          <w:szCs w:val="20"/>
        </w:rPr>
        <w:t>The Lithium-Ion Battery End Game</w:t>
      </w:r>
    </w:p>
    <w:p w14:paraId="060E820E" w14:textId="0EB5BB79" w:rsidR="00126274" w:rsidRDefault="00126274" w:rsidP="00126274">
      <w:pPr>
        <w:pStyle w:val="NormalWeb"/>
        <w:spacing w:before="0" w:beforeAutospacing="0" w:after="0" w:afterAutospacing="0"/>
        <w:rPr>
          <w:rStyle w:val="Strong"/>
          <w:rFonts w:ascii="Arial" w:eastAsiaTheme="majorEastAsia" w:hAnsi="Arial" w:cs="Arial"/>
          <w:b w:val="0"/>
          <w:bCs w:val="0"/>
          <w:color w:val="000000" w:themeColor="text1"/>
          <w:sz w:val="20"/>
          <w:szCs w:val="20"/>
        </w:rPr>
      </w:pPr>
      <w:r w:rsidRPr="00126274">
        <w:rPr>
          <w:rStyle w:val="Strong"/>
          <w:rFonts w:ascii="Arial" w:eastAsiaTheme="majorEastAsia" w:hAnsi="Arial" w:cs="Arial"/>
          <w:b w:val="0"/>
          <w:bCs w:val="0"/>
          <w:color w:val="000000" w:themeColor="text1"/>
          <w:sz w:val="20"/>
          <w:szCs w:val="20"/>
        </w:rPr>
        <w:t>By Allan Huang</w:t>
      </w:r>
      <w:r>
        <w:rPr>
          <w:rStyle w:val="Strong"/>
          <w:rFonts w:ascii="Arial" w:eastAsiaTheme="majorEastAsia" w:hAnsi="Arial" w:cs="Arial"/>
          <w:b w:val="0"/>
          <w:bCs w:val="0"/>
          <w:color w:val="000000" w:themeColor="text1"/>
          <w:sz w:val="20"/>
          <w:szCs w:val="20"/>
        </w:rPr>
        <w:t>, Analyst</w:t>
      </w:r>
      <w:r w:rsidRPr="00126274">
        <w:rPr>
          <w:rStyle w:val="Strong"/>
          <w:rFonts w:ascii="Arial" w:eastAsiaTheme="majorEastAsia" w:hAnsi="Arial" w:cs="Arial"/>
          <w:b w:val="0"/>
          <w:bCs w:val="0"/>
          <w:color w:val="000000" w:themeColor="text1"/>
          <w:sz w:val="20"/>
          <w:szCs w:val="20"/>
        </w:rPr>
        <w:t xml:space="preserve"> | </w:t>
      </w:r>
      <w:r w:rsidR="005F6AEE">
        <w:rPr>
          <w:rStyle w:val="Strong"/>
          <w:rFonts w:ascii="Arial" w:eastAsiaTheme="majorEastAsia" w:hAnsi="Arial" w:cs="Arial"/>
          <w:b w:val="0"/>
          <w:bCs w:val="0"/>
          <w:color w:val="000000" w:themeColor="text1"/>
          <w:sz w:val="20"/>
          <w:szCs w:val="20"/>
        </w:rPr>
        <w:t>March</w:t>
      </w:r>
      <w:r w:rsidRPr="00126274">
        <w:rPr>
          <w:rStyle w:val="Strong"/>
          <w:rFonts w:ascii="Arial" w:eastAsiaTheme="majorEastAsia" w:hAnsi="Arial" w:cs="Arial"/>
          <w:b w:val="0"/>
          <w:bCs w:val="0"/>
          <w:color w:val="000000" w:themeColor="text1"/>
          <w:sz w:val="20"/>
          <w:szCs w:val="20"/>
        </w:rPr>
        <w:t xml:space="preserve"> 2026</w:t>
      </w:r>
    </w:p>
    <w:p w14:paraId="43C165D7" w14:textId="77777777" w:rsidR="00126274" w:rsidRPr="00126274" w:rsidRDefault="00126274" w:rsidP="00126274">
      <w:pPr>
        <w:pStyle w:val="NormalWeb"/>
        <w:spacing w:before="0" w:beforeAutospacing="0" w:after="0" w:afterAutospacing="0"/>
        <w:rPr>
          <w:rFonts w:ascii="Arial" w:hAnsi="Arial" w:cs="Arial"/>
          <w:b/>
          <w:bCs/>
          <w:color w:val="000000" w:themeColor="text1"/>
          <w:sz w:val="20"/>
          <w:szCs w:val="20"/>
        </w:rPr>
      </w:pPr>
    </w:p>
    <w:p w14:paraId="75A0134D"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As global industries expand and electricity demand rises, attention often centres on power generation. Less visible, but equally critical, is energy storage. Batteries determine how energy is stored, transported, and deployed across mobility systems, grid infrastructure, and industrial applications.</w:t>
      </w:r>
    </w:p>
    <w:p w14:paraId="0009B4E4"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19115500"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Lithium-ion batteries have become the dominant rechargeable storage technology over the past three decades. First commercialized by Sony in 1991, they enabled the rise of portable electronics. Today, they underpin electric vehicles, utility-scale storage systems, and much of the modern electrified economy.</w:t>
      </w:r>
    </w:p>
    <w:p w14:paraId="02CCE50F"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48F69FB7"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Despite their maturity, lithium-ion systems are still evolving. The question is not whether performance will improve, but where the limits lie and what the next phase of advancement will look like.</w:t>
      </w:r>
    </w:p>
    <w:p w14:paraId="385A0A98" w14:textId="097C2B6C" w:rsidR="00126274" w:rsidRPr="00126274" w:rsidRDefault="00126274" w:rsidP="00126274">
      <w:pPr>
        <w:spacing w:after="0" w:line="240" w:lineRule="auto"/>
        <w:rPr>
          <w:rFonts w:ascii="Arial" w:hAnsi="Arial" w:cs="Arial"/>
          <w:color w:val="000000" w:themeColor="text1"/>
          <w:sz w:val="20"/>
          <w:szCs w:val="20"/>
        </w:rPr>
      </w:pPr>
    </w:p>
    <w:p w14:paraId="71553E42" w14:textId="77777777" w:rsidR="00126274" w:rsidRPr="00126274" w:rsidRDefault="00126274" w:rsidP="00126274">
      <w:pPr>
        <w:pStyle w:val="Heading2"/>
        <w:spacing w:before="0" w:after="0" w:line="240" w:lineRule="auto"/>
        <w:rPr>
          <w:rFonts w:ascii="Arial" w:hAnsi="Arial" w:cs="Arial"/>
          <w:b/>
          <w:bCs/>
          <w:color w:val="000000" w:themeColor="text1"/>
          <w:sz w:val="20"/>
          <w:szCs w:val="20"/>
        </w:rPr>
      </w:pPr>
      <w:r w:rsidRPr="00126274">
        <w:rPr>
          <w:rFonts w:ascii="Arial" w:hAnsi="Arial" w:cs="Arial"/>
          <w:b/>
          <w:bCs/>
          <w:color w:val="000000" w:themeColor="text1"/>
          <w:sz w:val="20"/>
          <w:szCs w:val="20"/>
        </w:rPr>
        <w:t>What Determines Battery Performance</w:t>
      </w:r>
    </w:p>
    <w:p w14:paraId="6E427065"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At its core, a battery is an electrochemical device. It stores energy in chemical form and releases it as electricity through the controlled movement of ions between two electrodes.</w:t>
      </w:r>
    </w:p>
    <w:p w14:paraId="2178E965" w14:textId="77777777" w:rsidR="00126274" w:rsidRDefault="00126274" w:rsidP="00126274">
      <w:pPr>
        <w:pStyle w:val="NormalWeb"/>
        <w:spacing w:before="0" w:beforeAutospacing="0" w:after="0" w:afterAutospacing="0"/>
        <w:rPr>
          <w:rFonts w:ascii="Arial" w:hAnsi="Arial" w:cs="Arial"/>
          <w:color w:val="000000" w:themeColor="text1"/>
          <w:sz w:val="20"/>
          <w:szCs w:val="20"/>
        </w:rPr>
      </w:pPr>
    </w:p>
    <w:p w14:paraId="05DECDA7" w14:textId="4988D5A5"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Three metrics define the performance of any rechargeable battery system:</w:t>
      </w:r>
    </w:p>
    <w:p w14:paraId="79ED8685" w14:textId="77777777" w:rsidR="00126274" w:rsidRDefault="00126274" w:rsidP="00126274">
      <w:pPr>
        <w:pStyle w:val="NormalWeb"/>
        <w:spacing w:before="0" w:beforeAutospacing="0" w:after="0" w:afterAutospacing="0"/>
        <w:rPr>
          <w:rStyle w:val="Strong"/>
          <w:rFonts w:ascii="Arial" w:eastAsiaTheme="majorEastAsia" w:hAnsi="Arial" w:cs="Arial"/>
          <w:color w:val="000000" w:themeColor="text1"/>
          <w:sz w:val="20"/>
          <w:szCs w:val="20"/>
        </w:rPr>
      </w:pPr>
    </w:p>
    <w:p w14:paraId="4F8435FE" w14:textId="369E81FD"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Energy density</w:t>
      </w:r>
      <w:r w:rsidRPr="00126274">
        <w:rPr>
          <w:rFonts w:ascii="Arial" w:hAnsi="Arial" w:cs="Arial"/>
          <w:color w:val="000000" w:themeColor="text1"/>
          <w:sz w:val="20"/>
          <w:szCs w:val="20"/>
        </w:rPr>
        <w:br/>
        <w:t>The amount of energy stored per unit weight or volume.</w:t>
      </w:r>
    </w:p>
    <w:p w14:paraId="6C10BDE4" w14:textId="77777777" w:rsidR="00126274" w:rsidRDefault="00126274" w:rsidP="00126274">
      <w:pPr>
        <w:pStyle w:val="NormalWeb"/>
        <w:spacing w:before="0" w:beforeAutospacing="0" w:after="0" w:afterAutospacing="0"/>
        <w:rPr>
          <w:rStyle w:val="Strong"/>
          <w:rFonts w:ascii="Arial" w:eastAsiaTheme="majorEastAsia" w:hAnsi="Arial" w:cs="Arial"/>
          <w:color w:val="000000" w:themeColor="text1"/>
          <w:sz w:val="20"/>
          <w:szCs w:val="20"/>
        </w:rPr>
      </w:pPr>
    </w:p>
    <w:p w14:paraId="1E181F34" w14:textId="284EA4B0"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Charge rate</w:t>
      </w:r>
      <w:r w:rsidRPr="00126274">
        <w:rPr>
          <w:rFonts w:ascii="Arial" w:hAnsi="Arial" w:cs="Arial"/>
          <w:color w:val="000000" w:themeColor="text1"/>
          <w:sz w:val="20"/>
          <w:szCs w:val="20"/>
        </w:rPr>
        <w:br/>
        <w:t>The speed at which energy can be added or withdrawn without damaging the system.</w:t>
      </w:r>
    </w:p>
    <w:p w14:paraId="2F1B584D" w14:textId="77777777" w:rsidR="00126274" w:rsidRDefault="00126274" w:rsidP="00126274">
      <w:pPr>
        <w:pStyle w:val="NormalWeb"/>
        <w:spacing w:before="0" w:beforeAutospacing="0" w:after="0" w:afterAutospacing="0"/>
        <w:rPr>
          <w:rStyle w:val="Strong"/>
          <w:rFonts w:ascii="Arial" w:eastAsiaTheme="majorEastAsia" w:hAnsi="Arial" w:cs="Arial"/>
          <w:color w:val="000000" w:themeColor="text1"/>
          <w:sz w:val="20"/>
          <w:szCs w:val="20"/>
        </w:rPr>
      </w:pPr>
    </w:p>
    <w:p w14:paraId="1E71BDC6" w14:textId="5951B861"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Cycle life</w:t>
      </w:r>
      <w:r w:rsidRPr="00126274">
        <w:rPr>
          <w:rFonts w:ascii="Arial" w:hAnsi="Arial" w:cs="Arial"/>
          <w:color w:val="000000" w:themeColor="text1"/>
          <w:sz w:val="20"/>
          <w:szCs w:val="20"/>
        </w:rPr>
        <w:br/>
        <w:t>The number of charge and discharge cycles a battery can undergo before significant degradation, typically defined as a 20 percent reduction in usable capacity.</w:t>
      </w:r>
    </w:p>
    <w:p w14:paraId="640504EF" w14:textId="77777777" w:rsidR="00126274" w:rsidRDefault="00126274" w:rsidP="00126274">
      <w:pPr>
        <w:pStyle w:val="NormalWeb"/>
        <w:spacing w:before="0" w:beforeAutospacing="0" w:after="0" w:afterAutospacing="0"/>
        <w:rPr>
          <w:rFonts w:ascii="Arial" w:hAnsi="Arial" w:cs="Arial"/>
          <w:color w:val="000000" w:themeColor="text1"/>
          <w:sz w:val="20"/>
          <w:szCs w:val="20"/>
        </w:rPr>
      </w:pPr>
    </w:p>
    <w:p w14:paraId="0C8A0B08" w14:textId="47174D80"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Using electric vehicles as an example makes these metrics intuitive:</w:t>
      </w:r>
    </w:p>
    <w:p w14:paraId="26D5EAEE" w14:textId="2D1DE10F" w:rsidR="00126274" w:rsidRPr="00126274" w:rsidRDefault="00126274" w:rsidP="00126274">
      <w:pPr>
        <w:pStyle w:val="NormalWeb"/>
        <w:numPr>
          <w:ilvl w:val="0"/>
          <w:numId w:val="12"/>
        </w:numPr>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Energy density determines range</w:t>
      </w:r>
      <w:r>
        <w:rPr>
          <w:rFonts w:ascii="Arial" w:hAnsi="Arial" w:cs="Arial"/>
          <w:color w:val="000000" w:themeColor="text1"/>
          <w:sz w:val="20"/>
          <w:szCs w:val="20"/>
        </w:rPr>
        <w:t>.</w:t>
      </w:r>
    </w:p>
    <w:p w14:paraId="77A268B3" w14:textId="77777777" w:rsidR="00126274" w:rsidRPr="00126274" w:rsidRDefault="00126274" w:rsidP="00126274">
      <w:pPr>
        <w:pStyle w:val="NormalWeb"/>
        <w:numPr>
          <w:ilvl w:val="0"/>
          <w:numId w:val="12"/>
        </w:numPr>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Charge rate determines refueling time and acceleration capability.</w:t>
      </w:r>
    </w:p>
    <w:p w14:paraId="2C979CBB" w14:textId="77777777" w:rsidR="00126274" w:rsidRPr="00126274" w:rsidRDefault="00126274" w:rsidP="00126274">
      <w:pPr>
        <w:pStyle w:val="NormalWeb"/>
        <w:numPr>
          <w:ilvl w:val="0"/>
          <w:numId w:val="12"/>
        </w:numPr>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Cycle life determines usable lifespan.</w:t>
      </w:r>
    </w:p>
    <w:p w14:paraId="6FDCAFEF" w14:textId="77777777" w:rsidR="00126274" w:rsidRDefault="00126274" w:rsidP="00126274">
      <w:pPr>
        <w:pStyle w:val="NormalWeb"/>
        <w:spacing w:before="0" w:beforeAutospacing="0" w:after="0" w:afterAutospacing="0"/>
        <w:rPr>
          <w:rFonts w:ascii="Arial" w:hAnsi="Arial" w:cs="Arial"/>
          <w:color w:val="000000" w:themeColor="text1"/>
          <w:sz w:val="20"/>
          <w:szCs w:val="20"/>
        </w:rPr>
      </w:pPr>
    </w:p>
    <w:p w14:paraId="4F647598" w14:textId="2F9B3212"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Recent lithium-ion systems entering commercial markets can approach 600 kilometres of range, sustain approximately 1,400 cycles with limited degradation, and in some cases achieve full charge in roughly 12 minutes under controlled conditions. Demand growth projections for batteries remain strong through 2030.</w:t>
      </w:r>
    </w:p>
    <w:p w14:paraId="087CC971"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5C0022E1"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Yet chemistry still imposes constraints.</w:t>
      </w:r>
    </w:p>
    <w:p w14:paraId="1B7DEF89" w14:textId="77777777" w:rsidR="00126274" w:rsidRDefault="00126274" w:rsidP="00126274">
      <w:pPr>
        <w:pStyle w:val="Heading2"/>
        <w:spacing w:before="0" w:after="0" w:line="240" w:lineRule="auto"/>
        <w:rPr>
          <w:rFonts w:ascii="Arial" w:hAnsi="Arial" w:cs="Arial"/>
          <w:color w:val="000000" w:themeColor="text1"/>
          <w:sz w:val="20"/>
          <w:szCs w:val="20"/>
        </w:rPr>
      </w:pPr>
    </w:p>
    <w:p w14:paraId="0838A26C" w14:textId="395B46C6" w:rsidR="00126274" w:rsidRPr="00126274" w:rsidRDefault="00126274" w:rsidP="00126274">
      <w:pPr>
        <w:pStyle w:val="Heading2"/>
        <w:spacing w:before="0" w:after="0" w:line="240" w:lineRule="auto"/>
        <w:rPr>
          <w:rFonts w:ascii="Arial" w:hAnsi="Arial" w:cs="Arial"/>
          <w:b/>
          <w:bCs/>
          <w:color w:val="000000" w:themeColor="text1"/>
          <w:sz w:val="20"/>
          <w:szCs w:val="20"/>
        </w:rPr>
      </w:pPr>
      <w:r w:rsidRPr="00126274">
        <w:rPr>
          <w:rFonts w:ascii="Arial" w:hAnsi="Arial" w:cs="Arial"/>
          <w:b/>
          <w:bCs/>
          <w:color w:val="000000" w:themeColor="text1"/>
          <w:sz w:val="20"/>
          <w:szCs w:val="20"/>
        </w:rPr>
        <w:t>The Architecture of a Lithium-Ion Battery</w:t>
      </w:r>
    </w:p>
    <w:p w14:paraId="276E1020"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Every lithium-ion battery contains three core components:</w:t>
      </w:r>
    </w:p>
    <w:p w14:paraId="446D6701" w14:textId="77777777" w:rsidR="00126274" w:rsidRPr="00126274" w:rsidRDefault="00126274" w:rsidP="00126274">
      <w:pPr>
        <w:pStyle w:val="NormalWeb"/>
        <w:numPr>
          <w:ilvl w:val="0"/>
          <w:numId w:val="13"/>
        </w:numPr>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 positive electrode (cathode)</w:t>
      </w:r>
    </w:p>
    <w:p w14:paraId="341560DD" w14:textId="77777777" w:rsidR="00126274" w:rsidRPr="00126274" w:rsidRDefault="00126274" w:rsidP="00126274">
      <w:pPr>
        <w:pStyle w:val="NormalWeb"/>
        <w:numPr>
          <w:ilvl w:val="0"/>
          <w:numId w:val="13"/>
        </w:numPr>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 negative electrode (anode)</w:t>
      </w:r>
    </w:p>
    <w:p w14:paraId="3331CD69" w14:textId="77777777" w:rsidR="00126274" w:rsidRPr="00126274" w:rsidRDefault="00126274" w:rsidP="00126274">
      <w:pPr>
        <w:pStyle w:val="NormalWeb"/>
        <w:numPr>
          <w:ilvl w:val="0"/>
          <w:numId w:val="13"/>
        </w:numPr>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An electrolyte that enables lithium-ion transport</w:t>
      </w:r>
    </w:p>
    <w:p w14:paraId="4701A441" w14:textId="77777777" w:rsidR="00126274" w:rsidRDefault="00126274" w:rsidP="00126274">
      <w:pPr>
        <w:pStyle w:val="NormalWeb"/>
        <w:spacing w:before="0" w:beforeAutospacing="0" w:after="0" w:afterAutospacing="0"/>
        <w:rPr>
          <w:rFonts w:ascii="Arial" w:hAnsi="Arial" w:cs="Arial"/>
          <w:color w:val="000000" w:themeColor="text1"/>
          <w:sz w:val="20"/>
          <w:szCs w:val="20"/>
        </w:rPr>
      </w:pPr>
    </w:p>
    <w:p w14:paraId="18A207CB" w14:textId="495B1A02"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The electrodes are composite structures consisting primarily of active material, along with conductive additives and binding agents. During charging, lithium ions move from the cathode into the anode. During discharge, they return.</w:t>
      </w:r>
    </w:p>
    <w:p w14:paraId="67BF74A5"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1B11B7A3"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 xml:space="preserve">Where the liquid electrolyte meets the electrode surface, a thin layer forms during initial charging. This layer, known as the solid electrolyte interphase (SEI), plays a critical role in long-term performance. It allows lithium transport while protecting the electrode surface. However, instability in this layer can reduce </w:t>
      </w:r>
      <w:r w:rsidRPr="00126274">
        <w:rPr>
          <w:rFonts w:ascii="Arial" w:hAnsi="Arial" w:cs="Arial"/>
          <w:color w:val="000000" w:themeColor="text1"/>
          <w:sz w:val="20"/>
          <w:szCs w:val="20"/>
        </w:rPr>
        <w:lastRenderedPageBreak/>
        <w:t>cycle life, limit fast charging capability, and in extreme cases lead to lithium dendrite formation that may cause short circuits.</w:t>
      </w:r>
    </w:p>
    <w:p w14:paraId="6A33D04D"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11BEA73C"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Advancement in lithium-ion performance increasingly depends on controlling this microscopic interface.</w:t>
      </w:r>
    </w:p>
    <w:p w14:paraId="0BAE46F9" w14:textId="77777777" w:rsidR="00126274" w:rsidRDefault="00126274" w:rsidP="00126274">
      <w:pPr>
        <w:pStyle w:val="NormalWeb"/>
        <w:rPr>
          <w:rStyle w:val="Strong"/>
          <w:rFonts w:ascii="Arial" w:eastAsiaTheme="majorEastAsia" w:hAnsi="Arial" w:cs="Arial"/>
          <w:sz w:val="20"/>
          <w:szCs w:val="20"/>
        </w:rPr>
      </w:pPr>
      <w:r w:rsidRPr="00D359FE">
        <w:rPr>
          <w:rFonts w:ascii="Arial" w:hAnsi="Arial" w:cs="Arial"/>
          <w:noProof/>
        </w:rPr>
        <w:drawing>
          <wp:inline distT="0" distB="0" distL="0" distR="0" wp14:anchorId="0FB363BA" wp14:editId="2A90A528">
            <wp:extent cx="4642441" cy="2663106"/>
            <wp:effectExtent l="0" t="0" r="0" b="4445"/>
            <wp:docPr id="471444463" name="Picture 1" descr="Schematic illustration of solid electrolyte interphase (SEI) in Li‐io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ic illustration of solid electrolyte interphase (SEI) in Li‐ion...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778" cy="2683950"/>
                    </a:xfrm>
                    <a:prstGeom prst="rect">
                      <a:avLst/>
                    </a:prstGeom>
                    <a:noFill/>
                    <a:ln>
                      <a:noFill/>
                    </a:ln>
                  </pic:spPr>
                </pic:pic>
              </a:graphicData>
            </a:graphic>
          </wp:inline>
        </w:drawing>
      </w:r>
    </w:p>
    <w:p w14:paraId="71D92B02" w14:textId="0A1CBDE9" w:rsidR="00126274" w:rsidRPr="00126274" w:rsidRDefault="00126274" w:rsidP="00126274">
      <w:pPr>
        <w:pStyle w:val="NormalWeb"/>
        <w:rPr>
          <w:rFonts w:ascii="Arial" w:hAnsi="Arial" w:cs="Arial"/>
          <w:i/>
          <w:iCs/>
          <w:sz w:val="16"/>
          <w:szCs w:val="16"/>
        </w:rPr>
      </w:pPr>
      <w:r w:rsidRPr="00126274">
        <w:rPr>
          <w:rStyle w:val="Strong"/>
          <w:rFonts w:ascii="Arial" w:eastAsiaTheme="majorEastAsia" w:hAnsi="Arial" w:cs="Arial"/>
          <w:i/>
          <w:iCs/>
          <w:sz w:val="16"/>
          <w:szCs w:val="16"/>
        </w:rPr>
        <w:t>Source: ResearchGate, “Frontiers in Theoretical Analysis of Solid Electrolyte Interphase Formation Mechanism”</w:t>
      </w:r>
    </w:p>
    <w:p w14:paraId="3353CD49" w14:textId="736D22E3" w:rsidR="00126274" w:rsidRPr="00126274" w:rsidRDefault="00126274" w:rsidP="00126274">
      <w:pPr>
        <w:pStyle w:val="Heading2"/>
        <w:spacing w:before="0" w:after="0" w:line="240" w:lineRule="auto"/>
        <w:rPr>
          <w:rFonts w:ascii="Arial" w:hAnsi="Arial" w:cs="Arial"/>
          <w:b/>
          <w:bCs/>
          <w:color w:val="000000" w:themeColor="text1"/>
          <w:sz w:val="20"/>
          <w:szCs w:val="20"/>
        </w:rPr>
      </w:pPr>
      <w:r w:rsidRPr="00126274">
        <w:rPr>
          <w:rFonts w:ascii="Arial" w:hAnsi="Arial" w:cs="Arial"/>
          <w:b/>
          <w:bCs/>
          <w:color w:val="000000" w:themeColor="text1"/>
          <w:sz w:val="20"/>
          <w:szCs w:val="20"/>
        </w:rPr>
        <w:t xml:space="preserve">Current Industry Materials and </w:t>
      </w:r>
      <w:r w:rsidRPr="00126274">
        <w:rPr>
          <w:rFonts w:ascii="Arial" w:hAnsi="Arial" w:cs="Arial"/>
          <w:b/>
          <w:bCs/>
          <w:color w:val="000000" w:themeColor="text1"/>
          <w:sz w:val="20"/>
          <w:szCs w:val="20"/>
        </w:rPr>
        <w:t>Trade-offs</w:t>
      </w:r>
    </w:p>
    <w:p w14:paraId="30F73007"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Modern lithium-ion batteries rely primarily on two cathode chemistries:</w:t>
      </w:r>
    </w:p>
    <w:p w14:paraId="05EA5FE4" w14:textId="77777777" w:rsidR="00126274" w:rsidRDefault="00126274" w:rsidP="00126274">
      <w:pPr>
        <w:pStyle w:val="NormalWeb"/>
        <w:spacing w:before="0" w:beforeAutospacing="0" w:after="0" w:afterAutospacing="0"/>
        <w:rPr>
          <w:rStyle w:val="Strong"/>
          <w:rFonts w:ascii="Arial" w:eastAsiaTheme="majorEastAsia" w:hAnsi="Arial" w:cs="Arial"/>
          <w:color w:val="000000" w:themeColor="text1"/>
          <w:sz w:val="20"/>
          <w:szCs w:val="20"/>
        </w:rPr>
      </w:pPr>
    </w:p>
    <w:p w14:paraId="15FA5376" w14:textId="3CE05A06"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Nickel Manganese Cobalt (NMC)</w:t>
      </w:r>
      <w:r w:rsidRPr="00126274">
        <w:rPr>
          <w:rFonts w:ascii="Arial" w:hAnsi="Arial" w:cs="Arial"/>
          <w:color w:val="000000" w:themeColor="text1"/>
          <w:sz w:val="20"/>
          <w:szCs w:val="20"/>
        </w:rPr>
        <w:br/>
        <w:t>High energy density and well-understood performance characteristics, but relatively shorter cycle life and reliance on cobalt.</w:t>
      </w:r>
    </w:p>
    <w:p w14:paraId="7D40AA41" w14:textId="77777777" w:rsidR="00126274" w:rsidRDefault="00126274" w:rsidP="00126274">
      <w:pPr>
        <w:pStyle w:val="NormalWeb"/>
        <w:spacing w:before="0" w:beforeAutospacing="0" w:after="0" w:afterAutospacing="0"/>
        <w:rPr>
          <w:rStyle w:val="Strong"/>
          <w:rFonts w:ascii="Arial" w:eastAsiaTheme="majorEastAsia" w:hAnsi="Arial" w:cs="Arial"/>
          <w:color w:val="000000" w:themeColor="text1"/>
          <w:sz w:val="20"/>
          <w:szCs w:val="20"/>
        </w:rPr>
      </w:pPr>
    </w:p>
    <w:p w14:paraId="3F60A451" w14:textId="0B6D5ACA"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Lithium Iron Phosphate (LFP)</w:t>
      </w:r>
      <w:r w:rsidRPr="00126274">
        <w:rPr>
          <w:rFonts w:ascii="Arial" w:hAnsi="Arial" w:cs="Arial"/>
          <w:color w:val="000000" w:themeColor="text1"/>
          <w:sz w:val="20"/>
          <w:szCs w:val="20"/>
        </w:rPr>
        <w:br/>
        <w:t>Lower energy density but improved cycle life, strong charge rates, and lower material cost.</w:t>
      </w:r>
    </w:p>
    <w:p w14:paraId="33351B0F"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798C9815"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On the anode side, graphite remains the industry standard. It is inexpensive and reliable but limited in how much lithium it can store. To increase energy density, manufacturers increasingly incorporate small percentages of silicon into graphite. Silicon offers higher storage capacity but expands significantly during charging, creating mechanical stress and potential cracking that can reduce cycle life.</w:t>
      </w:r>
    </w:p>
    <w:p w14:paraId="39D4889C"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21B3439C" w14:textId="46E62062"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Conductive additives such as carbon black remain widely used. However, advanced nanomaterials</w:t>
      </w:r>
      <w:r>
        <w:rPr>
          <w:rFonts w:ascii="Arial" w:hAnsi="Arial" w:cs="Arial"/>
          <w:color w:val="000000" w:themeColor="text1"/>
          <w:sz w:val="20"/>
          <w:szCs w:val="20"/>
        </w:rPr>
        <w:t>,</w:t>
      </w:r>
      <w:r w:rsidRPr="00126274">
        <w:rPr>
          <w:rFonts w:ascii="Arial" w:hAnsi="Arial" w:cs="Arial"/>
          <w:color w:val="000000" w:themeColor="text1"/>
          <w:sz w:val="20"/>
          <w:szCs w:val="20"/>
        </w:rPr>
        <w:t xml:space="preserve"> including carbon nanotubes and graphene</w:t>
      </w:r>
      <w:r>
        <w:rPr>
          <w:rFonts w:ascii="Arial" w:hAnsi="Arial" w:cs="Arial"/>
          <w:color w:val="000000" w:themeColor="text1"/>
          <w:sz w:val="20"/>
          <w:szCs w:val="20"/>
        </w:rPr>
        <w:t>,</w:t>
      </w:r>
      <w:r w:rsidRPr="00126274">
        <w:rPr>
          <w:rFonts w:ascii="Arial" w:hAnsi="Arial" w:cs="Arial"/>
          <w:color w:val="000000" w:themeColor="text1"/>
          <w:sz w:val="20"/>
          <w:szCs w:val="20"/>
        </w:rPr>
        <w:t xml:space="preserve"> offer higher conductivity and enable faster charging, though cost and manufacturing consistency remain challenges.</w:t>
      </w:r>
    </w:p>
    <w:p w14:paraId="1FFE4F55"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75357363"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Electrolytes are typically organic liquids, which provide effective ion transport but introduce flammability risk. Research continues into improved additives and solid-state electrolytes aimed at enhancing safety and stability.</w:t>
      </w:r>
    </w:p>
    <w:p w14:paraId="1E989441"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Each material choice represents a balance between cost, manufacturability, safety, and performance.</w:t>
      </w:r>
    </w:p>
    <w:p w14:paraId="0E07BCEB" w14:textId="77777777" w:rsidR="00126274" w:rsidRDefault="00126274" w:rsidP="00126274">
      <w:pPr>
        <w:pStyle w:val="Heading2"/>
        <w:spacing w:before="0" w:after="0" w:line="240" w:lineRule="auto"/>
        <w:rPr>
          <w:rFonts w:ascii="Arial" w:hAnsi="Arial" w:cs="Arial"/>
          <w:color w:val="000000" w:themeColor="text1"/>
          <w:sz w:val="20"/>
          <w:szCs w:val="20"/>
        </w:rPr>
      </w:pPr>
    </w:p>
    <w:p w14:paraId="5F0A79A5" w14:textId="7A363E7A" w:rsidR="00126274" w:rsidRPr="00126274" w:rsidRDefault="00126274" w:rsidP="00126274">
      <w:pPr>
        <w:pStyle w:val="Heading2"/>
        <w:spacing w:before="0" w:after="0" w:line="240" w:lineRule="auto"/>
        <w:rPr>
          <w:rFonts w:ascii="Arial" w:hAnsi="Arial" w:cs="Arial"/>
          <w:b/>
          <w:bCs/>
          <w:color w:val="000000" w:themeColor="text1"/>
          <w:sz w:val="20"/>
          <w:szCs w:val="20"/>
        </w:rPr>
      </w:pPr>
      <w:r w:rsidRPr="00126274">
        <w:rPr>
          <w:rFonts w:ascii="Arial" w:hAnsi="Arial" w:cs="Arial"/>
          <w:b/>
          <w:bCs/>
          <w:color w:val="000000" w:themeColor="text1"/>
          <w:sz w:val="20"/>
          <w:szCs w:val="20"/>
        </w:rPr>
        <w:t>What Comes Next</w:t>
      </w:r>
    </w:p>
    <w:p w14:paraId="2FE99D50"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The next generation of battery technologies is under active development. Several approaches aim to increase energy density, reduce reliance on scarce materials, and improve safety.</w:t>
      </w:r>
    </w:p>
    <w:p w14:paraId="16C56DC8" w14:textId="77777777" w:rsidR="00126274" w:rsidRDefault="00126274" w:rsidP="00126274">
      <w:pPr>
        <w:pStyle w:val="NormalWeb"/>
        <w:spacing w:before="0" w:beforeAutospacing="0" w:after="0" w:afterAutospacing="0"/>
        <w:rPr>
          <w:rStyle w:val="Strong"/>
          <w:rFonts w:ascii="Arial" w:eastAsiaTheme="majorEastAsia" w:hAnsi="Arial" w:cs="Arial"/>
          <w:color w:val="000000" w:themeColor="text1"/>
          <w:sz w:val="20"/>
          <w:szCs w:val="20"/>
        </w:rPr>
      </w:pPr>
    </w:p>
    <w:p w14:paraId="3044CEE5" w14:textId="59E73ABE"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lastRenderedPageBreak/>
        <w:t>Lithium-Rich Manganese Oxides (LMRO)</w:t>
      </w:r>
      <w:r w:rsidRPr="00126274">
        <w:rPr>
          <w:rFonts w:ascii="Arial" w:hAnsi="Arial" w:cs="Arial"/>
          <w:color w:val="000000" w:themeColor="text1"/>
          <w:sz w:val="20"/>
          <w:szCs w:val="20"/>
        </w:rPr>
        <w:br/>
        <w:t>Potential for significantly higher energy density, though cycle life remains a concern.</w:t>
      </w:r>
    </w:p>
    <w:p w14:paraId="79F4AF08"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5AC1EFF2"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High-Voltage Spinel Chemistries (LNMO)</w:t>
      </w:r>
      <w:r w:rsidRPr="00126274">
        <w:rPr>
          <w:rFonts w:ascii="Arial" w:hAnsi="Arial" w:cs="Arial"/>
          <w:color w:val="000000" w:themeColor="text1"/>
          <w:sz w:val="20"/>
          <w:szCs w:val="20"/>
        </w:rPr>
        <w:br/>
        <w:t>Cobalt-free alternatives with attractive cost characteristics and strong theoretical performance, but manufacturing precision remains challenging.</w:t>
      </w:r>
    </w:p>
    <w:p w14:paraId="0083C44A"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5D1EFF10"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Lithium Metal Anodes Paired with Solid Electrolytes</w:t>
      </w:r>
      <w:r w:rsidRPr="00126274">
        <w:rPr>
          <w:rFonts w:ascii="Arial" w:hAnsi="Arial" w:cs="Arial"/>
          <w:color w:val="000000" w:themeColor="text1"/>
          <w:sz w:val="20"/>
          <w:szCs w:val="20"/>
        </w:rPr>
        <w:br/>
        <w:t>Often described as a breakthrough pathway, these systems could meaningfully increase energy density while reducing fire risk. Remaining challenges include cycle stability, low-temperature performance, and large-scale manufacturability.</w:t>
      </w:r>
    </w:p>
    <w:p w14:paraId="6293E73F"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092BF516"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Style w:val="Strong"/>
          <w:rFonts w:ascii="Arial" w:eastAsiaTheme="majorEastAsia" w:hAnsi="Arial" w:cs="Arial"/>
          <w:color w:val="000000" w:themeColor="text1"/>
          <w:sz w:val="20"/>
          <w:szCs w:val="20"/>
        </w:rPr>
        <w:t>Sodium-Ion Batteries</w:t>
      </w:r>
      <w:r w:rsidRPr="00126274">
        <w:rPr>
          <w:rFonts w:ascii="Arial" w:hAnsi="Arial" w:cs="Arial"/>
          <w:color w:val="000000" w:themeColor="text1"/>
          <w:sz w:val="20"/>
          <w:szCs w:val="20"/>
        </w:rPr>
        <w:br/>
        <w:t>Lower energy density than lithium-ion but strong low-temperature performance and attractive cost profiles. These systems may complement lithium-ion in grid storage and specific vehicle applications rather than replace it.</w:t>
      </w:r>
    </w:p>
    <w:p w14:paraId="31C673CC"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76661286"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Commercial timelines for many of these technologies fall between 2026 and 2030. Some may scale earlier; others may remain niche.</w:t>
      </w:r>
    </w:p>
    <w:p w14:paraId="44E18E19" w14:textId="1C7E6ACB" w:rsidR="00126274" w:rsidRPr="00126274" w:rsidRDefault="00126274" w:rsidP="00126274">
      <w:pPr>
        <w:spacing w:after="0" w:line="240" w:lineRule="auto"/>
        <w:rPr>
          <w:rFonts w:ascii="Arial" w:hAnsi="Arial" w:cs="Arial"/>
          <w:b/>
          <w:bCs/>
          <w:color w:val="000000" w:themeColor="text1"/>
          <w:sz w:val="20"/>
          <w:szCs w:val="20"/>
        </w:rPr>
      </w:pPr>
    </w:p>
    <w:p w14:paraId="1C1532D2" w14:textId="77777777" w:rsidR="00126274" w:rsidRPr="00126274" w:rsidRDefault="00126274" w:rsidP="00126274">
      <w:pPr>
        <w:pStyle w:val="Heading2"/>
        <w:spacing w:before="0" w:after="0" w:line="240" w:lineRule="auto"/>
        <w:rPr>
          <w:rFonts w:ascii="Arial" w:hAnsi="Arial" w:cs="Arial"/>
          <w:b/>
          <w:bCs/>
          <w:color w:val="000000" w:themeColor="text1"/>
          <w:sz w:val="20"/>
          <w:szCs w:val="20"/>
        </w:rPr>
      </w:pPr>
      <w:r w:rsidRPr="00126274">
        <w:rPr>
          <w:rFonts w:ascii="Arial" w:hAnsi="Arial" w:cs="Arial"/>
          <w:b/>
          <w:bCs/>
          <w:color w:val="000000" w:themeColor="text1"/>
          <w:sz w:val="20"/>
          <w:szCs w:val="20"/>
        </w:rPr>
        <w:t>The End Game</w:t>
      </w:r>
    </w:p>
    <w:p w14:paraId="744B5EAE"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Lithium-ion technology is not at a performance ceiling. Incremental improvements in materials science, interface control, and manufacturing precision continue to push energy density, charge rate, and cycle life forward.</w:t>
      </w:r>
    </w:p>
    <w:p w14:paraId="0DE12B6B"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0A7C227D"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At the same time, emerging chemistries aim to address structural limitations in safety and longevity.</w:t>
      </w:r>
    </w:p>
    <w:p w14:paraId="5743D0D4" w14:textId="77777777" w:rsidR="00126274" w:rsidRDefault="00126274" w:rsidP="00126274">
      <w:pPr>
        <w:pStyle w:val="NormalWeb"/>
        <w:spacing w:before="0" w:beforeAutospacing="0" w:after="0" w:afterAutospacing="0"/>
        <w:rPr>
          <w:rFonts w:ascii="Arial" w:hAnsi="Arial" w:cs="Arial"/>
          <w:color w:val="000000" w:themeColor="text1"/>
          <w:sz w:val="20"/>
          <w:szCs w:val="20"/>
        </w:rPr>
      </w:pPr>
      <w:r w:rsidRPr="00126274">
        <w:rPr>
          <w:rFonts w:ascii="Arial" w:hAnsi="Arial" w:cs="Arial"/>
          <w:color w:val="000000" w:themeColor="text1"/>
          <w:sz w:val="20"/>
          <w:szCs w:val="20"/>
        </w:rPr>
        <w:t>Battery performance directly influences the economics of electric vehicles, renewable integration, and grid stability. As electrification accelerates, energy storage becomes increasingly strategic.</w:t>
      </w:r>
    </w:p>
    <w:p w14:paraId="72801A08" w14:textId="77777777" w:rsidR="00126274" w:rsidRPr="00126274" w:rsidRDefault="00126274" w:rsidP="00126274">
      <w:pPr>
        <w:pStyle w:val="NormalWeb"/>
        <w:spacing w:before="0" w:beforeAutospacing="0" w:after="0" w:afterAutospacing="0"/>
        <w:rPr>
          <w:rFonts w:ascii="Arial" w:hAnsi="Arial" w:cs="Arial"/>
          <w:color w:val="000000" w:themeColor="text1"/>
          <w:sz w:val="20"/>
          <w:szCs w:val="20"/>
        </w:rPr>
      </w:pPr>
    </w:p>
    <w:p w14:paraId="5FAF306D" w14:textId="1DFA03E3" w:rsidR="00126274" w:rsidRDefault="00126274" w:rsidP="00126274">
      <w:pPr>
        <w:pStyle w:val="NormalWeb"/>
        <w:spacing w:before="0" w:beforeAutospacing="0" w:after="0" w:afterAutospacing="0"/>
      </w:pPr>
      <w:r w:rsidRPr="00126274">
        <w:rPr>
          <w:rFonts w:ascii="Arial" w:hAnsi="Arial" w:cs="Arial"/>
          <w:color w:val="000000" w:themeColor="text1"/>
          <w:sz w:val="20"/>
          <w:szCs w:val="20"/>
        </w:rPr>
        <w:t xml:space="preserve">Evaluating material constraints, scalability challenges, and performance </w:t>
      </w:r>
      <w:r w:rsidRPr="00126274">
        <w:rPr>
          <w:rFonts w:ascii="Arial" w:hAnsi="Arial" w:cs="Arial"/>
          <w:color w:val="000000" w:themeColor="text1"/>
          <w:sz w:val="20"/>
          <w:szCs w:val="20"/>
        </w:rPr>
        <w:t>trade-offs</w:t>
      </w:r>
      <w:r w:rsidRPr="00126274">
        <w:rPr>
          <w:rFonts w:ascii="Arial" w:hAnsi="Arial" w:cs="Arial"/>
          <w:color w:val="000000" w:themeColor="text1"/>
          <w:sz w:val="20"/>
          <w:szCs w:val="20"/>
        </w:rPr>
        <w:t xml:space="preserve"> is essential to identifying where durable long-term value may emerge across the battery supply chain</w:t>
      </w:r>
      <w:r>
        <w:t>.</w:t>
      </w:r>
    </w:p>
    <w:p w14:paraId="72F36539" w14:textId="1B73D756" w:rsidR="005B419C" w:rsidRPr="00D359FE" w:rsidRDefault="005B419C" w:rsidP="005B419C">
      <w:pPr>
        <w:jc w:val="center"/>
        <w:rPr>
          <w:rFonts w:ascii="Arial" w:hAnsi="Arial" w:cs="Arial"/>
          <w:lang w:val="en-US"/>
        </w:rPr>
      </w:pPr>
    </w:p>
    <w:p w14:paraId="11C0BAFF" w14:textId="77777777" w:rsidR="006F6C18" w:rsidRPr="006D23C7" w:rsidRDefault="006F6C18" w:rsidP="00385D27">
      <w:pPr>
        <w:jc w:val="both"/>
        <w:rPr>
          <w:lang w:val="en-US"/>
        </w:rPr>
      </w:pPr>
    </w:p>
    <w:sectPr w:rsidR="006F6C18" w:rsidRPr="006D23C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71F4" w14:textId="77777777" w:rsidR="00F22CC5" w:rsidRDefault="00F22CC5" w:rsidP="004F4A3E">
      <w:pPr>
        <w:spacing w:after="0" w:line="240" w:lineRule="auto"/>
      </w:pPr>
      <w:r>
        <w:separator/>
      </w:r>
    </w:p>
  </w:endnote>
  <w:endnote w:type="continuationSeparator" w:id="0">
    <w:p w14:paraId="7F8B9F9F" w14:textId="77777777" w:rsidR="00F22CC5" w:rsidRDefault="00F22CC5" w:rsidP="004F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4C8C" w14:textId="77777777" w:rsidR="00F22CC5" w:rsidRDefault="00F22CC5" w:rsidP="004F4A3E">
      <w:pPr>
        <w:spacing w:after="0" w:line="240" w:lineRule="auto"/>
      </w:pPr>
      <w:r>
        <w:separator/>
      </w:r>
    </w:p>
  </w:footnote>
  <w:footnote w:type="continuationSeparator" w:id="0">
    <w:p w14:paraId="36DD20CD" w14:textId="77777777" w:rsidR="00F22CC5" w:rsidRDefault="00F22CC5" w:rsidP="004F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7831" w14:textId="7BA420CF" w:rsidR="004F4A3E" w:rsidRPr="004F4A3E" w:rsidRDefault="004F4A3E" w:rsidP="0012627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036F"/>
    <w:multiLevelType w:val="hybridMultilevel"/>
    <w:tmpl w:val="17E62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F738AB"/>
    <w:multiLevelType w:val="hybridMultilevel"/>
    <w:tmpl w:val="50F66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AA58B6"/>
    <w:multiLevelType w:val="hybridMultilevel"/>
    <w:tmpl w:val="F51854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1673E5"/>
    <w:multiLevelType w:val="hybridMultilevel"/>
    <w:tmpl w:val="22323D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B24EFA"/>
    <w:multiLevelType w:val="hybridMultilevel"/>
    <w:tmpl w:val="164E0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44759C"/>
    <w:multiLevelType w:val="multilevel"/>
    <w:tmpl w:val="84C6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73D3D"/>
    <w:multiLevelType w:val="hybridMultilevel"/>
    <w:tmpl w:val="2B280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7A6497"/>
    <w:multiLevelType w:val="multilevel"/>
    <w:tmpl w:val="A478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61794"/>
    <w:multiLevelType w:val="hybridMultilevel"/>
    <w:tmpl w:val="D3E0C3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51D7CA7"/>
    <w:multiLevelType w:val="hybridMultilevel"/>
    <w:tmpl w:val="B0A09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F923D9C"/>
    <w:multiLevelType w:val="hybridMultilevel"/>
    <w:tmpl w:val="714E1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5B93E0E"/>
    <w:multiLevelType w:val="hybridMultilevel"/>
    <w:tmpl w:val="33DA9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3A6530"/>
    <w:multiLevelType w:val="hybridMultilevel"/>
    <w:tmpl w:val="66647B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03663872">
    <w:abstractNumId w:val="12"/>
  </w:num>
  <w:num w:numId="2" w16cid:durableId="1496260892">
    <w:abstractNumId w:val="8"/>
  </w:num>
  <w:num w:numId="3" w16cid:durableId="23211064">
    <w:abstractNumId w:val="6"/>
  </w:num>
  <w:num w:numId="4" w16cid:durableId="1425302290">
    <w:abstractNumId w:val="11"/>
  </w:num>
  <w:num w:numId="5" w16cid:durableId="600836743">
    <w:abstractNumId w:val="3"/>
  </w:num>
  <w:num w:numId="6" w16cid:durableId="984120275">
    <w:abstractNumId w:val="0"/>
  </w:num>
  <w:num w:numId="7" w16cid:durableId="821584572">
    <w:abstractNumId w:val="1"/>
  </w:num>
  <w:num w:numId="8" w16cid:durableId="1285188448">
    <w:abstractNumId w:val="2"/>
  </w:num>
  <w:num w:numId="9" w16cid:durableId="219677053">
    <w:abstractNumId w:val="9"/>
  </w:num>
  <w:num w:numId="10" w16cid:durableId="1692337002">
    <w:abstractNumId w:val="4"/>
  </w:num>
  <w:num w:numId="11" w16cid:durableId="505366468">
    <w:abstractNumId w:val="10"/>
  </w:num>
  <w:num w:numId="12" w16cid:durableId="1628706918">
    <w:abstractNumId w:val="7"/>
  </w:num>
  <w:num w:numId="13" w16cid:durableId="148439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80"/>
    <w:rsid w:val="0000040A"/>
    <w:rsid w:val="0000339B"/>
    <w:rsid w:val="000033CA"/>
    <w:rsid w:val="00007773"/>
    <w:rsid w:val="00011663"/>
    <w:rsid w:val="0001361A"/>
    <w:rsid w:val="00014194"/>
    <w:rsid w:val="00044ED5"/>
    <w:rsid w:val="00052D1E"/>
    <w:rsid w:val="00071DAD"/>
    <w:rsid w:val="0007772D"/>
    <w:rsid w:val="00086773"/>
    <w:rsid w:val="00086CBA"/>
    <w:rsid w:val="00094C20"/>
    <w:rsid w:val="000A44CC"/>
    <w:rsid w:val="000B0781"/>
    <w:rsid w:val="000B0AEB"/>
    <w:rsid w:val="000B50CF"/>
    <w:rsid w:val="000C073E"/>
    <w:rsid w:val="000C34DD"/>
    <w:rsid w:val="000D3D32"/>
    <w:rsid w:val="000E5115"/>
    <w:rsid w:val="000E7631"/>
    <w:rsid w:val="000F132B"/>
    <w:rsid w:val="000F790A"/>
    <w:rsid w:val="00110E4F"/>
    <w:rsid w:val="00126274"/>
    <w:rsid w:val="001271F8"/>
    <w:rsid w:val="00144311"/>
    <w:rsid w:val="00144C2E"/>
    <w:rsid w:val="00173C78"/>
    <w:rsid w:val="00176610"/>
    <w:rsid w:val="00183476"/>
    <w:rsid w:val="00185F96"/>
    <w:rsid w:val="001917BE"/>
    <w:rsid w:val="001A6F35"/>
    <w:rsid w:val="001B5BAF"/>
    <w:rsid w:val="001C3273"/>
    <w:rsid w:val="001C4071"/>
    <w:rsid w:val="001C7594"/>
    <w:rsid w:val="001D2AD2"/>
    <w:rsid w:val="001F505B"/>
    <w:rsid w:val="001F60AB"/>
    <w:rsid w:val="002060EE"/>
    <w:rsid w:val="00207994"/>
    <w:rsid w:val="002113B3"/>
    <w:rsid w:val="00212B93"/>
    <w:rsid w:val="00213D7D"/>
    <w:rsid w:val="002151D3"/>
    <w:rsid w:val="00227628"/>
    <w:rsid w:val="00232365"/>
    <w:rsid w:val="002332FD"/>
    <w:rsid w:val="002424CF"/>
    <w:rsid w:val="00242EC7"/>
    <w:rsid w:val="002443D7"/>
    <w:rsid w:val="002462D8"/>
    <w:rsid w:val="0026003B"/>
    <w:rsid w:val="002634B5"/>
    <w:rsid w:val="00264C92"/>
    <w:rsid w:val="00265743"/>
    <w:rsid w:val="00267DF4"/>
    <w:rsid w:val="00281C3C"/>
    <w:rsid w:val="002843F2"/>
    <w:rsid w:val="002A2923"/>
    <w:rsid w:val="002A3A4B"/>
    <w:rsid w:val="002A5298"/>
    <w:rsid w:val="002B310B"/>
    <w:rsid w:val="002C4777"/>
    <w:rsid w:val="002C6D8B"/>
    <w:rsid w:val="002D1E9B"/>
    <w:rsid w:val="002D3A30"/>
    <w:rsid w:val="002D5711"/>
    <w:rsid w:val="002E19F6"/>
    <w:rsid w:val="002E5C7A"/>
    <w:rsid w:val="002E5EBA"/>
    <w:rsid w:val="002F1053"/>
    <w:rsid w:val="002F312C"/>
    <w:rsid w:val="002F31AF"/>
    <w:rsid w:val="002F712E"/>
    <w:rsid w:val="00300B08"/>
    <w:rsid w:val="00304226"/>
    <w:rsid w:val="00307DD5"/>
    <w:rsid w:val="003173D3"/>
    <w:rsid w:val="00320D64"/>
    <w:rsid w:val="00335650"/>
    <w:rsid w:val="00336892"/>
    <w:rsid w:val="00337B89"/>
    <w:rsid w:val="00344458"/>
    <w:rsid w:val="00345A21"/>
    <w:rsid w:val="00350604"/>
    <w:rsid w:val="00355564"/>
    <w:rsid w:val="00385D27"/>
    <w:rsid w:val="00386FC6"/>
    <w:rsid w:val="00390C61"/>
    <w:rsid w:val="00391AC5"/>
    <w:rsid w:val="00396E04"/>
    <w:rsid w:val="00397F0F"/>
    <w:rsid w:val="003A5C2F"/>
    <w:rsid w:val="003A6371"/>
    <w:rsid w:val="003B02B5"/>
    <w:rsid w:val="003B2E25"/>
    <w:rsid w:val="003B45C2"/>
    <w:rsid w:val="003B765A"/>
    <w:rsid w:val="003B7969"/>
    <w:rsid w:val="003C328D"/>
    <w:rsid w:val="003C796D"/>
    <w:rsid w:val="003C7D73"/>
    <w:rsid w:val="003D18CC"/>
    <w:rsid w:val="003D2C74"/>
    <w:rsid w:val="003F1DDC"/>
    <w:rsid w:val="003F1EA2"/>
    <w:rsid w:val="003F5286"/>
    <w:rsid w:val="003F557D"/>
    <w:rsid w:val="0040087F"/>
    <w:rsid w:val="00400FBD"/>
    <w:rsid w:val="00406321"/>
    <w:rsid w:val="0041166E"/>
    <w:rsid w:val="00412AD2"/>
    <w:rsid w:val="0041497E"/>
    <w:rsid w:val="00414DBE"/>
    <w:rsid w:val="00420DBF"/>
    <w:rsid w:val="0043002C"/>
    <w:rsid w:val="004333C7"/>
    <w:rsid w:val="00435943"/>
    <w:rsid w:val="00441968"/>
    <w:rsid w:val="004478B6"/>
    <w:rsid w:val="00450526"/>
    <w:rsid w:val="0045578A"/>
    <w:rsid w:val="00457E3D"/>
    <w:rsid w:val="00462693"/>
    <w:rsid w:val="004661C2"/>
    <w:rsid w:val="00476DBA"/>
    <w:rsid w:val="0048771A"/>
    <w:rsid w:val="004C31AC"/>
    <w:rsid w:val="004C45A6"/>
    <w:rsid w:val="004C65E8"/>
    <w:rsid w:val="004D5CFB"/>
    <w:rsid w:val="004F0272"/>
    <w:rsid w:val="004F02F2"/>
    <w:rsid w:val="004F36A2"/>
    <w:rsid w:val="004F4A3E"/>
    <w:rsid w:val="004F4E5B"/>
    <w:rsid w:val="00501926"/>
    <w:rsid w:val="00506A8E"/>
    <w:rsid w:val="0051647A"/>
    <w:rsid w:val="00526B9B"/>
    <w:rsid w:val="0052700E"/>
    <w:rsid w:val="005342E9"/>
    <w:rsid w:val="005352A5"/>
    <w:rsid w:val="00535801"/>
    <w:rsid w:val="0054290B"/>
    <w:rsid w:val="0054503B"/>
    <w:rsid w:val="00547384"/>
    <w:rsid w:val="00551FB0"/>
    <w:rsid w:val="00564EEB"/>
    <w:rsid w:val="00575AF8"/>
    <w:rsid w:val="00580A81"/>
    <w:rsid w:val="005823FE"/>
    <w:rsid w:val="005854CE"/>
    <w:rsid w:val="00587663"/>
    <w:rsid w:val="005918A6"/>
    <w:rsid w:val="005A0F66"/>
    <w:rsid w:val="005A1593"/>
    <w:rsid w:val="005A479A"/>
    <w:rsid w:val="005B3624"/>
    <w:rsid w:val="005B419C"/>
    <w:rsid w:val="005C2425"/>
    <w:rsid w:val="005C5433"/>
    <w:rsid w:val="005D065B"/>
    <w:rsid w:val="005D3FE5"/>
    <w:rsid w:val="005D64DD"/>
    <w:rsid w:val="005E6A76"/>
    <w:rsid w:val="005F6AEE"/>
    <w:rsid w:val="00601307"/>
    <w:rsid w:val="00601534"/>
    <w:rsid w:val="00601BC8"/>
    <w:rsid w:val="00601CF5"/>
    <w:rsid w:val="00615C45"/>
    <w:rsid w:val="006205AB"/>
    <w:rsid w:val="00620648"/>
    <w:rsid w:val="00634F89"/>
    <w:rsid w:val="00642ACC"/>
    <w:rsid w:val="00644073"/>
    <w:rsid w:val="00650538"/>
    <w:rsid w:val="00653BE3"/>
    <w:rsid w:val="006654CD"/>
    <w:rsid w:val="006665A8"/>
    <w:rsid w:val="0066731B"/>
    <w:rsid w:val="0066772E"/>
    <w:rsid w:val="00674A13"/>
    <w:rsid w:val="00674BDE"/>
    <w:rsid w:val="00677292"/>
    <w:rsid w:val="00687014"/>
    <w:rsid w:val="00694158"/>
    <w:rsid w:val="006C28A1"/>
    <w:rsid w:val="006D23C7"/>
    <w:rsid w:val="006D44B3"/>
    <w:rsid w:val="006D7D0B"/>
    <w:rsid w:val="006E39F7"/>
    <w:rsid w:val="006F5B59"/>
    <w:rsid w:val="006F6C18"/>
    <w:rsid w:val="00701AF6"/>
    <w:rsid w:val="007024CF"/>
    <w:rsid w:val="007037C5"/>
    <w:rsid w:val="00707F05"/>
    <w:rsid w:val="0071153B"/>
    <w:rsid w:val="007222DC"/>
    <w:rsid w:val="007240F5"/>
    <w:rsid w:val="00724B04"/>
    <w:rsid w:val="00731DDE"/>
    <w:rsid w:val="00735429"/>
    <w:rsid w:val="00745ABF"/>
    <w:rsid w:val="007525C5"/>
    <w:rsid w:val="00755AC0"/>
    <w:rsid w:val="00761392"/>
    <w:rsid w:val="0076232A"/>
    <w:rsid w:val="00764308"/>
    <w:rsid w:val="00766FAA"/>
    <w:rsid w:val="007701D2"/>
    <w:rsid w:val="00793A9A"/>
    <w:rsid w:val="00797DFE"/>
    <w:rsid w:val="007A4527"/>
    <w:rsid w:val="007C1AAF"/>
    <w:rsid w:val="007C4057"/>
    <w:rsid w:val="007C416C"/>
    <w:rsid w:val="007C4C24"/>
    <w:rsid w:val="007C55E1"/>
    <w:rsid w:val="007D37A3"/>
    <w:rsid w:val="007D4688"/>
    <w:rsid w:val="007E42E1"/>
    <w:rsid w:val="007E5627"/>
    <w:rsid w:val="007F220E"/>
    <w:rsid w:val="007F555F"/>
    <w:rsid w:val="00800140"/>
    <w:rsid w:val="0080197C"/>
    <w:rsid w:val="00803561"/>
    <w:rsid w:val="00805843"/>
    <w:rsid w:val="00807141"/>
    <w:rsid w:val="00812F2A"/>
    <w:rsid w:val="00813109"/>
    <w:rsid w:val="0082326F"/>
    <w:rsid w:val="0083356E"/>
    <w:rsid w:val="008335BD"/>
    <w:rsid w:val="00852F18"/>
    <w:rsid w:val="0085523A"/>
    <w:rsid w:val="008562FD"/>
    <w:rsid w:val="00856618"/>
    <w:rsid w:val="0087015E"/>
    <w:rsid w:val="00871B39"/>
    <w:rsid w:val="00872D3B"/>
    <w:rsid w:val="008734E1"/>
    <w:rsid w:val="00874DF6"/>
    <w:rsid w:val="0087544D"/>
    <w:rsid w:val="00876BAA"/>
    <w:rsid w:val="00893601"/>
    <w:rsid w:val="00895D3F"/>
    <w:rsid w:val="00896ADC"/>
    <w:rsid w:val="008A4D89"/>
    <w:rsid w:val="008A5B0F"/>
    <w:rsid w:val="008A5B52"/>
    <w:rsid w:val="008B5CC4"/>
    <w:rsid w:val="008C067E"/>
    <w:rsid w:val="008C1987"/>
    <w:rsid w:val="008C2342"/>
    <w:rsid w:val="008D3655"/>
    <w:rsid w:val="008D6AA5"/>
    <w:rsid w:val="008D7819"/>
    <w:rsid w:val="008E00CB"/>
    <w:rsid w:val="008E28D2"/>
    <w:rsid w:val="008F6C23"/>
    <w:rsid w:val="00910145"/>
    <w:rsid w:val="00923E0D"/>
    <w:rsid w:val="009262F3"/>
    <w:rsid w:val="0092637C"/>
    <w:rsid w:val="009308D6"/>
    <w:rsid w:val="009360FA"/>
    <w:rsid w:val="0094713B"/>
    <w:rsid w:val="00947EC8"/>
    <w:rsid w:val="00953C80"/>
    <w:rsid w:val="009564D1"/>
    <w:rsid w:val="0095778F"/>
    <w:rsid w:val="00960752"/>
    <w:rsid w:val="00961297"/>
    <w:rsid w:val="0096389F"/>
    <w:rsid w:val="009657E8"/>
    <w:rsid w:val="00983320"/>
    <w:rsid w:val="009853A7"/>
    <w:rsid w:val="00985C0B"/>
    <w:rsid w:val="00986CD1"/>
    <w:rsid w:val="00992B59"/>
    <w:rsid w:val="00994D8C"/>
    <w:rsid w:val="009A265B"/>
    <w:rsid w:val="009A4AE0"/>
    <w:rsid w:val="009A52DD"/>
    <w:rsid w:val="009B360B"/>
    <w:rsid w:val="009C12F2"/>
    <w:rsid w:val="009C2359"/>
    <w:rsid w:val="009C28C6"/>
    <w:rsid w:val="009C3590"/>
    <w:rsid w:val="009C3BC8"/>
    <w:rsid w:val="009E5D66"/>
    <w:rsid w:val="009E5F7A"/>
    <w:rsid w:val="009F39EA"/>
    <w:rsid w:val="009F6BC4"/>
    <w:rsid w:val="00A05496"/>
    <w:rsid w:val="00A147C6"/>
    <w:rsid w:val="00A15246"/>
    <w:rsid w:val="00A200EC"/>
    <w:rsid w:val="00A24D68"/>
    <w:rsid w:val="00A34A62"/>
    <w:rsid w:val="00A367A8"/>
    <w:rsid w:val="00A403AE"/>
    <w:rsid w:val="00A577E6"/>
    <w:rsid w:val="00A61660"/>
    <w:rsid w:val="00A62AE7"/>
    <w:rsid w:val="00A64473"/>
    <w:rsid w:val="00A66306"/>
    <w:rsid w:val="00A72EFD"/>
    <w:rsid w:val="00A741C8"/>
    <w:rsid w:val="00A8276A"/>
    <w:rsid w:val="00A84C23"/>
    <w:rsid w:val="00A93402"/>
    <w:rsid w:val="00AA09F5"/>
    <w:rsid w:val="00AA51CE"/>
    <w:rsid w:val="00AC312D"/>
    <w:rsid w:val="00AD233C"/>
    <w:rsid w:val="00AE0981"/>
    <w:rsid w:val="00AE283E"/>
    <w:rsid w:val="00AE2DFD"/>
    <w:rsid w:val="00AF4942"/>
    <w:rsid w:val="00AF6B26"/>
    <w:rsid w:val="00AF7524"/>
    <w:rsid w:val="00B02C1E"/>
    <w:rsid w:val="00B12916"/>
    <w:rsid w:val="00B16315"/>
    <w:rsid w:val="00B22C1F"/>
    <w:rsid w:val="00B324E8"/>
    <w:rsid w:val="00B34A3B"/>
    <w:rsid w:val="00B42142"/>
    <w:rsid w:val="00B52C93"/>
    <w:rsid w:val="00B60DC8"/>
    <w:rsid w:val="00B70433"/>
    <w:rsid w:val="00B8004D"/>
    <w:rsid w:val="00B802E8"/>
    <w:rsid w:val="00B81F94"/>
    <w:rsid w:val="00B83E27"/>
    <w:rsid w:val="00B840B0"/>
    <w:rsid w:val="00B841A0"/>
    <w:rsid w:val="00BA3EE9"/>
    <w:rsid w:val="00BA78C5"/>
    <w:rsid w:val="00BB73B6"/>
    <w:rsid w:val="00BB79B8"/>
    <w:rsid w:val="00BD4242"/>
    <w:rsid w:val="00BD6C67"/>
    <w:rsid w:val="00BD74B3"/>
    <w:rsid w:val="00BE140B"/>
    <w:rsid w:val="00BE2332"/>
    <w:rsid w:val="00BF0E26"/>
    <w:rsid w:val="00BF2280"/>
    <w:rsid w:val="00C00EA0"/>
    <w:rsid w:val="00C01559"/>
    <w:rsid w:val="00C11A64"/>
    <w:rsid w:val="00C2380C"/>
    <w:rsid w:val="00C24AB2"/>
    <w:rsid w:val="00C26C58"/>
    <w:rsid w:val="00C26EA1"/>
    <w:rsid w:val="00C27989"/>
    <w:rsid w:val="00C32E3E"/>
    <w:rsid w:val="00C37273"/>
    <w:rsid w:val="00C372DC"/>
    <w:rsid w:val="00C41EFC"/>
    <w:rsid w:val="00C44A4C"/>
    <w:rsid w:val="00C45935"/>
    <w:rsid w:val="00C474D3"/>
    <w:rsid w:val="00C51A67"/>
    <w:rsid w:val="00C53E22"/>
    <w:rsid w:val="00C54CF5"/>
    <w:rsid w:val="00C60881"/>
    <w:rsid w:val="00C60D29"/>
    <w:rsid w:val="00C670E3"/>
    <w:rsid w:val="00C71629"/>
    <w:rsid w:val="00C72B2A"/>
    <w:rsid w:val="00C8125E"/>
    <w:rsid w:val="00C81A44"/>
    <w:rsid w:val="00C923AC"/>
    <w:rsid w:val="00C97F5A"/>
    <w:rsid w:val="00CA085D"/>
    <w:rsid w:val="00CA12AE"/>
    <w:rsid w:val="00CA2F08"/>
    <w:rsid w:val="00CA5E58"/>
    <w:rsid w:val="00CA65F0"/>
    <w:rsid w:val="00CB0F6A"/>
    <w:rsid w:val="00CB1064"/>
    <w:rsid w:val="00CB4023"/>
    <w:rsid w:val="00CC5706"/>
    <w:rsid w:val="00CE345B"/>
    <w:rsid w:val="00CE35C7"/>
    <w:rsid w:val="00CF0929"/>
    <w:rsid w:val="00CF2D25"/>
    <w:rsid w:val="00D0110F"/>
    <w:rsid w:val="00D01E8E"/>
    <w:rsid w:val="00D02BD4"/>
    <w:rsid w:val="00D05A94"/>
    <w:rsid w:val="00D05F87"/>
    <w:rsid w:val="00D10CAF"/>
    <w:rsid w:val="00D145C2"/>
    <w:rsid w:val="00D20297"/>
    <w:rsid w:val="00D205B9"/>
    <w:rsid w:val="00D20655"/>
    <w:rsid w:val="00D239F2"/>
    <w:rsid w:val="00D24273"/>
    <w:rsid w:val="00D32FE5"/>
    <w:rsid w:val="00D33904"/>
    <w:rsid w:val="00D359FE"/>
    <w:rsid w:val="00D37C78"/>
    <w:rsid w:val="00D43FF6"/>
    <w:rsid w:val="00D441A9"/>
    <w:rsid w:val="00D45FCA"/>
    <w:rsid w:val="00D47FD8"/>
    <w:rsid w:val="00D520C4"/>
    <w:rsid w:val="00D53276"/>
    <w:rsid w:val="00D61C54"/>
    <w:rsid w:val="00D61C7F"/>
    <w:rsid w:val="00D66D92"/>
    <w:rsid w:val="00D67EE4"/>
    <w:rsid w:val="00D72092"/>
    <w:rsid w:val="00D73F52"/>
    <w:rsid w:val="00D755F6"/>
    <w:rsid w:val="00D757D1"/>
    <w:rsid w:val="00D80043"/>
    <w:rsid w:val="00D82DD2"/>
    <w:rsid w:val="00D85454"/>
    <w:rsid w:val="00DA2290"/>
    <w:rsid w:val="00DB1B21"/>
    <w:rsid w:val="00DB45E9"/>
    <w:rsid w:val="00DC17B3"/>
    <w:rsid w:val="00DC2835"/>
    <w:rsid w:val="00DC3D09"/>
    <w:rsid w:val="00DC7E9B"/>
    <w:rsid w:val="00DD2CEC"/>
    <w:rsid w:val="00DD56C3"/>
    <w:rsid w:val="00DD5EFC"/>
    <w:rsid w:val="00DE7F27"/>
    <w:rsid w:val="00DF0B48"/>
    <w:rsid w:val="00E011B4"/>
    <w:rsid w:val="00E01D33"/>
    <w:rsid w:val="00E07F60"/>
    <w:rsid w:val="00E158CB"/>
    <w:rsid w:val="00E204C3"/>
    <w:rsid w:val="00E30743"/>
    <w:rsid w:val="00E321AE"/>
    <w:rsid w:val="00E333C6"/>
    <w:rsid w:val="00E34AC4"/>
    <w:rsid w:val="00E45DE9"/>
    <w:rsid w:val="00E47750"/>
    <w:rsid w:val="00E60920"/>
    <w:rsid w:val="00E60D60"/>
    <w:rsid w:val="00E611FB"/>
    <w:rsid w:val="00E636CB"/>
    <w:rsid w:val="00E63FB9"/>
    <w:rsid w:val="00E65E2D"/>
    <w:rsid w:val="00E65E88"/>
    <w:rsid w:val="00E81DE5"/>
    <w:rsid w:val="00E86CE7"/>
    <w:rsid w:val="00E87757"/>
    <w:rsid w:val="00EA5C38"/>
    <w:rsid w:val="00EB3581"/>
    <w:rsid w:val="00EB554D"/>
    <w:rsid w:val="00EC1700"/>
    <w:rsid w:val="00EC1B95"/>
    <w:rsid w:val="00EC3443"/>
    <w:rsid w:val="00EC5220"/>
    <w:rsid w:val="00ED2DC8"/>
    <w:rsid w:val="00ED40C7"/>
    <w:rsid w:val="00EE7B70"/>
    <w:rsid w:val="00EF2636"/>
    <w:rsid w:val="00F02CF6"/>
    <w:rsid w:val="00F06DE1"/>
    <w:rsid w:val="00F10822"/>
    <w:rsid w:val="00F13463"/>
    <w:rsid w:val="00F20629"/>
    <w:rsid w:val="00F22CC5"/>
    <w:rsid w:val="00F22CD5"/>
    <w:rsid w:val="00F32759"/>
    <w:rsid w:val="00F4132D"/>
    <w:rsid w:val="00F45E4A"/>
    <w:rsid w:val="00F45F83"/>
    <w:rsid w:val="00F50C76"/>
    <w:rsid w:val="00F53EFF"/>
    <w:rsid w:val="00F57999"/>
    <w:rsid w:val="00F656C6"/>
    <w:rsid w:val="00F660DE"/>
    <w:rsid w:val="00F663E8"/>
    <w:rsid w:val="00F70E4D"/>
    <w:rsid w:val="00F770CA"/>
    <w:rsid w:val="00F80614"/>
    <w:rsid w:val="00F862BE"/>
    <w:rsid w:val="00F8640D"/>
    <w:rsid w:val="00F90FA6"/>
    <w:rsid w:val="00F939C2"/>
    <w:rsid w:val="00F9664D"/>
    <w:rsid w:val="00FA4686"/>
    <w:rsid w:val="00FA74E2"/>
    <w:rsid w:val="00FA7534"/>
    <w:rsid w:val="00FB51A1"/>
    <w:rsid w:val="00FB6E1A"/>
    <w:rsid w:val="00FC015E"/>
    <w:rsid w:val="00FC52A6"/>
    <w:rsid w:val="00FC6563"/>
    <w:rsid w:val="00FD2C66"/>
    <w:rsid w:val="00FD3534"/>
    <w:rsid w:val="00FD4944"/>
    <w:rsid w:val="00FE29CB"/>
    <w:rsid w:val="00FE4980"/>
    <w:rsid w:val="00FE7117"/>
    <w:rsid w:val="00FF52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8F2"/>
  <w15:chartTrackingRefBased/>
  <w15:docId w15:val="{C3C513B1-7F73-479E-A158-537E338D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3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C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C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C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3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C80"/>
    <w:rPr>
      <w:rFonts w:eastAsiaTheme="majorEastAsia" w:cstheme="majorBidi"/>
      <w:color w:val="272727" w:themeColor="text1" w:themeTint="D8"/>
    </w:rPr>
  </w:style>
  <w:style w:type="paragraph" w:styleId="Title">
    <w:name w:val="Title"/>
    <w:basedOn w:val="Normal"/>
    <w:next w:val="Normal"/>
    <w:link w:val="TitleChar"/>
    <w:uiPriority w:val="10"/>
    <w:qFormat/>
    <w:rsid w:val="0095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C80"/>
    <w:pPr>
      <w:spacing w:before="160"/>
      <w:jc w:val="center"/>
    </w:pPr>
    <w:rPr>
      <w:i/>
      <w:iCs/>
      <w:color w:val="404040" w:themeColor="text1" w:themeTint="BF"/>
    </w:rPr>
  </w:style>
  <w:style w:type="character" w:customStyle="1" w:styleId="QuoteChar">
    <w:name w:val="Quote Char"/>
    <w:basedOn w:val="DefaultParagraphFont"/>
    <w:link w:val="Quote"/>
    <w:uiPriority w:val="29"/>
    <w:rsid w:val="00953C80"/>
    <w:rPr>
      <w:i/>
      <w:iCs/>
      <w:color w:val="404040" w:themeColor="text1" w:themeTint="BF"/>
    </w:rPr>
  </w:style>
  <w:style w:type="paragraph" w:styleId="ListParagraph">
    <w:name w:val="List Paragraph"/>
    <w:basedOn w:val="Normal"/>
    <w:uiPriority w:val="34"/>
    <w:qFormat/>
    <w:rsid w:val="00953C80"/>
    <w:pPr>
      <w:ind w:left="720"/>
      <w:contextualSpacing/>
    </w:pPr>
  </w:style>
  <w:style w:type="character" w:styleId="IntenseEmphasis">
    <w:name w:val="Intense Emphasis"/>
    <w:basedOn w:val="DefaultParagraphFont"/>
    <w:uiPriority w:val="21"/>
    <w:qFormat/>
    <w:rsid w:val="00953C80"/>
    <w:rPr>
      <w:i/>
      <w:iCs/>
      <w:color w:val="2F5496" w:themeColor="accent1" w:themeShade="BF"/>
    </w:rPr>
  </w:style>
  <w:style w:type="paragraph" w:styleId="IntenseQuote">
    <w:name w:val="Intense Quote"/>
    <w:basedOn w:val="Normal"/>
    <w:next w:val="Normal"/>
    <w:link w:val="IntenseQuoteChar"/>
    <w:uiPriority w:val="30"/>
    <w:qFormat/>
    <w:rsid w:val="00953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C80"/>
    <w:rPr>
      <w:i/>
      <w:iCs/>
      <w:color w:val="2F5496" w:themeColor="accent1" w:themeShade="BF"/>
    </w:rPr>
  </w:style>
  <w:style w:type="character" w:styleId="IntenseReference">
    <w:name w:val="Intense Reference"/>
    <w:basedOn w:val="DefaultParagraphFont"/>
    <w:uiPriority w:val="32"/>
    <w:qFormat/>
    <w:rsid w:val="00953C80"/>
    <w:rPr>
      <w:b/>
      <w:bCs/>
      <w:smallCaps/>
      <w:color w:val="2F5496" w:themeColor="accent1" w:themeShade="BF"/>
      <w:spacing w:val="5"/>
    </w:rPr>
  </w:style>
  <w:style w:type="paragraph" w:styleId="Header">
    <w:name w:val="header"/>
    <w:basedOn w:val="Normal"/>
    <w:link w:val="HeaderChar"/>
    <w:uiPriority w:val="99"/>
    <w:unhideWhenUsed/>
    <w:rsid w:val="004F4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3E"/>
  </w:style>
  <w:style w:type="paragraph" w:styleId="Footer">
    <w:name w:val="footer"/>
    <w:basedOn w:val="Normal"/>
    <w:link w:val="FooterChar"/>
    <w:uiPriority w:val="99"/>
    <w:unhideWhenUsed/>
    <w:rsid w:val="004F4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3E"/>
  </w:style>
  <w:style w:type="character" w:styleId="Hyperlink">
    <w:name w:val="Hyperlink"/>
    <w:basedOn w:val="DefaultParagraphFont"/>
    <w:uiPriority w:val="99"/>
    <w:unhideWhenUsed/>
    <w:rsid w:val="00A367A8"/>
    <w:rPr>
      <w:color w:val="0563C1" w:themeColor="hyperlink"/>
      <w:u w:val="single"/>
    </w:rPr>
  </w:style>
  <w:style w:type="character" w:styleId="UnresolvedMention">
    <w:name w:val="Unresolved Mention"/>
    <w:basedOn w:val="DefaultParagraphFont"/>
    <w:uiPriority w:val="99"/>
    <w:semiHidden/>
    <w:unhideWhenUsed/>
    <w:rsid w:val="00A367A8"/>
    <w:rPr>
      <w:color w:val="605E5C"/>
      <w:shd w:val="clear" w:color="auto" w:fill="E1DFDD"/>
    </w:rPr>
  </w:style>
  <w:style w:type="table" w:styleId="TableGrid">
    <w:name w:val="Table Grid"/>
    <w:basedOn w:val="TableNormal"/>
    <w:uiPriority w:val="39"/>
    <w:rsid w:val="00003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C4071"/>
    <w:pPr>
      <w:tabs>
        <w:tab w:val="left" w:pos="264"/>
      </w:tabs>
      <w:spacing w:after="0" w:line="480" w:lineRule="auto"/>
      <w:ind w:left="264" w:hanging="264"/>
    </w:pPr>
  </w:style>
  <w:style w:type="paragraph" w:styleId="NormalWeb">
    <w:name w:val="Normal (Web)"/>
    <w:basedOn w:val="Normal"/>
    <w:uiPriority w:val="99"/>
    <w:unhideWhenUsed/>
    <w:rsid w:val="001262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6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943</Words>
  <Characters>5528</Characters>
  <Application>Microsoft Office Word</Application>
  <DocSecurity>0</DocSecurity>
  <Lines>263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 Capital</dc:creator>
  <cp:keywords/>
  <dc:description/>
  <cp:lastModifiedBy>Nikki Hawke</cp:lastModifiedBy>
  <cp:revision>4</cp:revision>
  <dcterms:created xsi:type="dcterms:W3CDTF">2026-02-26T18:43:00Z</dcterms:created>
  <dcterms:modified xsi:type="dcterms:W3CDTF">2026-02-26T19:34:00Z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id="EpjTguDr"/&gt;&lt;style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