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2FA56" w14:textId="43D737A5" w:rsidR="00B1439B" w:rsidRDefault="00000000">
      <w:pPr>
        <w:jc w:val="center"/>
      </w:pPr>
      <w:r>
        <w:rPr>
          <w:b/>
          <w:sz w:val="27"/>
          <w:szCs w:val="27"/>
        </w:rPr>
        <w:t xml:space="preserve"> Microaggressions Experienced by Emerging Adults (16-25 years old) with Tourette </w:t>
      </w:r>
      <w:r w:rsidR="00C02E28">
        <w:rPr>
          <w:b/>
          <w:sz w:val="27"/>
          <w:szCs w:val="27"/>
        </w:rPr>
        <w:t>Syndrome</w:t>
      </w:r>
    </w:p>
    <w:p w14:paraId="0A9AB6A6" w14:textId="33EB57F4" w:rsidR="00B1439B" w:rsidRPr="00271760" w:rsidRDefault="00000000">
      <w:pPr>
        <w:spacing w:line="360" w:lineRule="auto"/>
        <w:jc w:val="center"/>
        <w:rPr>
          <w:vertAlign w:val="superscript"/>
          <w:lang w:val="fr-CA"/>
        </w:rPr>
      </w:pPr>
      <w:r w:rsidRPr="00271760">
        <w:rPr>
          <w:u w:val="single"/>
          <w:lang w:val="fr-CA"/>
        </w:rPr>
        <w:t>Beaulieu, C.</w:t>
      </w:r>
      <w:r w:rsidRPr="00271760">
        <w:rPr>
          <w:vertAlign w:val="superscript"/>
          <w:lang w:val="fr-CA"/>
        </w:rPr>
        <w:t>1,2</w:t>
      </w:r>
      <w:r w:rsidR="0008226E">
        <w:rPr>
          <w:vertAlign w:val="superscript"/>
          <w:lang w:val="fr-CA"/>
        </w:rPr>
        <w:t>,3</w:t>
      </w:r>
      <w:r w:rsidRPr="00271760">
        <w:rPr>
          <w:lang w:val="fr-CA"/>
        </w:rPr>
        <w:t>, Gagnon, M.</w:t>
      </w:r>
      <w:r w:rsidRPr="00271760">
        <w:rPr>
          <w:vertAlign w:val="superscript"/>
          <w:lang w:val="fr-CA"/>
        </w:rPr>
        <w:t>1,2</w:t>
      </w:r>
      <w:r w:rsidR="0008226E">
        <w:rPr>
          <w:vertAlign w:val="superscript"/>
          <w:lang w:val="fr-CA"/>
        </w:rPr>
        <w:t>,3</w:t>
      </w:r>
      <w:r w:rsidRPr="00271760">
        <w:rPr>
          <w:lang w:val="fr-CA"/>
        </w:rPr>
        <w:t xml:space="preserve"> and Leclerc, J.</w:t>
      </w:r>
      <w:r w:rsidRPr="00271760">
        <w:rPr>
          <w:vertAlign w:val="superscript"/>
          <w:lang w:val="fr-CA"/>
        </w:rPr>
        <w:t>1,2</w:t>
      </w:r>
      <w:r w:rsidR="0008226E">
        <w:rPr>
          <w:vertAlign w:val="superscript"/>
          <w:lang w:val="fr-CA"/>
        </w:rPr>
        <w:t>,3</w:t>
      </w:r>
    </w:p>
    <w:p w14:paraId="6C5DA617" w14:textId="1152DDE2" w:rsidR="00B1439B" w:rsidRDefault="00000000">
      <w:pPr>
        <w:pBdr>
          <w:bottom w:val="single" w:sz="12" w:space="1" w:color="000000"/>
        </w:pBdr>
        <w:jc w:val="center"/>
        <w:rPr>
          <w:lang w:val="fr-CA"/>
        </w:rPr>
      </w:pPr>
      <w:r w:rsidRPr="00271760">
        <w:rPr>
          <w:vertAlign w:val="superscript"/>
          <w:lang w:val="fr-CA"/>
        </w:rPr>
        <w:t>1</w:t>
      </w:r>
      <w:r w:rsidRPr="00271760">
        <w:rPr>
          <w:lang w:val="fr-CA"/>
        </w:rPr>
        <w:t xml:space="preserve"> Université du Québec à Montréal</w:t>
      </w:r>
      <w:r w:rsidRPr="00271760">
        <w:rPr>
          <w:lang w:val="fr-CA"/>
        </w:rPr>
        <w:br/>
      </w:r>
      <w:r w:rsidRPr="00271760">
        <w:rPr>
          <w:vertAlign w:val="superscript"/>
          <w:lang w:val="fr-CA"/>
        </w:rPr>
        <w:t>2</w:t>
      </w:r>
      <w:r w:rsidRPr="00271760">
        <w:rPr>
          <w:lang w:val="fr-CA"/>
        </w:rPr>
        <w:t xml:space="preserve"> </w:t>
      </w:r>
      <w:r w:rsidR="001713E4">
        <w:rPr>
          <w:lang w:val="fr-CA"/>
        </w:rPr>
        <w:t>Centre de recherche de l’</w:t>
      </w:r>
      <w:r w:rsidRPr="00271760">
        <w:rPr>
          <w:lang w:val="fr-CA"/>
        </w:rPr>
        <w:t>Institut universitaire en santé mentale de Montréal</w:t>
      </w:r>
    </w:p>
    <w:p w14:paraId="3316E8E4" w14:textId="0FEB6322" w:rsidR="0008226E" w:rsidRPr="0008226E" w:rsidRDefault="0008226E">
      <w:pPr>
        <w:pBdr>
          <w:bottom w:val="single" w:sz="12" w:space="1" w:color="000000"/>
        </w:pBdr>
        <w:jc w:val="center"/>
        <w:rPr>
          <w:lang w:val="fr-CA"/>
        </w:rPr>
      </w:pPr>
      <w:r w:rsidRPr="0008226E">
        <w:rPr>
          <w:vertAlign w:val="superscript"/>
          <w:lang w:val="fr-CA"/>
        </w:rPr>
        <w:t xml:space="preserve">3 </w:t>
      </w:r>
      <w:r>
        <w:rPr>
          <w:lang w:val="fr-CA"/>
        </w:rPr>
        <w:t>Centre de recherche de l’Hôpital en santé mentale Rivière-des-Prairies</w:t>
      </w:r>
    </w:p>
    <w:p w14:paraId="5FB9AB80" w14:textId="77777777" w:rsidR="00B1439B" w:rsidRPr="00271760" w:rsidRDefault="00B1439B">
      <w:pPr>
        <w:rPr>
          <w:b/>
          <w:sz w:val="23"/>
          <w:szCs w:val="23"/>
          <w:lang w:val="fr-CA"/>
        </w:rPr>
      </w:pPr>
    </w:p>
    <w:p w14:paraId="70F5441C" w14:textId="77777777" w:rsidR="00B1439B" w:rsidRPr="0008226E" w:rsidRDefault="00000000">
      <w:pPr>
        <w:rPr>
          <w:b/>
          <w:lang w:val="fr-CA"/>
        </w:rPr>
      </w:pPr>
      <w:r w:rsidRPr="0008226E">
        <w:rPr>
          <w:b/>
          <w:sz w:val="23"/>
          <w:szCs w:val="23"/>
          <w:lang w:val="fr-CA"/>
        </w:rPr>
        <w:t>Background</w:t>
      </w:r>
      <w:r w:rsidRPr="0008226E">
        <w:rPr>
          <w:b/>
          <w:lang w:val="fr-CA"/>
        </w:rPr>
        <w:t>:</w:t>
      </w:r>
    </w:p>
    <w:p w14:paraId="0C42D49F" w14:textId="50499A78" w:rsidR="00B1439B" w:rsidRDefault="00000000">
      <w:pPr>
        <w:rPr>
          <w:b/>
          <w:sz w:val="23"/>
          <w:szCs w:val="23"/>
        </w:rPr>
      </w:pPr>
      <w:r>
        <w:t>Microaggressions are brief, mostly unintentional</w:t>
      </w:r>
      <w:r w:rsidR="00A275BA">
        <w:t>,</w:t>
      </w:r>
      <w:r>
        <w:t xml:space="preserve"> and commonplace daily indignities that communicate discriminatory slights and insults to marginalized groups. Between the ages of 16 and 25, emerging adults experience multiple changes that can affect their quality of life (e.g., starting college, having their first job, obtaining their driving license, experiencing new relationships). Emerging adults with Tourette Syndrome (TS) manifest motor and vocal tics, which put them at greater risk of experiencing discrimination since these tics are mostly visible. They may also experience additional challenges </w:t>
      </w:r>
      <w:proofErr w:type="gramStart"/>
      <w:r>
        <w:t>as a result of</w:t>
      </w:r>
      <w:proofErr w:type="gramEnd"/>
      <w:r>
        <w:t xml:space="preserve"> their tics, such as having to choose whether or not to disclose TS, explain what a tic is, or face the stigma of some colleagues or friends. Tic severity could also be related to the experience of microaggressions, since it has been shown that people with more severe tics are less socially accepted. Additionally, higher levels of experienced microaggressions by individuals with marginalized identities is inversely correlated with quality of life. The experience of microaggressions in emerging adults with TS could incidentally result in decreased quality of life. This study is the first to assess the experience of microaggressions in emerging adults with TS. The aims of th</w:t>
      </w:r>
      <w:r w:rsidR="000B381A">
        <w:t>is</w:t>
      </w:r>
      <w:r>
        <w:t xml:space="preserve"> study are to evaluate: 1) the extent of microaggressions experienced by emerging adults with TS, 2) the association between tic severity and microaggressions, and 3) the association between microaggressions and quality of life in TS.  </w:t>
      </w:r>
    </w:p>
    <w:p w14:paraId="7AE38158" w14:textId="77777777" w:rsidR="00B1439B" w:rsidRDefault="00000000">
      <w:pPr>
        <w:rPr>
          <w:b/>
          <w:sz w:val="23"/>
          <w:szCs w:val="23"/>
        </w:rPr>
      </w:pPr>
      <w:r>
        <w:rPr>
          <w:b/>
          <w:sz w:val="23"/>
          <w:szCs w:val="23"/>
        </w:rPr>
        <w:t>Methods:</w:t>
      </w:r>
    </w:p>
    <w:p w14:paraId="04E605E8" w14:textId="38F49AFC" w:rsidR="00B1439B" w:rsidRDefault="00000000">
      <w:r>
        <w:t>Thirty-four adults with TS aged from 16 to 25 completed the questionnaires. The</w:t>
      </w:r>
      <w:r>
        <w:rPr>
          <w:i/>
        </w:rPr>
        <w:t xml:space="preserve"> Adult Tic Questionnaire</w:t>
      </w:r>
      <w:r>
        <w:t xml:space="preserve"> is used to measure tic severity. An adapted version of the </w:t>
      </w:r>
      <w:r>
        <w:rPr>
          <w:i/>
        </w:rPr>
        <w:t>Ableist Microaggressions Scale</w:t>
      </w:r>
      <w:r>
        <w:t xml:space="preserve"> is used to measure microaggressions (scale of 0 to 5). The </w:t>
      </w:r>
      <w:r>
        <w:rPr>
          <w:i/>
        </w:rPr>
        <w:t xml:space="preserve">Pediatric Quality of Life Inventory 4.0 – Young Adult Version </w:t>
      </w:r>
      <w:r>
        <w:t xml:space="preserve">is used to measure the quality of life. Descriptive statistics and simple linear regression were conducted. </w:t>
      </w:r>
    </w:p>
    <w:p w14:paraId="077D4F5B" w14:textId="77777777" w:rsidR="00B1439B" w:rsidRDefault="00000000">
      <w:pPr>
        <w:rPr>
          <w:b/>
          <w:sz w:val="23"/>
          <w:szCs w:val="23"/>
        </w:rPr>
      </w:pPr>
      <w:r>
        <w:rPr>
          <w:b/>
          <w:sz w:val="23"/>
          <w:szCs w:val="23"/>
        </w:rPr>
        <w:t>Results:</w:t>
      </w:r>
    </w:p>
    <w:p w14:paraId="6D5A00C4" w14:textId="4280BA85" w:rsidR="00B1439B" w:rsidRDefault="00D43FB1">
      <w:proofErr w:type="gramStart"/>
      <w:r>
        <w:t>The vast majority of</w:t>
      </w:r>
      <w:proofErr w:type="gramEnd"/>
      <w:r>
        <w:t xml:space="preserve"> emerging adults with TS (94 %) has experienced at least one form of microaggression.</w:t>
      </w:r>
      <w:r w:rsidR="00000000">
        <w:t xml:space="preserve"> </w:t>
      </w:r>
      <w:r>
        <w:t>M</w:t>
      </w:r>
      <w:r w:rsidR="00000000">
        <w:t>inimization (</w:t>
      </w:r>
      <w:r w:rsidR="00000000">
        <w:rPr>
          <w:i/>
        </w:rPr>
        <w:t>M</w:t>
      </w:r>
      <w:r w:rsidR="00000000">
        <w:t xml:space="preserve"> = 1.87) and helplessness (</w:t>
      </w:r>
      <w:r w:rsidR="00000000">
        <w:rPr>
          <w:i/>
        </w:rPr>
        <w:t>M</w:t>
      </w:r>
      <w:r w:rsidR="00000000">
        <w:t xml:space="preserve"> = 1.36)</w:t>
      </w:r>
      <w:r>
        <w:t xml:space="preserve"> </w:t>
      </w:r>
      <w:r w:rsidR="000B381A">
        <w:t>were</w:t>
      </w:r>
      <w:r>
        <w:t xml:space="preserve"> the most </w:t>
      </w:r>
      <w:r w:rsidR="000B381A">
        <w:t>experienced forms</w:t>
      </w:r>
      <w:r w:rsidR="0067283B">
        <w:t xml:space="preserve"> (</w:t>
      </w:r>
      <w:proofErr w:type="gramStart"/>
      <w:r w:rsidR="0067283B">
        <w:t>e.g.</w:t>
      </w:r>
      <w:proofErr w:type="gramEnd"/>
      <w:r w:rsidR="0067283B">
        <w:t xml:space="preserve"> </w:t>
      </w:r>
      <w:r w:rsidR="00000000">
        <w:t>30 % of the participants mentioned that people express pity for them « frequently » to « very frequently »</w:t>
      </w:r>
      <w:r w:rsidR="0067283B">
        <w:t>)</w:t>
      </w:r>
      <w:r w:rsidR="00000000">
        <w:t>. Results show that tic severity (presence, frequency, intensity) is a significant predictor of perceived microaggressions (</w:t>
      </w:r>
      <w:r w:rsidR="00000000">
        <w:rPr>
          <w:i/>
        </w:rPr>
        <w:t>p</w:t>
      </w:r>
      <w:r w:rsidR="00000000">
        <w:t xml:space="preserve"> = .024). Vocal tic severity is a greater predictor of perceived microaggressions (</w:t>
      </w:r>
      <w:r w:rsidR="00000000">
        <w:rPr>
          <w:i/>
        </w:rPr>
        <w:t>p</w:t>
      </w:r>
      <w:r w:rsidR="00000000">
        <w:t xml:space="preserve"> = .005) </w:t>
      </w:r>
      <w:r w:rsidR="001713E4" w:rsidRPr="0008226E">
        <w:t xml:space="preserve">but not </w:t>
      </w:r>
      <w:r w:rsidR="00000000">
        <w:t>motor tic severity (</w:t>
      </w:r>
      <w:r w:rsidR="00000000">
        <w:rPr>
          <w:i/>
        </w:rPr>
        <w:t>p</w:t>
      </w:r>
      <w:r w:rsidR="00000000">
        <w:t xml:space="preserve"> = .164). Perceived microaggressions </w:t>
      </w:r>
      <w:r w:rsidR="0078088B">
        <w:t xml:space="preserve">are </w:t>
      </w:r>
      <w:r w:rsidR="00000000">
        <w:t>a significant predictor of quality of life among participants (</w:t>
      </w:r>
      <w:r w:rsidR="00000000">
        <w:rPr>
          <w:i/>
        </w:rPr>
        <w:t>p</w:t>
      </w:r>
      <w:r w:rsidR="000B381A">
        <w:t> </w:t>
      </w:r>
      <w:r w:rsidR="00000000">
        <w:t>=</w:t>
      </w:r>
      <w:r w:rsidR="000B381A">
        <w:t> </w:t>
      </w:r>
      <w:r w:rsidR="00000000">
        <w:t>.001).</w:t>
      </w:r>
    </w:p>
    <w:p w14:paraId="30DC4D93" w14:textId="77777777" w:rsidR="00B1439B" w:rsidRDefault="00000000">
      <w:r>
        <w:rPr>
          <w:b/>
          <w:sz w:val="23"/>
          <w:szCs w:val="23"/>
        </w:rPr>
        <w:t>Conclusions:</w:t>
      </w:r>
    </w:p>
    <w:p w14:paraId="1D84FE44" w14:textId="318D1686" w:rsidR="00B1439B" w:rsidRPr="00B32AF1" w:rsidRDefault="000B381A" w:rsidP="00B32AF1">
      <w:r>
        <w:t>Results</w:t>
      </w:r>
      <w:r w:rsidR="00000000">
        <w:t xml:space="preserve"> are concordant with scientific literature concerning discrimination experienced by people living with TS. Indeed, adults with TS experience overt and covert discrimination in multiple dimensions of their life, which </w:t>
      </w:r>
      <w:proofErr w:type="gramStart"/>
      <w:r w:rsidR="00000000">
        <w:t>has an effect on</w:t>
      </w:r>
      <w:proofErr w:type="gramEnd"/>
      <w:r w:rsidR="00000000">
        <w:t xml:space="preserve"> their quality of life. Minimization of their needs and experiences can lead to significant education or work barriers in the beginning </w:t>
      </w:r>
      <w:r w:rsidR="00A275BA">
        <w:t xml:space="preserve">of </w:t>
      </w:r>
      <w:r w:rsidR="00000000">
        <w:t>these emerging adults</w:t>
      </w:r>
      <w:r w:rsidR="003D760A">
        <w:t>’</w:t>
      </w:r>
      <w:r w:rsidR="00000000">
        <w:t xml:space="preserve"> lives. Given the specific challenges faced by emerging adults with TS, is it essential to incorporate these findings into clinical practice to help reduce the effects of stigmatization.</w:t>
      </w:r>
    </w:p>
    <w:sectPr w:rsidR="00B1439B" w:rsidRPr="00B32AF1">
      <w:headerReference w:type="default" r:id="rId8"/>
      <w:footerReference w:type="default" r:id="rId9"/>
      <w:pgSz w:w="11900" w:h="16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F1292" w14:textId="77777777" w:rsidR="00A06324" w:rsidRDefault="00A06324">
      <w:r>
        <w:separator/>
      </w:r>
    </w:p>
  </w:endnote>
  <w:endnote w:type="continuationSeparator" w:id="0">
    <w:p w14:paraId="0C13C00F" w14:textId="77777777" w:rsidR="00A06324" w:rsidRDefault="00A06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20F86" w14:textId="77777777" w:rsidR="00B1439B" w:rsidRDefault="00B1439B">
    <w:pPr>
      <w:pBdr>
        <w:top w:val="nil"/>
        <w:left w:val="nil"/>
        <w:bottom w:val="nil"/>
        <w:right w:val="nil"/>
        <w:between w:val="nil"/>
      </w:pBdr>
      <w:tabs>
        <w:tab w:val="center" w:pos="4513"/>
        <w:tab w:val="right" w:pos="9026"/>
      </w:tabs>
      <w:jc w:val="center"/>
      <w:rPr>
        <w:color w:val="000000"/>
      </w:rPr>
    </w:pPr>
  </w:p>
  <w:p w14:paraId="221A3B4F" w14:textId="77777777" w:rsidR="00B1439B"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271760">
      <w:rPr>
        <w:noProof/>
        <w:color w:val="000000"/>
      </w:rPr>
      <w:t>1</w:t>
    </w:r>
    <w:r>
      <w:rPr>
        <w:color w:val="000000"/>
      </w:rPr>
      <w:fldChar w:fldCharType="end"/>
    </w:r>
  </w:p>
  <w:p w14:paraId="6361FEF1" w14:textId="77777777" w:rsidR="00B1439B" w:rsidRDefault="00B1439B">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A7640" w14:textId="77777777" w:rsidR="00A06324" w:rsidRDefault="00A06324">
      <w:r>
        <w:separator/>
      </w:r>
    </w:p>
  </w:footnote>
  <w:footnote w:type="continuationSeparator" w:id="0">
    <w:p w14:paraId="7A367DB1" w14:textId="77777777" w:rsidR="00A06324" w:rsidRDefault="00A06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58DE" w14:textId="77777777" w:rsidR="00B1439B" w:rsidRDefault="00000000">
    <w:pPr>
      <w:pBdr>
        <w:top w:val="nil"/>
        <w:left w:val="nil"/>
        <w:bottom w:val="nil"/>
        <w:right w:val="nil"/>
        <w:between w:val="nil"/>
      </w:pBdr>
      <w:tabs>
        <w:tab w:val="center" w:pos="4513"/>
        <w:tab w:val="right" w:pos="9026"/>
        <w:tab w:val="left" w:pos="764"/>
      </w:tabs>
      <w:rPr>
        <w:color w:val="000000"/>
      </w:rPr>
    </w:pPr>
    <w:r>
      <w:rPr>
        <w:noProof/>
      </w:rPr>
      <w:drawing>
        <wp:anchor distT="0" distB="0" distL="0" distR="0" simplePos="0" relativeHeight="251658240" behindDoc="1" locked="0" layoutInCell="1" hidden="0" allowOverlap="1" wp14:anchorId="4BCD6117" wp14:editId="21129EDA">
          <wp:simplePos x="0" y="0"/>
          <wp:positionH relativeFrom="column">
            <wp:posOffset>-961600</wp:posOffset>
          </wp:positionH>
          <wp:positionV relativeFrom="paragraph">
            <wp:posOffset>-94614</wp:posOffset>
          </wp:positionV>
          <wp:extent cx="1075267" cy="430081"/>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75267" cy="430081"/>
                  </a:xfrm>
                  <a:prstGeom prst="rect">
                    <a:avLst/>
                  </a:prstGeom>
                  <a:ln/>
                </pic:spPr>
              </pic:pic>
            </a:graphicData>
          </a:graphic>
        </wp:anchor>
      </w:drawing>
    </w:r>
  </w:p>
  <w:p w14:paraId="7D351F1A" w14:textId="77777777" w:rsidR="00B1439B" w:rsidRDefault="00000000">
    <w:pPr>
      <w:pBdr>
        <w:top w:val="nil"/>
        <w:left w:val="nil"/>
        <w:bottom w:val="nil"/>
        <w:right w:val="nil"/>
        <w:between w:val="nil"/>
      </w:pBdr>
      <w:tabs>
        <w:tab w:val="center" w:pos="4513"/>
        <w:tab w:val="right" w:pos="9026"/>
        <w:tab w:val="left" w:pos="764"/>
      </w:tabs>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B6F2F"/>
    <w:multiLevelType w:val="multilevel"/>
    <w:tmpl w:val="65443E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D8041F4"/>
    <w:multiLevelType w:val="multilevel"/>
    <w:tmpl w:val="ED7438AA"/>
    <w:lvl w:ilvl="0">
      <w:numFmt w:val="bullet"/>
      <w:lvlText w:val="-"/>
      <w:lvlJc w:val="left"/>
      <w:pPr>
        <w:ind w:left="510" w:hanging="360"/>
      </w:pPr>
      <w:rPr>
        <w:rFonts w:ascii="Times New Roman" w:eastAsia="Times New Roman" w:hAnsi="Times New Roman" w:cs="Times New Roman"/>
      </w:rPr>
    </w:lvl>
    <w:lvl w:ilvl="1">
      <w:start w:val="1"/>
      <w:numFmt w:val="bullet"/>
      <w:lvlText w:val="o"/>
      <w:lvlJc w:val="left"/>
      <w:pPr>
        <w:ind w:left="1230" w:hanging="360"/>
      </w:pPr>
      <w:rPr>
        <w:rFonts w:ascii="Courier New" w:eastAsia="Courier New" w:hAnsi="Courier New" w:cs="Courier New"/>
      </w:rPr>
    </w:lvl>
    <w:lvl w:ilvl="2">
      <w:start w:val="1"/>
      <w:numFmt w:val="bullet"/>
      <w:lvlText w:val="▪"/>
      <w:lvlJc w:val="left"/>
      <w:pPr>
        <w:ind w:left="1950" w:hanging="360"/>
      </w:pPr>
      <w:rPr>
        <w:rFonts w:ascii="Noto Sans Symbols" w:eastAsia="Noto Sans Symbols" w:hAnsi="Noto Sans Symbols" w:cs="Noto Sans Symbols"/>
      </w:rPr>
    </w:lvl>
    <w:lvl w:ilvl="3">
      <w:start w:val="1"/>
      <w:numFmt w:val="bullet"/>
      <w:lvlText w:val="●"/>
      <w:lvlJc w:val="left"/>
      <w:pPr>
        <w:ind w:left="2670" w:hanging="360"/>
      </w:pPr>
      <w:rPr>
        <w:rFonts w:ascii="Noto Sans Symbols" w:eastAsia="Noto Sans Symbols" w:hAnsi="Noto Sans Symbols" w:cs="Noto Sans Symbols"/>
      </w:rPr>
    </w:lvl>
    <w:lvl w:ilvl="4">
      <w:start w:val="1"/>
      <w:numFmt w:val="bullet"/>
      <w:lvlText w:val="o"/>
      <w:lvlJc w:val="left"/>
      <w:pPr>
        <w:ind w:left="3390" w:hanging="360"/>
      </w:pPr>
      <w:rPr>
        <w:rFonts w:ascii="Courier New" w:eastAsia="Courier New" w:hAnsi="Courier New" w:cs="Courier New"/>
      </w:rPr>
    </w:lvl>
    <w:lvl w:ilvl="5">
      <w:start w:val="1"/>
      <w:numFmt w:val="bullet"/>
      <w:lvlText w:val="▪"/>
      <w:lvlJc w:val="left"/>
      <w:pPr>
        <w:ind w:left="4110" w:hanging="360"/>
      </w:pPr>
      <w:rPr>
        <w:rFonts w:ascii="Noto Sans Symbols" w:eastAsia="Noto Sans Symbols" w:hAnsi="Noto Sans Symbols" w:cs="Noto Sans Symbols"/>
      </w:rPr>
    </w:lvl>
    <w:lvl w:ilvl="6">
      <w:start w:val="1"/>
      <w:numFmt w:val="bullet"/>
      <w:lvlText w:val="●"/>
      <w:lvlJc w:val="left"/>
      <w:pPr>
        <w:ind w:left="4830" w:hanging="360"/>
      </w:pPr>
      <w:rPr>
        <w:rFonts w:ascii="Noto Sans Symbols" w:eastAsia="Noto Sans Symbols" w:hAnsi="Noto Sans Symbols" w:cs="Noto Sans Symbols"/>
      </w:rPr>
    </w:lvl>
    <w:lvl w:ilvl="7">
      <w:start w:val="1"/>
      <w:numFmt w:val="bullet"/>
      <w:lvlText w:val="o"/>
      <w:lvlJc w:val="left"/>
      <w:pPr>
        <w:ind w:left="5550" w:hanging="360"/>
      </w:pPr>
      <w:rPr>
        <w:rFonts w:ascii="Courier New" w:eastAsia="Courier New" w:hAnsi="Courier New" w:cs="Courier New"/>
      </w:rPr>
    </w:lvl>
    <w:lvl w:ilvl="8">
      <w:start w:val="1"/>
      <w:numFmt w:val="bullet"/>
      <w:lvlText w:val="▪"/>
      <w:lvlJc w:val="left"/>
      <w:pPr>
        <w:ind w:left="6270" w:hanging="360"/>
      </w:pPr>
      <w:rPr>
        <w:rFonts w:ascii="Noto Sans Symbols" w:eastAsia="Noto Sans Symbols" w:hAnsi="Noto Sans Symbols" w:cs="Noto Sans Symbols"/>
      </w:rPr>
    </w:lvl>
  </w:abstractNum>
  <w:abstractNum w:abstractNumId="2" w15:restartNumberingAfterBreak="0">
    <w:nsid w:val="49562F13"/>
    <w:multiLevelType w:val="multilevel"/>
    <w:tmpl w:val="41AA7C44"/>
    <w:lvl w:ilvl="0">
      <w:start w:val="1"/>
      <w:numFmt w:val="decimal"/>
      <w:lvlText w:val="(%1)"/>
      <w:lvlJc w:val="left"/>
      <w:pPr>
        <w:ind w:left="510" w:hanging="360"/>
      </w:pPr>
    </w:lvl>
    <w:lvl w:ilvl="1">
      <w:start w:val="1"/>
      <w:numFmt w:val="lowerLetter"/>
      <w:lvlText w:val="%2."/>
      <w:lvlJc w:val="left"/>
      <w:pPr>
        <w:ind w:left="1230" w:hanging="360"/>
      </w:pPr>
    </w:lvl>
    <w:lvl w:ilvl="2">
      <w:start w:val="1"/>
      <w:numFmt w:val="lowerRoman"/>
      <w:lvlText w:val="%3."/>
      <w:lvlJc w:val="right"/>
      <w:pPr>
        <w:ind w:left="1950" w:hanging="180"/>
      </w:pPr>
    </w:lvl>
    <w:lvl w:ilvl="3">
      <w:start w:val="1"/>
      <w:numFmt w:val="decimal"/>
      <w:lvlText w:val="%4."/>
      <w:lvlJc w:val="left"/>
      <w:pPr>
        <w:ind w:left="2670" w:hanging="360"/>
      </w:pPr>
    </w:lvl>
    <w:lvl w:ilvl="4">
      <w:start w:val="1"/>
      <w:numFmt w:val="lowerLetter"/>
      <w:lvlText w:val="%5."/>
      <w:lvlJc w:val="left"/>
      <w:pPr>
        <w:ind w:left="3390" w:hanging="360"/>
      </w:pPr>
    </w:lvl>
    <w:lvl w:ilvl="5">
      <w:start w:val="1"/>
      <w:numFmt w:val="lowerRoman"/>
      <w:lvlText w:val="%6."/>
      <w:lvlJc w:val="right"/>
      <w:pPr>
        <w:ind w:left="4110" w:hanging="180"/>
      </w:pPr>
    </w:lvl>
    <w:lvl w:ilvl="6">
      <w:start w:val="1"/>
      <w:numFmt w:val="decimal"/>
      <w:lvlText w:val="%7."/>
      <w:lvlJc w:val="left"/>
      <w:pPr>
        <w:ind w:left="4830" w:hanging="360"/>
      </w:pPr>
    </w:lvl>
    <w:lvl w:ilvl="7">
      <w:start w:val="1"/>
      <w:numFmt w:val="lowerLetter"/>
      <w:lvlText w:val="%8."/>
      <w:lvlJc w:val="left"/>
      <w:pPr>
        <w:ind w:left="5550" w:hanging="360"/>
      </w:pPr>
    </w:lvl>
    <w:lvl w:ilvl="8">
      <w:start w:val="1"/>
      <w:numFmt w:val="lowerRoman"/>
      <w:lvlText w:val="%9."/>
      <w:lvlJc w:val="right"/>
      <w:pPr>
        <w:ind w:left="6270" w:hanging="180"/>
      </w:pPr>
    </w:lvl>
  </w:abstractNum>
  <w:num w:numId="1" w16cid:durableId="410080038">
    <w:abstractNumId w:val="1"/>
  </w:num>
  <w:num w:numId="2" w16cid:durableId="235435788">
    <w:abstractNumId w:val="2"/>
  </w:num>
  <w:num w:numId="3" w16cid:durableId="114955749">
    <w:abstractNumId w:val="0"/>
  </w:num>
  <w:num w:numId="4" w16cid:durableId="568616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82487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452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45936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86104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37378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770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27474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84316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315228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73040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34763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39B"/>
    <w:rsid w:val="0008226E"/>
    <w:rsid w:val="000B381A"/>
    <w:rsid w:val="00165399"/>
    <w:rsid w:val="001713E4"/>
    <w:rsid w:val="002538F1"/>
    <w:rsid w:val="00271760"/>
    <w:rsid w:val="00286D9D"/>
    <w:rsid w:val="003A7006"/>
    <w:rsid w:val="003D760A"/>
    <w:rsid w:val="003F1ABC"/>
    <w:rsid w:val="005B3D66"/>
    <w:rsid w:val="0067283B"/>
    <w:rsid w:val="00690757"/>
    <w:rsid w:val="0078088B"/>
    <w:rsid w:val="00A0309A"/>
    <w:rsid w:val="00A06324"/>
    <w:rsid w:val="00A275BA"/>
    <w:rsid w:val="00B1439B"/>
    <w:rsid w:val="00B32AF1"/>
    <w:rsid w:val="00C02E28"/>
    <w:rsid w:val="00C32FC1"/>
    <w:rsid w:val="00C72C66"/>
    <w:rsid w:val="00C8297E"/>
    <w:rsid w:val="00D43FB1"/>
    <w:rsid w:val="00DB1D82"/>
    <w:rsid w:val="00EB607E"/>
    <w:rsid w:val="00EC0983"/>
    <w:rsid w:val="00FD25F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5077B988"/>
  <w15:docId w15:val="{F8C49BFE-16CE-0B48-A139-53D6BCAF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character" w:styleId="Hyperlien">
    <w:name w:val="Hyperlink"/>
    <w:rPr>
      <w:u w:val="single"/>
    </w:rPr>
  </w:style>
  <w:style w:type="table" w:customStyle="1" w:styleId="TableNormal10">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rPr>
  </w:style>
  <w:style w:type="paragraph" w:customStyle="1" w:styleId="Cuerpo">
    <w:name w:val="Cuerpo"/>
    <w:rPr>
      <w:rFonts w:ascii="Cambria" w:eastAsia="Cambria" w:hAnsi="Cambria" w:cs="Cambria"/>
      <w:color w:val="000000"/>
      <w:u w:color="000000"/>
      <w:lang w:val="es-ES_tradnl"/>
    </w:rPr>
  </w:style>
  <w:style w:type="character" w:customStyle="1" w:styleId="Ninguno">
    <w:name w:val="Ninguno"/>
    <w:rPr>
      <w:lang w:val="es-ES_tradnl"/>
    </w:rPr>
  </w:style>
  <w:style w:type="numbering" w:customStyle="1" w:styleId="Estiloimportado1">
    <w:name w:val="Estilo importado 1"/>
  </w:style>
  <w:style w:type="numbering" w:customStyle="1" w:styleId="Estiloimportado2">
    <w:name w:val="Estilo importado 2"/>
  </w:style>
  <w:style w:type="numbering" w:customStyle="1" w:styleId="Estiloimportado3">
    <w:name w:val="Estilo importado 3"/>
  </w:style>
  <w:style w:type="paragraph" w:styleId="Paragraphedeliste">
    <w:name w:val="List Paragraph"/>
    <w:uiPriority w:val="34"/>
    <w:qFormat/>
    <w:pPr>
      <w:ind w:left="720"/>
    </w:pPr>
    <w:rPr>
      <w:rFonts w:ascii="Cambria" w:eastAsia="Cambria" w:hAnsi="Cambria" w:cs="Cambria"/>
      <w:color w:val="000000"/>
      <w:u w:color="000000"/>
      <w:lang w:val="it-IT"/>
    </w:rPr>
  </w:style>
  <w:style w:type="numbering" w:customStyle="1" w:styleId="Estiloimportado4">
    <w:name w:val="Estilo importado 4"/>
  </w:style>
  <w:style w:type="numbering" w:customStyle="1" w:styleId="Estiloimportado5">
    <w:name w:val="Estilo importado 5"/>
  </w:style>
  <w:style w:type="numbering" w:customStyle="1" w:styleId="Estiloimportado6">
    <w:name w:val="Estilo importado 6"/>
  </w:style>
  <w:style w:type="numbering" w:customStyle="1" w:styleId="Estiloimportado7">
    <w:name w:val="Estilo importado 7"/>
  </w:style>
  <w:style w:type="numbering" w:customStyle="1" w:styleId="Estiloimportado8">
    <w:name w:val="Estilo importado 8"/>
  </w:style>
  <w:style w:type="numbering" w:customStyle="1" w:styleId="Estiloimportado9">
    <w:name w:val="Estilo importado 9"/>
  </w:style>
  <w:style w:type="numbering" w:customStyle="1" w:styleId="Estiloimportado10">
    <w:name w:val="Estilo importado 10"/>
  </w:style>
  <w:style w:type="numbering" w:customStyle="1" w:styleId="Estiloimportado11">
    <w:name w:val="Estilo importado 11"/>
  </w:style>
  <w:style w:type="numbering" w:customStyle="1" w:styleId="Estiloimportado12">
    <w:name w:val="Estilo importado 12"/>
  </w:style>
  <w:style w:type="numbering" w:customStyle="1" w:styleId="Estiloimportado13">
    <w:name w:val="Estilo importado 13"/>
  </w:style>
  <w:style w:type="numbering" w:customStyle="1" w:styleId="Estiloimportado14">
    <w:name w:val="Estilo importado 14"/>
  </w:style>
  <w:style w:type="character" w:styleId="Marquedecommentaire">
    <w:name w:val="annotation reference"/>
    <w:basedOn w:val="Policepardfaut"/>
    <w:uiPriority w:val="99"/>
    <w:semiHidden/>
    <w:unhideWhenUsed/>
    <w:rsid w:val="00FB56AF"/>
    <w:rPr>
      <w:sz w:val="18"/>
      <w:szCs w:val="18"/>
    </w:rPr>
  </w:style>
  <w:style w:type="paragraph" w:styleId="Commentaire">
    <w:name w:val="annotation text"/>
    <w:basedOn w:val="Normal"/>
    <w:link w:val="CommentaireCar"/>
    <w:uiPriority w:val="99"/>
    <w:unhideWhenUsed/>
    <w:rsid w:val="00FB56AF"/>
  </w:style>
  <w:style w:type="character" w:customStyle="1" w:styleId="CommentaireCar">
    <w:name w:val="Commentaire Car"/>
    <w:basedOn w:val="Policepardfaut"/>
    <w:link w:val="Commentaire"/>
    <w:uiPriority w:val="99"/>
    <w:rsid w:val="00FB56AF"/>
    <w:rPr>
      <w:sz w:val="24"/>
      <w:szCs w:val="24"/>
      <w:lang w:val="en-US" w:eastAsia="en-US"/>
    </w:rPr>
  </w:style>
  <w:style w:type="paragraph" w:styleId="Objetducommentaire">
    <w:name w:val="annotation subject"/>
    <w:basedOn w:val="Commentaire"/>
    <w:next w:val="Commentaire"/>
    <w:link w:val="ObjetducommentaireCar"/>
    <w:uiPriority w:val="99"/>
    <w:semiHidden/>
    <w:unhideWhenUsed/>
    <w:rsid w:val="00FB56AF"/>
    <w:rPr>
      <w:b/>
      <w:bCs/>
      <w:sz w:val="20"/>
      <w:szCs w:val="20"/>
    </w:rPr>
  </w:style>
  <w:style w:type="character" w:customStyle="1" w:styleId="ObjetducommentaireCar">
    <w:name w:val="Objet du commentaire Car"/>
    <w:basedOn w:val="CommentaireCar"/>
    <w:link w:val="Objetducommentaire"/>
    <w:uiPriority w:val="99"/>
    <w:semiHidden/>
    <w:rsid w:val="00FB56AF"/>
    <w:rPr>
      <w:b/>
      <w:bCs/>
      <w:sz w:val="24"/>
      <w:szCs w:val="24"/>
      <w:lang w:val="en-US" w:eastAsia="en-US"/>
    </w:rPr>
  </w:style>
  <w:style w:type="paragraph" w:styleId="Textedebulles">
    <w:name w:val="Balloon Text"/>
    <w:basedOn w:val="Normal"/>
    <w:link w:val="TextedebullesCar"/>
    <w:uiPriority w:val="99"/>
    <w:semiHidden/>
    <w:unhideWhenUsed/>
    <w:rsid w:val="00FB56A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B56AF"/>
    <w:rPr>
      <w:rFonts w:ascii="Lucida Grande" w:hAnsi="Lucida Grande" w:cs="Lucida Grande"/>
      <w:sz w:val="18"/>
      <w:szCs w:val="18"/>
      <w:lang w:val="en-US" w:eastAsia="en-US"/>
    </w:rPr>
  </w:style>
  <w:style w:type="paragraph" w:styleId="Rvision">
    <w:name w:val="Revision"/>
    <w:hidden/>
    <w:uiPriority w:val="99"/>
    <w:semiHidden/>
    <w:rsid w:val="00B66333"/>
    <w:rPr>
      <w:lang w:eastAsia="en-US"/>
    </w:rPr>
  </w:style>
  <w:style w:type="paragraph" w:styleId="NormalWeb">
    <w:name w:val="Normal (Web)"/>
    <w:basedOn w:val="Normal"/>
    <w:uiPriority w:val="99"/>
    <w:semiHidden/>
    <w:unhideWhenUsed/>
    <w:rsid w:val="00C04600"/>
    <w:pPr>
      <w:spacing w:before="100" w:beforeAutospacing="1" w:after="100" w:afterAutospacing="1"/>
    </w:pPr>
    <w:rPr>
      <w:rFonts w:eastAsiaTheme="minorEastAsia"/>
      <w:lang w:val="en-GB" w:eastAsia="en-GB"/>
    </w:rPr>
  </w:style>
  <w:style w:type="paragraph" w:styleId="En-tte">
    <w:name w:val="header"/>
    <w:basedOn w:val="Normal"/>
    <w:link w:val="En-tteCar"/>
    <w:uiPriority w:val="99"/>
    <w:unhideWhenUsed/>
    <w:rsid w:val="0058262D"/>
    <w:pPr>
      <w:tabs>
        <w:tab w:val="center" w:pos="4513"/>
        <w:tab w:val="right" w:pos="9026"/>
      </w:tabs>
    </w:pPr>
  </w:style>
  <w:style w:type="character" w:customStyle="1" w:styleId="En-tteCar">
    <w:name w:val="En-tête Car"/>
    <w:basedOn w:val="Policepardfaut"/>
    <w:link w:val="En-tte"/>
    <w:uiPriority w:val="99"/>
    <w:rsid w:val="0058262D"/>
    <w:rPr>
      <w:sz w:val="24"/>
      <w:szCs w:val="24"/>
      <w:lang w:val="en-US" w:eastAsia="en-US"/>
    </w:rPr>
  </w:style>
  <w:style w:type="paragraph" w:styleId="Pieddepage">
    <w:name w:val="footer"/>
    <w:basedOn w:val="Normal"/>
    <w:link w:val="PieddepageCar"/>
    <w:uiPriority w:val="99"/>
    <w:unhideWhenUsed/>
    <w:rsid w:val="0058262D"/>
    <w:pPr>
      <w:tabs>
        <w:tab w:val="center" w:pos="4513"/>
        <w:tab w:val="right" w:pos="9026"/>
      </w:tabs>
    </w:pPr>
  </w:style>
  <w:style w:type="character" w:customStyle="1" w:styleId="PieddepageCar">
    <w:name w:val="Pied de page Car"/>
    <w:basedOn w:val="Policepardfaut"/>
    <w:link w:val="Pieddepage"/>
    <w:uiPriority w:val="99"/>
    <w:rsid w:val="0058262D"/>
    <w:rPr>
      <w:sz w:val="24"/>
      <w:szCs w:val="24"/>
      <w:lang w:val="en-US" w:eastAsia="en-US"/>
    </w:rPr>
  </w:style>
  <w:style w:type="paragraph" w:customStyle="1" w:styleId="Default">
    <w:name w:val="Default"/>
    <w:rsid w:val="00D42349"/>
    <w:pPr>
      <w:widowControl w:val="0"/>
      <w:autoSpaceDE w:val="0"/>
      <w:autoSpaceDN w:val="0"/>
      <w:adjustRightInd w:val="0"/>
    </w:pPr>
    <w:rPr>
      <w:rFonts w:ascii="Cambria" w:hAnsi="Cambria" w:cs="Cambria"/>
      <w:color w:val="000000"/>
      <w:lang w:val="fr-FR"/>
    </w:rPr>
  </w:style>
  <w:style w:type="character" w:styleId="Mentionnonrsolue">
    <w:name w:val="Unresolved Mention"/>
    <w:basedOn w:val="Policepardfaut"/>
    <w:uiPriority w:val="99"/>
    <w:semiHidden/>
    <w:unhideWhenUsed/>
    <w:rsid w:val="006C64D5"/>
    <w:rPr>
      <w:color w:val="808080"/>
      <w:shd w:val="clear" w:color="auto" w:fill="E6E6E6"/>
    </w:rPr>
  </w:style>
  <w:style w:type="table" w:styleId="Grilledutableau">
    <w:name w:val="Table Grid"/>
    <w:basedOn w:val="TableauNormal"/>
    <w:uiPriority w:val="59"/>
    <w:rsid w:val="00064580"/>
    <w:rPr>
      <w:rFonts w:asciiTheme="minorHAnsi" w:eastAsiaTheme="minorHAnsi" w:hAnsiTheme="minorHAnsi" w:cstheme="minorBid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1437CF"/>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B42A75"/>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D1qYf9uc9MwaYtqiprMJoQNNZw==">AMUW2mUiYWPlFT1fs6WVeusrohxvSzwBe+jclD8KqZX0UsWLxI+GRMtLm23gOLLhwLGaENHmwuNzri1OsRG6e2JaIM4Ghk9IfUVQHy25oJ1Y1NK8B40qB5EH7xDAM27phkwKzgZArkuvia3qN8+FxBv/yyyXGmOlgOVtjhXTmkM4IE9lQxhVvsdksGvugHILxJrlezUGoSfbOFcXUhnyWg9zAbWenICkt+Gb3vVXgy+GoRy2YGIpOpjz7z94a8Z3J8ftgRJsy66PgR+dFHdw1Z4NLqpVY+4CWS6qLfWGUfu8rX6+PJr5KQISDVcFbjfy2MClSfmvklWh7X2BghZu2g43p9rTum3VUa4E5/++vO4UbSkRxMcK27WmO4QC425R3P90cFs5WQyc59U0QKrk2ULMsbvgNHS/r6v5z41B85vtLDxdcOsLS8CMM1zJDUcW/bPtv9+Z8WWOK1by0g3jgjTxeC2Qw8zu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553</Words>
  <Characters>3043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Beaulieu, Coralie</cp:lastModifiedBy>
  <cp:revision>4</cp:revision>
  <dcterms:created xsi:type="dcterms:W3CDTF">2023-03-11T19:03:00Z</dcterms:created>
  <dcterms:modified xsi:type="dcterms:W3CDTF">2023-03-11T19:14:00Z</dcterms:modified>
</cp:coreProperties>
</file>