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1AB1D" w14:textId="5598594E" w:rsidR="00A96733" w:rsidRPr="00A96733" w:rsidRDefault="00E31F49" w:rsidP="00E31F49">
      <w:pPr>
        <w:jc w:val="center"/>
      </w:pPr>
      <w:r>
        <w:rPr>
          <w:rFonts w:eastAsia="Times New Roman"/>
          <w:b/>
          <w:bCs/>
          <w:sz w:val="27"/>
          <w:szCs w:val="27"/>
          <w:lang w:eastAsia="da-DK"/>
        </w:rPr>
        <w:t>Promising preliminary results on a</w:t>
      </w:r>
      <w:r w:rsidRPr="00E31F49">
        <w:rPr>
          <w:rFonts w:eastAsia="Times New Roman"/>
          <w:b/>
          <w:bCs/>
          <w:sz w:val="27"/>
          <w:szCs w:val="27"/>
          <w:lang w:eastAsia="da-DK"/>
        </w:rPr>
        <w:t xml:space="preserve"> </w:t>
      </w:r>
      <w:r>
        <w:rPr>
          <w:rFonts w:eastAsia="Times New Roman"/>
          <w:b/>
          <w:bCs/>
          <w:sz w:val="27"/>
          <w:szCs w:val="27"/>
          <w:lang w:eastAsia="da-DK"/>
        </w:rPr>
        <w:t>c</w:t>
      </w:r>
      <w:r w:rsidRPr="00E31F49">
        <w:rPr>
          <w:rFonts w:eastAsia="Times New Roman"/>
          <w:b/>
          <w:bCs/>
          <w:sz w:val="27"/>
          <w:szCs w:val="27"/>
          <w:lang w:eastAsia="da-DK"/>
        </w:rPr>
        <w:t xml:space="preserve">linical </w:t>
      </w:r>
      <w:r>
        <w:rPr>
          <w:rFonts w:eastAsia="Times New Roman"/>
          <w:b/>
          <w:bCs/>
          <w:sz w:val="27"/>
          <w:szCs w:val="27"/>
          <w:lang w:eastAsia="da-DK"/>
        </w:rPr>
        <w:t>t</w:t>
      </w:r>
      <w:r w:rsidRPr="00E31F49">
        <w:rPr>
          <w:rFonts w:eastAsia="Times New Roman"/>
          <w:b/>
          <w:bCs/>
          <w:sz w:val="27"/>
          <w:szCs w:val="27"/>
          <w:lang w:eastAsia="da-DK"/>
        </w:rPr>
        <w:t xml:space="preserve">rial to </w:t>
      </w:r>
      <w:r>
        <w:rPr>
          <w:rFonts w:eastAsia="Times New Roman"/>
          <w:b/>
          <w:bCs/>
          <w:sz w:val="27"/>
          <w:szCs w:val="27"/>
          <w:lang w:eastAsia="da-DK"/>
        </w:rPr>
        <w:t>e</w:t>
      </w:r>
      <w:r w:rsidRPr="00E31F49">
        <w:rPr>
          <w:rFonts w:eastAsia="Times New Roman"/>
          <w:b/>
          <w:bCs/>
          <w:sz w:val="27"/>
          <w:szCs w:val="27"/>
          <w:lang w:eastAsia="da-DK"/>
        </w:rPr>
        <w:t xml:space="preserve">xplore the </w:t>
      </w:r>
      <w:r>
        <w:rPr>
          <w:rFonts w:eastAsia="Times New Roman"/>
          <w:b/>
          <w:bCs/>
          <w:sz w:val="27"/>
          <w:szCs w:val="27"/>
          <w:lang w:eastAsia="da-DK"/>
        </w:rPr>
        <w:t>s</w:t>
      </w:r>
      <w:r w:rsidRPr="00E31F49">
        <w:rPr>
          <w:rFonts w:eastAsia="Times New Roman"/>
          <w:b/>
          <w:bCs/>
          <w:sz w:val="27"/>
          <w:szCs w:val="27"/>
          <w:lang w:eastAsia="da-DK"/>
        </w:rPr>
        <w:t xml:space="preserve">afety and </w:t>
      </w:r>
      <w:r>
        <w:rPr>
          <w:rFonts w:eastAsia="Times New Roman"/>
          <w:b/>
          <w:bCs/>
          <w:sz w:val="27"/>
          <w:szCs w:val="27"/>
          <w:lang w:eastAsia="da-DK"/>
        </w:rPr>
        <w:t>e</w:t>
      </w:r>
      <w:r w:rsidRPr="00E31F49">
        <w:rPr>
          <w:rFonts w:eastAsia="Times New Roman"/>
          <w:b/>
          <w:bCs/>
          <w:sz w:val="27"/>
          <w:szCs w:val="27"/>
          <w:lang w:eastAsia="da-DK"/>
        </w:rPr>
        <w:t xml:space="preserve">fficacy of </w:t>
      </w:r>
      <w:r>
        <w:rPr>
          <w:rFonts w:eastAsia="Times New Roman"/>
          <w:b/>
          <w:bCs/>
          <w:sz w:val="27"/>
          <w:szCs w:val="27"/>
          <w:lang w:eastAsia="da-DK"/>
        </w:rPr>
        <w:t>s</w:t>
      </w:r>
      <w:r w:rsidRPr="00E31F49">
        <w:rPr>
          <w:rFonts w:eastAsia="Times New Roman"/>
          <w:b/>
          <w:bCs/>
          <w:sz w:val="27"/>
          <w:szCs w:val="27"/>
          <w:lang w:eastAsia="da-DK"/>
        </w:rPr>
        <w:t xml:space="preserve">epranolone in </w:t>
      </w:r>
      <w:r>
        <w:rPr>
          <w:rFonts w:eastAsia="Times New Roman"/>
          <w:b/>
          <w:bCs/>
          <w:sz w:val="27"/>
          <w:szCs w:val="27"/>
          <w:lang w:eastAsia="da-DK"/>
        </w:rPr>
        <w:t>p</w:t>
      </w:r>
      <w:r w:rsidRPr="00E31F49">
        <w:rPr>
          <w:rFonts w:eastAsia="Times New Roman"/>
          <w:b/>
          <w:bCs/>
          <w:sz w:val="27"/>
          <w:szCs w:val="27"/>
          <w:lang w:eastAsia="da-DK"/>
        </w:rPr>
        <w:t xml:space="preserve">ediatric and </w:t>
      </w:r>
      <w:r>
        <w:rPr>
          <w:rFonts w:eastAsia="Times New Roman"/>
          <w:b/>
          <w:bCs/>
          <w:sz w:val="27"/>
          <w:szCs w:val="27"/>
          <w:lang w:eastAsia="da-DK"/>
        </w:rPr>
        <w:t>a</w:t>
      </w:r>
      <w:r w:rsidRPr="00E31F49">
        <w:rPr>
          <w:rFonts w:eastAsia="Times New Roman"/>
          <w:b/>
          <w:bCs/>
          <w:sz w:val="27"/>
          <w:szCs w:val="27"/>
          <w:lang w:eastAsia="da-DK"/>
        </w:rPr>
        <w:t xml:space="preserve">dult </w:t>
      </w:r>
      <w:r>
        <w:rPr>
          <w:rFonts w:eastAsia="Times New Roman"/>
          <w:b/>
          <w:bCs/>
          <w:sz w:val="27"/>
          <w:szCs w:val="27"/>
          <w:lang w:eastAsia="da-DK"/>
        </w:rPr>
        <w:t>p</w:t>
      </w:r>
      <w:r w:rsidRPr="00E31F49">
        <w:rPr>
          <w:rFonts w:eastAsia="Times New Roman"/>
          <w:b/>
          <w:bCs/>
          <w:sz w:val="27"/>
          <w:szCs w:val="27"/>
          <w:lang w:eastAsia="da-DK"/>
        </w:rPr>
        <w:t xml:space="preserve">atients </w:t>
      </w:r>
      <w:r>
        <w:rPr>
          <w:rFonts w:eastAsia="Times New Roman"/>
          <w:b/>
          <w:bCs/>
          <w:sz w:val="27"/>
          <w:szCs w:val="27"/>
          <w:lang w:eastAsia="da-DK"/>
        </w:rPr>
        <w:t>w</w:t>
      </w:r>
      <w:r w:rsidRPr="00E31F49">
        <w:rPr>
          <w:rFonts w:eastAsia="Times New Roman"/>
          <w:b/>
          <w:bCs/>
          <w:sz w:val="27"/>
          <w:szCs w:val="27"/>
          <w:lang w:eastAsia="da-DK"/>
        </w:rPr>
        <w:t xml:space="preserve">ith Tourette </w:t>
      </w:r>
      <w:r>
        <w:rPr>
          <w:rFonts w:eastAsia="Times New Roman"/>
          <w:b/>
          <w:bCs/>
          <w:sz w:val="27"/>
          <w:szCs w:val="27"/>
          <w:lang w:eastAsia="da-DK"/>
        </w:rPr>
        <w:t>s</w:t>
      </w:r>
      <w:r w:rsidRPr="00E31F49">
        <w:rPr>
          <w:rFonts w:eastAsia="Times New Roman"/>
          <w:b/>
          <w:bCs/>
          <w:sz w:val="27"/>
          <w:szCs w:val="27"/>
          <w:lang w:eastAsia="da-DK"/>
        </w:rPr>
        <w:t>yndrome</w:t>
      </w:r>
      <w:r>
        <w:rPr>
          <w:rFonts w:eastAsia="Times New Roman"/>
          <w:b/>
          <w:bCs/>
          <w:sz w:val="27"/>
          <w:szCs w:val="27"/>
          <w:lang w:eastAsia="da-DK"/>
        </w:rPr>
        <w:t xml:space="preserve"> </w:t>
      </w:r>
    </w:p>
    <w:p w14:paraId="46FE74D1" w14:textId="5DC8740C" w:rsidR="00A96733" w:rsidRPr="00E31F49" w:rsidRDefault="00E31F49" w:rsidP="00A96733">
      <w:pPr>
        <w:spacing w:line="360" w:lineRule="auto"/>
        <w:jc w:val="center"/>
        <w:rPr>
          <w:rFonts w:eastAsia="Times New Roman"/>
          <w:vertAlign w:val="superscript"/>
          <w:lang w:val="da-DK" w:eastAsia="da-DK"/>
        </w:rPr>
      </w:pPr>
      <w:r w:rsidRPr="00E31F49">
        <w:rPr>
          <w:rFonts w:eastAsia="Times New Roman"/>
          <w:u w:val="single"/>
          <w:lang w:val="da-DK" w:eastAsia="da-DK"/>
        </w:rPr>
        <w:t>Heidi Biernat</w:t>
      </w:r>
      <w:r w:rsidR="00A96733" w:rsidRPr="00E31F49">
        <w:rPr>
          <w:rFonts w:eastAsia="Times New Roman"/>
          <w:vertAlign w:val="superscript"/>
          <w:lang w:val="da-DK" w:eastAsia="da-DK"/>
        </w:rPr>
        <w:t>1</w:t>
      </w:r>
      <w:r w:rsidRPr="00E31F49">
        <w:rPr>
          <w:rFonts w:eastAsia="Times New Roman"/>
          <w:lang w:val="da-DK" w:eastAsia="da-DK"/>
        </w:rPr>
        <w:t>, Jonathan Myrup Staalsø</w:t>
      </w:r>
      <w:r>
        <w:rPr>
          <w:rFonts w:eastAsia="Times New Roman"/>
          <w:vertAlign w:val="superscript"/>
          <w:lang w:val="da-DK" w:eastAsia="da-DK"/>
        </w:rPr>
        <w:t>1</w:t>
      </w:r>
      <w:r w:rsidRPr="00E31F49">
        <w:rPr>
          <w:rFonts w:eastAsia="Times New Roman"/>
          <w:lang w:val="da-DK" w:eastAsia="da-DK"/>
        </w:rPr>
        <w:t>, Amalie Akulenok Berring-Uldum</w:t>
      </w:r>
      <w:r>
        <w:rPr>
          <w:rFonts w:eastAsia="Times New Roman"/>
          <w:vertAlign w:val="superscript"/>
          <w:lang w:val="da-DK" w:eastAsia="da-DK"/>
        </w:rPr>
        <w:t>2,3</w:t>
      </w:r>
      <w:r w:rsidR="00A96733" w:rsidRPr="00E31F49">
        <w:rPr>
          <w:rFonts w:eastAsia="Times New Roman"/>
          <w:lang w:val="da-DK" w:eastAsia="da-DK"/>
        </w:rPr>
        <w:t xml:space="preserve"> and </w:t>
      </w:r>
      <w:r w:rsidRPr="00E31F49">
        <w:rPr>
          <w:rFonts w:eastAsia="Times New Roman"/>
          <w:lang w:val="da-DK" w:eastAsia="da-DK"/>
        </w:rPr>
        <w:t>Nanette Mol Debes</w:t>
      </w:r>
      <w:r>
        <w:rPr>
          <w:rFonts w:eastAsia="Times New Roman"/>
          <w:vertAlign w:val="superscript"/>
          <w:lang w:val="da-DK" w:eastAsia="da-DK"/>
        </w:rPr>
        <w:t>2,3</w:t>
      </w:r>
    </w:p>
    <w:p w14:paraId="56BDE8AD" w14:textId="302FBA12" w:rsidR="00E31F49" w:rsidRPr="00E31F49" w:rsidRDefault="00A96733" w:rsidP="00E31F49">
      <w:pPr>
        <w:pBdr>
          <w:bottom w:val="single" w:sz="12" w:space="1" w:color="auto"/>
        </w:pBdr>
        <w:spacing w:line="360" w:lineRule="auto"/>
        <w:jc w:val="center"/>
        <w:rPr>
          <w:rFonts w:eastAsia="Times New Roman"/>
          <w:lang w:eastAsia="da-DK"/>
        </w:rPr>
      </w:pPr>
      <w:r w:rsidRPr="008C69FC">
        <w:rPr>
          <w:rFonts w:eastAsia="Times New Roman"/>
          <w:vertAlign w:val="superscript"/>
          <w:lang w:eastAsia="da-DK"/>
        </w:rPr>
        <w:t>1</w:t>
      </w:r>
      <w:r w:rsidRPr="008C69FC">
        <w:rPr>
          <w:rFonts w:eastAsia="Times New Roman"/>
          <w:lang w:eastAsia="da-DK"/>
        </w:rPr>
        <w:t xml:space="preserve"> </w:t>
      </w:r>
      <w:r w:rsidR="00E31F49">
        <w:rPr>
          <w:rFonts w:eastAsia="Times New Roman"/>
          <w:lang w:eastAsia="da-DK"/>
        </w:rPr>
        <w:t>Department of Neurology, Copenhagen University Hospital - Bispebjerg, Denmark</w:t>
      </w:r>
      <w:r w:rsidRPr="008C69FC">
        <w:rPr>
          <w:rFonts w:eastAsia="Times New Roman"/>
          <w:lang w:eastAsia="da-DK"/>
        </w:rPr>
        <w:br/>
      </w:r>
      <w:r w:rsidRPr="008C69FC">
        <w:rPr>
          <w:rFonts w:eastAsia="Times New Roman"/>
          <w:vertAlign w:val="superscript"/>
          <w:lang w:eastAsia="da-DK"/>
        </w:rPr>
        <w:t>2</w:t>
      </w:r>
      <w:r w:rsidRPr="008C69FC">
        <w:rPr>
          <w:rFonts w:eastAsia="Times New Roman"/>
          <w:lang w:eastAsia="da-DK"/>
        </w:rPr>
        <w:t xml:space="preserve"> </w:t>
      </w:r>
      <w:r w:rsidR="00E31F49" w:rsidRPr="00E31F49">
        <w:rPr>
          <w:rFonts w:eastAsia="Times New Roman"/>
          <w:lang w:eastAsia="da-DK"/>
        </w:rPr>
        <w:t>Department of Pediatrics, Copenhagen University Hospital - Herlev and Gentofte, Herlev, Denmark</w:t>
      </w:r>
    </w:p>
    <w:p w14:paraId="666F7681" w14:textId="385C845A" w:rsidR="00E31F49" w:rsidRPr="00E31F49" w:rsidRDefault="00E31F49" w:rsidP="00E31F49">
      <w:pPr>
        <w:pBdr>
          <w:bottom w:val="single" w:sz="12" w:space="1" w:color="auto"/>
        </w:pBdr>
        <w:spacing w:line="360" w:lineRule="auto"/>
        <w:jc w:val="center"/>
        <w:rPr>
          <w:rFonts w:eastAsia="Times New Roman"/>
          <w:lang w:eastAsia="da-DK"/>
        </w:rPr>
      </w:pPr>
      <w:r>
        <w:rPr>
          <w:rFonts w:eastAsia="Times New Roman"/>
          <w:vertAlign w:val="superscript"/>
          <w:lang w:eastAsia="da-DK"/>
        </w:rPr>
        <w:t>3</w:t>
      </w:r>
      <w:r w:rsidRPr="00E31F49">
        <w:rPr>
          <w:rFonts w:eastAsia="Times New Roman"/>
          <w:lang w:eastAsia="da-DK"/>
        </w:rPr>
        <w:t>Department of Clinical Medicine, University of Copenhagen, Copenhagen, Denmark</w:t>
      </w:r>
    </w:p>
    <w:p w14:paraId="2C4FF789" w14:textId="77777777" w:rsidR="00A96733" w:rsidRPr="008C69FC" w:rsidRDefault="00A96733" w:rsidP="00A96733">
      <w:pPr>
        <w:rPr>
          <w:rFonts w:eastAsia="MS Mincho"/>
          <w:lang w:eastAsia="da-DK"/>
        </w:rPr>
      </w:pPr>
    </w:p>
    <w:p w14:paraId="12D80263" w14:textId="77777777" w:rsidR="00A96733" w:rsidRPr="00BE59FE" w:rsidRDefault="00A96733" w:rsidP="00A96733">
      <w:pPr>
        <w:rPr>
          <w:rFonts w:eastAsia="MS Mincho"/>
          <w:b/>
          <w:lang w:eastAsia="da-DK"/>
        </w:rPr>
      </w:pPr>
      <w:r w:rsidRPr="00BE59FE">
        <w:rPr>
          <w:b/>
          <w:sz w:val="23"/>
          <w:szCs w:val="23"/>
        </w:rPr>
        <w:t>Background</w:t>
      </w:r>
      <w:r w:rsidRPr="00BE59FE">
        <w:rPr>
          <w:rFonts w:eastAsia="MS Mincho"/>
          <w:b/>
          <w:lang w:eastAsia="da-DK"/>
        </w:rPr>
        <w:t>:</w:t>
      </w:r>
    </w:p>
    <w:p w14:paraId="59AA2FF5" w14:textId="707B41EF" w:rsidR="00E31F49" w:rsidRDefault="00010258" w:rsidP="00A96733">
      <w:pPr>
        <w:rPr>
          <w:rFonts w:eastAsia="MS Mincho"/>
          <w:lang w:eastAsia="da-DK"/>
        </w:rPr>
      </w:pPr>
      <w:r>
        <w:rPr>
          <w:rFonts w:eastAsia="MS Mincho"/>
          <w:lang w:eastAsia="da-DK"/>
        </w:rPr>
        <w:t xml:space="preserve">Several neurotransmitters, including GABA, have been proposed to play a role in the pathophysiology of Tourette Syndrome (TS). </w:t>
      </w:r>
      <w:r w:rsidR="00E31F49">
        <w:rPr>
          <w:rFonts w:eastAsia="MS Mincho"/>
          <w:lang w:eastAsia="da-DK"/>
        </w:rPr>
        <w:t>Sepranolone is an endogenous neurosteroid that suppresses the effect of positive GABA-A receptor modulators</w:t>
      </w:r>
      <w:r>
        <w:rPr>
          <w:rFonts w:eastAsia="MS Mincho"/>
          <w:lang w:eastAsia="da-DK"/>
        </w:rPr>
        <w:t xml:space="preserve"> and might therefore be of interest for development of new treatment options for patients with TS</w:t>
      </w:r>
      <w:r w:rsidR="00E31F49">
        <w:rPr>
          <w:rFonts w:eastAsia="MS Mincho"/>
          <w:lang w:eastAsia="da-DK"/>
        </w:rPr>
        <w:t xml:space="preserve">. </w:t>
      </w:r>
    </w:p>
    <w:p w14:paraId="594FD8AD" w14:textId="77777777" w:rsidR="00E31F49" w:rsidRDefault="00E31F49" w:rsidP="00A96733">
      <w:pPr>
        <w:rPr>
          <w:rFonts w:eastAsia="MS Mincho"/>
          <w:lang w:eastAsia="da-DK"/>
        </w:rPr>
      </w:pPr>
    </w:p>
    <w:p w14:paraId="4EC169A0" w14:textId="77777777" w:rsidR="00A96733" w:rsidRPr="00BE59FE" w:rsidRDefault="00A96733" w:rsidP="00A96733">
      <w:pPr>
        <w:rPr>
          <w:b/>
          <w:sz w:val="23"/>
          <w:szCs w:val="23"/>
        </w:rPr>
      </w:pPr>
      <w:r w:rsidRPr="00BE59FE">
        <w:rPr>
          <w:b/>
          <w:sz w:val="23"/>
          <w:szCs w:val="23"/>
        </w:rPr>
        <w:t>Methods:</w:t>
      </w:r>
    </w:p>
    <w:p w14:paraId="2380D4C9" w14:textId="27D73627" w:rsidR="00DF5385" w:rsidRDefault="00DF5385" w:rsidP="00DF5385">
      <w:pPr>
        <w:rPr>
          <w:rFonts w:eastAsia="MS Mincho"/>
          <w:lang w:eastAsia="da-DK"/>
        </w:rPr>
      </w:pPr>
      <w:r>
        <w:rPr>
          <w:rFonts w:eastAsia="MS Mincho"/>
          <w:lang w:eastAsia="da-DK"/>
        </w:rPr>
        <w:t>An i</w:t>
      </w:r>
      <w:r w:rsidRPr="00DF5385">
        <w:rPr>
          <w:rFonts w:eastAsia="MS Mincho"/>
          <w:lang w:eastAsia="da-DK"/>
        </w:rPr>
        <w:t>nterventional, open-labe</w:t>
      </w:r>
      <w:r w:rsidR="00010258">
        <w:rPr>
          <w:rFonts w:eastAsia="MS Mincho"/>
          <w:lang w:eastAsia="da-DK"/>
        </w:rPr>
        <w:t>l</w:t>
      </w:r>
      <w:r w:rsidRPr="00DF5385">
        <w:rPr>
          <w:rFonts w:eastAsia="MS Mincho"/>
          <w:lang w:eastAsia="da-DK"/>
        </w:rPr>
        <w:t>, multi-center, randomized, parallel group study</w:t>
      </w:r>
      <w:r>
        <w:rPr>
          <w:rFonts w:eastAsia="MS Mincho"/>
          <w:lang w:eastAsia="da-DK"/>
        </w:rPr>
        <w:t xml:space="preserve"> was performed</w:t>
      </w:r>
      <w:r w:rsidRPr="00DF5385">
        <w:rPr>
          <w:rFonts w:eastAsia="MS Mincho"/>
          <w:lang w:eastAsia="da-DK"/>
        </w:rPr>
        <w:t xml:space="preserve"> to </w:t>
      </w:r>
      <w:r>
        <w:rPr>
          <w:rFonts w:eastAsia="MS Mincho"/>
          <w:lang w:eastAsia="da-DK"/>
        </w:rPr>
        <w:t>e</w:t>
      </w:r>
      <w:r w:rsidRPr="00DF5385">
        <w:rPr>
          <w:rFonts w:eastAsia="MS Mincho"/>
          <w:lang w:eastAsia="da-DK"/>
        </w:rPr>
        <w:t xml:space="preserve">xplore the </w:t>
      </w:r>
      <w:r>
        <w:rPr>
          <w:rFonts w:eastAsia="MS Mincho"/>
          <w:lang w:eastAsia="da-DK"/>
        </w:rPr>
        <w:t>s</w:t>
      </w:r>
      <w:r w:rsidRPr="00DF5385">
        <w:rPr>
          <w:rFonts w:eastAsia="MS Mincho"/>
          <w:lang w:eastAsia="da-DK"/>
        </w:rPr>
        <w:t xml:space="preserve">afety and </w:t>
      </w:r>
      <w:r>
        <w:rPr>
          <w:rFonts w:eastAsia="MS Mincho"/>
          <w:lang w:eastAsia="da-DK"/>
        </w:rPr>
        <w:t>e</w:t>
      </w:r>
      <w:r w:rsidRPr="00DF5385">
        <w:rPr>
          <w:rFonts w:eastAsia="MS Mincho"/>
          <w:lang w:eastAsia="da-DK"/>
        </w:rPr>
        <w:t xml:space="preserve">fficacy of Sepranolone in </w:t>
      </w:r>
      <w:r>
        <w:rPr>
          <w:rFonts w:eastAsia="MS Mincho"/>
          <w:lang w:eastAsia="da-DK"/>
        </w:rPr>
        <w:t>p</w:t>
      </w:r>
      <w:r w:rsidRPr="00DF5385">
        <w:rPr>
          <w:rFonts w:eastAsia="MS Mincho"/>
          <w:lang w:eastAsia="da-DK"/>
        </w:rPr>
        <w:t xml:space="preserve">ediatric and </w:t>
      </w:r>
      <w:r>
        <w:rPr>
          <w:rFonts w:eastAsia="MS Mincho"/>
          <w:lang w:eastAsia="da-DK"/>
        </w:rPr>
        <w:t>a</w:t>
      </w:r>
      <w:r w:rsidRPr="00DF5385">
        <w:rPr>
          <w:rFonts w:eastAsia="MS Mincho"/>
          <w:lang w:eastAsia="da-DK"/>
        </w:rPr>
        <w:t xml:space="preserve">dult </w:t>
      </w:r>
      <w:r>
        <w:rPr>
          <w:rFonts w:eastAsia="MS Mincho"/>
          <w:lang w:eastAsia="da-DK"/>
        </w:rPr>
        <w:t>p</w:t>
      </w:r>
      <w:r w:rsidRPr="00DF5385">
        <w:rPr>
          <w:rFonts w:eastAsia="MS Mincho"/>
          <w:lang w:eastAsia="da-DK"/>
        </w:rPr>
        <w:t xml:space="preserve">atients </w:t>
      </w:r>
      <w:r>
        <w:rPr>
          <w:rFonts w:eastAsia="MS Mincho"/>
          <w:lang w:eastAsia="da-DK"/>
        </w:rPr>
        <w:t>w</w:t>
      </w:r>
      <w:r w:rsidRPr="00DF5385">
        <w:rPr>
          <w:rFonts w:eastAsia="MS Mincho"/>
          <w:lang w:eastAsia="da-DK"/>
        </w:rPr>
        <w:t>ith T</w:t>
      </w:r>
      <w:r w:rsidR="00010258">
        <w:rPr>
          <w:rFonts w:eastAsia="MS Mincho"/>
          <w:lang w:eastAsia="da-DK"/>
        </w:rPr>
        <w:t>S</w:t>
      </w:r>
      <w:r>
        <w:rPr>
          <w:rFonts w:eastAsia="MS Mincho"/>
          <w:lang w:eastAsia="da-DK"/>
        </w:rPr>
        <w:t xml:space="preserve">. </w:t>
      </w:r>
      <w:r w:rsidRPr="00DF5385">
        <w:rPr>
          <w:rFonts w:eastAsia="MS Mincho"/>
          <w:lang w:eastAsia="da-DK"/>
        </w:rPr>
        <w:t xml:space="preserve">The patients were randomized to either standard of care (SoC) or standard of care + injections of Sepranolone 10 mg twice weekly for 12 weeks. </w:t>
      </w:r>
    </w:p>
    <w:p w14:paraId="6CFE03AD" w14:textId="2074E983" w:rsidR="00A96733" w:rsidRPr="001D6BF7" w:rsidRDefault="00A96733" w:rsidP="00A96733">
      <w:pPr>
        <w:rPr>
          <w:rFonts w:eastAsia="MS Mincho"/>
          <w:lang w:val="fr-FR" w:eastAsia="da-DK"/>
        </w:rPr>
      </w:pPr>
    </w:p>
    <w:p w14:paraId="67DFFAE8" w14:textId="77777777" w:rsidR="00A96733" w:rsidRPr="00BE59FE" w:rsidRDefault="00A96733" w:rsidP="00A96733">
      <w:pPr>
        <w:rPr>
          <w:b/>
          <w:sz w:val="23"/>
          <w:szCs w:val="23"/>
        </w:rPr>
      </w:pPr>
      <w:r w:rsidRPr="00BE59FE">
        <w:rPr>
          <w:b/>
          <w:sz w:val="23"/>
          <w:szCs w:val="23"/>
        </w:rPr>
        <w:t>Results and Conclusions:</w:t>
      </w:r>
    </w:p>
    <w:p w14:paraId="66C03E63" w14:textId="29ADEEB9" w:rsidR="00DF5385" w:rsidRDefault="00DF5385" w:rsidP="00DF5385">
      <w:r>
        <w:rPr>
          <w:rFonts w:eastAsia="MS Mincho"/>
          <w:lang w:eastAsia="da-DK"/>
        </w:rPr>
        <w:t>28 patients with TS were included; 3 adolescents and 15 adults, aged 12-47 years, 18 males and 8 females. Mean b</w:t>
      </w:r>
      <w:r w:rsidRPr="00DF5385">
        <w:rPr>
          <w:rFonts w:eastAsia="MS Mincho"/>
          <w:lang w:eastAsia="da-DK"/>
        </w:rPr>
        <w:t xml:space="preserve">aseline </w:t>
      </w:r>
      <w:r>
        <w:rPr>
          <w:rFonts w:eastAsia="MS Mincho"/>
          <w:lang w:eastAsia="da-DK"/>
        </w:rPr>
        <w:t xml:space="preserve">Total Tic Score (TTS) as measured on </w:t>
      </w:r>
      <w:r w:rsidRPr="00DF5385">
        <w:rPr>
          <w:rFonts w:eastAsia="MS Mincho"/>
          <w:lang w:eastAsia="da-DK"/>
        </w:rPr>
        <w:t xml:space="preserve">Yale Global Tic Severity Score </w:t>
      </w:r>
      <w:r>
        <w:rPr>
          <w:rFonts w:eastAsia="MS Mincho"/>
          <w:lang w:eastAsia="da-DK"/>
        </w:rPr>
        <w:t>was</w:t>
      </w:r>
      <w:r w:rsidRPr="00DF5385">
        <w:rPr>
          <w:rFonts w:eastAsia="MS Mincho"/>
          <w:lang w:eastAsia="da-DK"/>
        </w:rPr>
        <w:t xml:space="preserve"> 32</w:t>
      </w:r>
      <w:r>
        <w:rPr>
          <w:rFonts w:eastAsia="MS Mincho"/>
          <w:lang w:eastAsia="da-DK"/>
        </w:rPr>
        <w:t xml:space="preserve">. Nine </w:t>
      </w:r>
      <w:r w:rsidRPr="00DF5385">
        <w:rPr>
          <w:rFonts w:eastAsia="MS Mincho"/>
          <w:lang w:eastAsia="da-DK"/>
        </w:rPr>
        <w:t>patients were randomized to SoC</w:t>
      </w:r>
      <w:r>
        <w:rPr>
          <w:rFonts w:eastAsia="MS Mincho"/>
          <w:lang w:eastAsia="da-DK"/>
        </w:rPr>
        <w:t xml:space="preserve"> and 17 patients to</w:t>
      </w:r>
      <w:r w:rsidRPr="00DF5385">
        <w:rPr>
          <w:rFonts w:eastAsia="MS Mincho"/>
          <w:lang w:eastAsia="da-DK"/>
        </w:rPr>
        <w:t xml:space="preserve"> standard of care + injections of Sepranolone. Patient characteristics were evenly distributed between the two groups.</w:t>
      </w:r>
      <w:r>
        <w:rPr>
          <w:rFonts w:eastAsia="MS Mincho"/>
          <w:lang w:eastAsia="da-DK"/>
        </w:rPr>
        <w:t xml:space="preserve"> </w:t>
      </w:r>
      <w:r w:rsidRPr="00DF5385">
        <w:rPr>
          <w:rFonts w:eastAsia="MS Mincho"/>
          <w:lang w:eastAsia="da-DK"/>
        </w:rPr>
        <w:t>Two patients (7%) one from each group dropped out of the study.</w:t>
      </w:r>
      <w:r>
        <w:rPr>
          <w:rFonts w:eastAsia="MS Mincho"/>
          <w:lang w:eastAsia="da-DK"/>
        </w:rPr>
        <w:t xml:space="preserve"> TTS in </w:t>
      </w:r>
      <w:r w:rsidRPr="00580AD9">
        <w:t xml:space="preserve">the active group </w:t>
      </w:r>
      <w:r>
        <w:t>was reduced by</w:t>
      </w:r>
      <w:r w:rsidRPr="00580AD9">
        <w:t xml:space="preserve"> 8.</w:t>
      </w:r>
      <w:r>
        <w:t>6</w:t>
      </w:r>
      <w:r w:rsidRPr="00580AD9">
        <w:t xml:space="preserve"> </w:t>
      </w:r>
      <w:r>
        <w:t xml:space="preserve">points </w:t>
      </w:r>
      <w:r w:rsidRPr="00580AD9">
        <w:t>or 2</w:t>
      </w:r>
      <w:r>
        <w:t>8</w:t>
      </w:r>
      <w:r w:rsidRPr="00580AD9">
        <w:t xml:space="preserve">.0% versus 3.9 </w:t>
      </w:r>
      <w:r>
        <w:t xml:space="preserve">points </w:t>
      </w:r>
      <w:r w:rsidRPr="00580AD9">
        <w:t>or 12.</w:t>
      </w:r>
      <w:r>
        <w:t>6</w:t>
      </w:r>
      <w:r w:rsidRPr="00580AD9">
        <w:t>% in the control group (p= 0.051)</w:t>
      </w:r>
      <w:r>
        <w:t xml:space="preserve">. </w:t>
      </w:r>
      <w:r w:rsidRPr="00DF5385">
        <w:t xml:space="preserve">No systemic side effects were observed and </w:t>
      </w:r>
      <w:r>
        <w:t>in</w:t>
      </w:r>
      <w:r w:rsidRPr="00DF5385">
        <w:t xml:space="preserve"> 2% mild to moderate but reversible skin reactions</w:t>
      </w:r>
      <w:r>
        <w:t xml:space="preserve"> were seen</w:t>
      </w:r>
      <w:r w:rsidRPr="00DF5385">
        <w:t>.</w:t>
      </w:r>
    </w:p>
    <w:p w14:paraId="2F56A902" w14:textId="26565211" w:rsidR="00A96733" w:rsidRDefault="00DF5385" w:rsidP="00A96733">
      <w:pPr>
        <w:rPr>
          <w:rFonts w:eastAsia="Times New Roman"/>
          <w:b/>
          <w:color w:val="FF0000"/>
          <w:lang w:eastAsia="da-DK"/>
        </w:rPr>
      </w:pPr>
      <w:r>
        <w:rPr>
          <w:rFonts w:eastAsia="MS Mincho"/>
          <w:lang w:eastAsia="da-DK"/>
        </w:rPr>
        <w:t>Treatment with Sepranolone might be a promising new treatment possibility for patients with TS.</w:t>
      </w:r>
    </w:p>
    <w:p w14:paraId="4C0AF4F4" w14:textId="5B64111A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28F0F1D5" w14:textId="3E7A349F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71419319" w14:textId="7BB51007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6C34D6C0" w14:textId="421F677B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1E0E5DF3" w14:textId="2836F25E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5EFCD7BD" w14:textId="24ED5477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3FCE14CC" w14:textId="6000BF75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17BDD42E" w14:textId="6881B908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53A45D51" w14:textId="639CDE77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140F669B" w14:textId="77777777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3C1680C1" w14:textId="46563279" w:rsidR="00763601" w:rsidRDefault="00763601" w:rsidP="00F84931"/>
    <w:sectPr w:rsidR="00763601" w:rsidSect="00D2330C">
      <w:headerReference w:type="default" r:id="rId8"/>
      <w:footerReference w:type="default" r:id="rId9"/>
      <w:pgSz w:w="11900" w:h="16840"/>
      <w:pgMar w:top="1418" w:right="1701" w:bottom="1418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2A1F5" w14:textId="77777777" w:rsidR="007B5FD5" w:rsidRDefault="007B5FD5">
      <w:r>
        <w:separator/>
      </w:r>
    </w:p>
  </w:endnote>
  <w:endnote w:type="continuationSeparator" w:id="0">
    <w:p w14:paraId="0F729D64" w14:textId="77777777" w:rsidR="007B5FD5" w:rsidRDefault="007B5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298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05189" w14:textId="19A77DA2" w:rsidR="00777248" w:rsidRDefault="00777248">
        <w:pPr>
          <w:pStyle w:val="Sidefod"/>
          <w:jc w:val="center"/>
        </w:pPr>
      </w:p>
      <w:p w14:paraId="18BFC470" w14:textId="696EDC7B" w:rsidR="00777248" w:rsidRDefault="00777248">
        <w:pPr>
          <w:pStyle w:val="Sidefo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09A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36838FE" w14:textId="005F5958" w:rsidR="00064580" w:rsidRDefault="0006458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CE668" w14:textId="77777777" w:rsidR="007B5FD5" w:rsidRDefault="007B5FD5">
      <w:r>
        <w:separator/>
      </w:r>
    </w:p>
  </w:footnote>
  <w:footnote w:type="continuationSeparator" w:id="0">
    <w:p w14:paraId="4C04BAEC" w14:textId="77777777" w:rsidR="007B5FD5" w:rsidRDefault="007B5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97D5" w14:textId="209B4A2B" w:rsidR="00777248" w:rsidRDefault="00D2330C" w:rsidP="006357B0">
    <w:pPr>
      <w:pStyle w:val="Sidehoved"/>
      <w:tabs>
        <w:tab w:val="clear" w:pos="4513"/>
        <w:tab w:val="clear" w:pos="9026"/>
        <w:tab w:val="left" w:pos="764"/>
      </w:tabs>
      <w:rPr>
        <w:noProof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25CA3130" wp14:editId="2F02CC27">
          <wp:simplePos x="0" y="0"/>
          <wp:positionH relativeFrom="column">
            <wp:posOffset>-961602</wp:posOffset>
          </wp:positionH>
          <wp:positionV relativeFrom="paragraph">
            <wp:posOffset>-94615</wp:posOffset>
          </wp:positionV>
          <wp:extent cx="1075267" cy="430081"/>
          <wp:effectExtent l="0" t="0" r="0" b="825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ESSTS font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5267" cy="430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358AF1" w14:textId="0AA514BE" w:rsidR="00777248" w:rsidRDefault="00777248" w:rsidP="006357B0">
    <w:pPr>
      <w:pStyle w:val="Sidehoved"/>
      <w:tabs>
        <w:tab w:val="clear" w:pos="4513"/>
        <w:tab w:val="clear" w:pos="9026"/>
        <w:tab w:val="left" w:pos="76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70D8"/>
    <w:multiLevelType w:val="hybridMultilevel"/>
    <w:tmpl w:val="97E6019C"/>
    <w:styleLink w:val="Estiloimportado14"/>
    <w:lvl w:ilvl="0" w:tplc="24D2CDE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D8AD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028B9C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D4C3A0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3C176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AA6D95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EA18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414385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A42EE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42E7F37"/>
    <w:multiLevelType w:val="hybridMultilevel"/>
    <w:tmpl w:val="5A90B826"/>
    <w:styleLink w:val="Estiloimportado7"/>
    <w:lvl w:ilvl="0" w:tplc="367C8E5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4CB0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1E432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3069F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10B06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DC49CF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3F83A1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38216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AF074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9774E6F"/>
    <w:multiLevelType w:val="hybridMultilevel"/>
    <w:tmpl w:val="FE8022F8"/>
    <w:numStyleLink w:val="Estiloimportado8"/>
  </w:abstractNum>
  <w:abstractNum w:abstractNumId="3" w15:restartNumberingAfterBreak="0">
    <w:nsid w:val="0A982BE0"/>
    <w:multiLevelType w:val="hybridMultilevel"/>
    <w:tmpl w:val="C5027080"/>
    <w:styleLink w:val="Estiloimportado11"/>
    <w:lvl w:ilvl="0" w:tplc="38E035C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82E8C0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4E587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3E6A90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86733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E5A1C5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8CE7B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E099C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04456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CB7711A"/>
    <w:multiLevelType w:val="hybridMultilevel"/>
    <w:tmpl w:val="8C7CE696"/>
    <w:styleLink w:val="Estiloimportado4"/>
    <w:lvl w:ilvl="0" w:tplc="BD54D02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F67D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1645FA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570947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952E6A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16708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56E2B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E58D0B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C2D3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CD75548"/>
    <w:multiLevelType w:val="hybridMultilevel"/>
    <w:tmpl w:val="4CD6220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F2597"/>
    <w:multiLevelType w:val="hybridMultilevel"/>
    <w:tmpl w:val="9CF615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26A4C"/>
    <w:multiLevelType w:val="hybridMultilevel"/>
    <w:tmpl w:val="6F22E458"/>
    <w:styleLink w:val="Estiloimportado9"/>
    <w:lvl w:ilvl="0" w:tplc="B81A448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FE0DF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780DC3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78F4A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A06B3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08D9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824026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B4139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40B43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B745EA2"/>
    <w:multiLevelType w:val="hybridMultilevel"/>
    <w:tmpl w:val="8500D0AA"/>
    <w:lvl w:ilvl="0" w:tplc="1B76D2E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52F3E"/>
    <w:multiLevelType w:val="hybridMultilevel"/>
    <w:tmpl w:val="1C38D4FC"/>
    <w:styleLink w:val="Estiloimportado10"/>
    <w:lvl w:ilvl="0" w:tplc="709C7C6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56B12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88699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AF4539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6F078C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009C5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5C9ED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80A4A9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861DF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E961BE2"/>
    <w:multiLevelType w:val="hybridMultilevel"/>
    <w:tmpl w:val="CE18EE00"/>
    <w:lvl w:ilvl="0" w:tplc="5100FFCC">
      <w:start w:val="1"/>
      <w:numFmt w:val="decimal"/>
      <w:lvlText w:val="(%1)"/>
      <w:lvlJc w:val="left"/>
      <w:pPr>
        <w:ind w:left="51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230" w:hanging="360"/>
      </w:pPr>
    </w:lvl>
    <w:lvl w:ilvl="2" w:tplc="0407001B" w:tentative="1">
      <w:start w:val="1"/>
      <w:numFmt w:val="lowerRoman"/>
      <w:lvlText w:val="%3."/>
      <w:lvlJc w:val="right"/>
      <w:pPr>
        <w:ind w:left="1950" w:hanging="180"/>
      </w:pPr>
    </w:lvl>
    <w:lvl w:ilvl="3" w:tplc="0407000F" w:tentative="1">
      <w:start w:val="1"/>
      <w:numFmt w:val="decimal"/>
      <w:lvlText w:val="%4."/>
      <w:lvlJc w:val="left"/>
      <w:pPr>
        <w:ind w:left="2670" w:hanging="360"/>
      </w:pPr>
    </w:lvl>
    <w:lvl w:ilvl="4" w:tplc="04070019" w:tentative="1">
      <w:start w:val="1"/>
      <w:numFmt w:val="lowerLetter"/>
      <w:lvlText w:val="%5."/>
      <w:lvlJc w:val="left"/>
      <w:pPr>
        <w:ind w:left="3390" w:hanging="360"/>
      </w:pPr>
    </w:lvl>
    <w:lvl w:ilvl="5" w:tplc="0407001B" w:tentative="1">
      <w:start w:val="1"/>
      <w:numFmt w:val="lowerRoman"/>
      <w:lvlText w:val="%6."/>
      <w:lvlJc w:val="right"/>
      <w:pPr>
        <w:ind w:left="4110" w:hanging="180"/>
      </w:pPr>
    </w:lvl>
    <w:lvl w:ilvl="6" w:tplc="0407000F" w:tentative="1">
      <w:start w:val="1"/>
      <w:numFmt w:val="decimal"/>
      <w:lvlText w:val="%7."/>
      <w:lvlJc w:val="left"/>
      <w:pPr>
        <w:ind w:left="4830" w:hanging="360"/>
      </w:pPr>
    </w:lvl>
    <w:lvl w:ilvl="7" w:tplc="04070019" w:tentative="1">
      <w:start w:val="1"/>
      <w:numFmt w:val="lowerLetter"/>
      <w:lvlText w:val="%8."/>
      <w:lvlJc w:val="left"/>
      <w:pPr>
        <w:ind w:left="5550" w:hanging="360"/>
      </w:pPr>
    </w:lvl>
    <w:lvl w:ilvl="8" w:tplc="0407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1FAD74B1"/>
    <w:multiLevelType w:val="hybridMultilevel"/>
    <w:tmpl w:val="CD1C5202"/>
    <w:lvl w:ilvl="0" w:tplc="DF0099C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A2884"/>
    <w:multiLevelType w:val="hybridMultilevel"/>
    <w:tmpl w:val="67C2DC8E"/>
    <w:lvl w:ilvl="0" w:tplc="B45CA646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3" w15:restartNumberingAfterBreak="0">
    <w:nsid w:val="235235C3"/>
    <w:multiLevelType w:val="hybridMultilevel"/>
    <w:tmpl w:val="A43E869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F3801"/>
    <w:multiLevelType w:val="hybridMultilevel"/>
    <w:tmpl w:val="76867F74"/>
    <w:styleLink w:val="Estiloimportado5"/>
    <w:lvl w:ilvl="0" w:tplc="E490FDA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023F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68840C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236CB0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02E02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720BC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8E4BEB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342F3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C2E27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BD70927"/>
    <w:multiLevelType w:val="hybridMultilevel"/>
    <w:tmpl w:val="59D00CE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87AFC"/>
    <w:multiLevelType w:val="hybridMultilevel"/>
    <w:tmpl w:val="F2984F8C"/>
    <w:styleLink w:val="Estiloimportado3"/>
    <w:lvl w:ilvl="0" w:tplc="455C56FE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E1AB6EA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0288F6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766700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6C63FC4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80ECEC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521C34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90C5C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ADF8E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0672BDB"/>
    <w:multiLevelType w:val="hybridMultilevel"/>
    <w:tmpl w:val="97E6019C"/>
    <w:numStyleLink w:val="Estiloimportado14"/>
  </w:abstractNum>
  <w:abstractNum w:abstractNumId="18" w15:restartNumberingAfterBreak="0">
    <w:nsid w:val="32E37340"/>
    <w:multiLevelType w:val="hybridMultilevel"/>
    <w:tmpl w:val="7FEE3E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E46B8"/>
    <w:multiLevelType w:val="hybridMultilevel"/>
    <w:tmpl w:val="1C38D4FC"/>
    <w:numStyleLink w:val="Estiloimportado10"/>
  </w:abstractNum>
  <w:abstractNum w:abstractNumId="20" w15:restartNumberingAfterBreak="0">
    <w:nsid w:val="3A0B0998"/>
    <w:multiLevelType w:val="hybridMultilevel"/>
    <w:tmpl w:val="942E2F6E"/>
    <w:styleLink w:val="Estiloimportado12"/>
    <w:lvl w:ilvl="0" w:tplc="0A441CC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4EA92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EE656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F04329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5860E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9EB80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96B17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6A8D8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0625D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A2F629B"/>
    <w:multiLevelType w:val="hybridMultilevel"/>
    <w:tmpl w:val="5A0CD25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F4D0F"/>
    <w:multiLevelType w:val="hybridMultilevel"/>
    <w:tmpl w:val="BD388B1A"/>
    <w:numStyleLink w:val="Estiloimportado2"/>
  </w:abstractNum>
  <w:abstractNum w:abstractNumId="23" w15:restartNumberingAfterBreak="0">
    <w:nsid w:val="3B6B2ED7"/>
    <w:multiLevelType w:val="hybridMultilevel"/>
    <w:tmpl w:val="C5027080"/>
    <w:numStyleLink w:val="Estiloimportado11"/>
  </w:abstractNum>
  <w:abstractNum w:abstractNumId="24" w15:restartNumberingAfterBreak="0">
    <w:nsid w:val="44983A98"/>
    <w:multiLevelType w:val="hybridMultilevel"/>
    <w:tmpl w:val="6A3C196E"/>
    <w:numStyleLink w:val="Estiloimportado6"/>
  </w:abstractNum>
  <w:abstractNum w:abstractNumId="25" w15:restartNumberingAfterBreak="0">
    <w:nsid w:val="45B20512"/>
    <w:multiLevelType w:val="hybridMultilevel"/>
    <w:tmpl w:val="6A3C196E"/>
    <w:styleLink w:val="Estiloimportado6"/>
    <w:lvl w:ilvl="0" w:tplc="184A3D0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C0954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A1EC88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16089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CF8B8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64663E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568D57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26349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E44641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6696FC9"/>
    <w:multiLevelType w:val="hybridMultilevel"/>
    <w:tmpl w:val="E904D63E"/>
    <w:numStyleLink w:val="Estiloimportado13"/>
  </w:abstractNum>
  <w:abstractNum w:abstractNumId="27" w15:restartNumberingAfterBreak="0">
    <w:nsid w:val="46C70976"/>
    <w:multiLevelType w:val="hybridMultilevel"/>
    <w:tmpl w:val="3508B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AE24BE"/>
    <w:multiLevelType w:val="hybridMultilevel"/>
    <w:tmpl w:val="5CE66064"/>
    <w:numStyleLink w:val="Estiloimportado1"/>
  </w:abstractNum>
  <w:abstractNum w:abstractNumId="29" w15:restartNumberingAfterBreak="0">
    <w:nsid w:val="57FD4988"/>
    <w:multiLevelType w:val="hybridMultilevel"/>
    <w:tmpl w:val="837216B8"/>
    <w:lvl w:ilvl="0" w:tplc="ACF85702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386434"/>
    <w:multiLevelType w:val="hybridMultilevel"/>
    <w:tmpl w:val="2E16549A"/>
    <w:lvl w:ilvl="0" w:tplc="B962554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FD3DE2"/>
    <w:multiLevelType w:val="hybridMultilevel"/>
    <w:tmpl w:val="7486B2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F4F7D"/>
    <w:multiLevelType w:val="hybridMultilevel"/>
    <w:tmpl w:val="8C7CE696"/>
    <w:numStyleLink w:val="Estiloimportado4"/>
  </w:abstractNum>
  <w:abstractNum w:abstractNumId="33" w15:restartNumberingAfterBreak="0">
    <w:nsid w:val="645C7348"/>
    <w:multiLevelType w:val="hybridMultilevel"/>
    <w:tmpl w:val="A8F8B9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0070F"/>
    <w:multiLevelType w:val="hybridMultilevel"/>
    <w:tmpl w:val="FE8022F8"/>
    <w:styleLink w:val="Estiloimportado8"/>
    <w:lvl w:ilvl="0" w:tplc="F52E989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96738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807BE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91C86E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B0964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E74410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2C299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F881AA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B3442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6776692C"/>
    <w:multiLevelType w:val="hybridMultilevel"/>
    <w:tmpl w:val="0D5E51F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A2BF0"/>
    <w:multiLevelType w:val="hybridMultilevel"/>
    <w:tmpl w:val="F4A4E488"/>
    <w:lvl w:ilvl="0" w:tplc="EA624F9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D2BF5"/>
    <w:multiLevelType w:val="hybridMultilevel"/>
    <w:tmpl w:val="6F22E458"/>
    <w:numStyleLink w:val="Estiloimportado9"/>
  </w:abstractNum>
  <w:abstractNum w:abstractNumId="38" w15:restartNumberingAfterBreak="0">
    <w:nsid w:val="6AD301F8"/>
    <w:multiLevelType w:val="hybridMultilevel"/>
    <w:tmpl w:val="F2984F8C"/>
    <w:numStyleLink w:val="Estiloimportado3"/>
  </w:abstractNum>
  <w:abstractNum w:abstractNumId="39" w15:restartNumberingAfterBreak="0">
    <w:nsid w:val="6B6D71A6"/>
    <w:multiLevelType w:val="hybridMultilevel"/>
    <w:tmpl w:val="5A90B826"/>
    <w:numStyleLink w:val="Estiloimportado7"/>
  </w:abstractNum>
  <w:abstractNum w:abstractNumId="40" w15:restartNumberingAfterBreak="0">
    <w:nsid w:val="6C2B723F"/>
    <w:multiLevelType w:val="hybridMultilevel"/>
    <w:tmpl w:val="EC88DFDE"/>
    <w:lvl w:ilvl="0" w:tplc="951A8CBE">
      <w:start w:val="1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2433B5B"/>
    <w:multiLevelType w:val="hybridMultilevel"/>
    <w:tmpl w:val="BD388B1A"/>
    <w:styleLink w:val="Estiloimportado2"/>
    <w:lvl w:ilvl="0" w:tplc="CF56D062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AAF224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DB4FD94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C5E7F16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046B9D6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5A9682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1EA81C6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C8A200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0A4F48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72B149B9"/>
    <w:multiLevelType w:val="hybridMultilevel"/>
    <w:tmpl w:val="76867F74"/>
    <w:numStyleLink w:val="Estiloimportado5"/>
  </w:abstractNum>
  <w:abstractNum w:abstractNumId="43" w15:restartNumberingAfterBreak="0">
    <w:nsid w:val="754D6B3C"/>
    <w:multiLevelType w:val="hybridMultilevel"/>
    <w:tmpl w:val="942E2F6E"/>
    <w:numStyleLink w:val="Estiloimportado12"/>
  </w:abstractNum>
  <w:abstractNum w:abstractNumId="44" w15:restartNumberingAfterBreak="0">
    <w:nsid w:val="7B8A23C8"/>
    <w:multiLevelType w:val="hybridMultilevel"/>
    <w:tmpl w:val="E904D63E"/>
    <w:styleLink w:val="Estiloimportado13"/>
    <w:lvl w:ilvl="0" w:tplc="8E5CE9DA">
      <w:start w:val="1"/>
      <w:numFmt w:val="bullet"/>
      <w:lvlText w:val="•"/>
      <w:lvlJc w:val="left"/>
      <w:pPr>
        <w:ind w:left="68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2F45E2C">
      <w:start w:val="1"/>
      <w:numFmt w:val="bullet"/>
      <w:lvlText w:val="o"/>
      <w:lvlJc w:val="left"/>
      <w:pPr>
        <w:ind w:left="14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31088BA">
      <w:start w:val="1"/>
      <w:numFmt w:val="bullet"/>
      <w:lvlText w:val="▪"/>
      <w:lvlJc w:val="left"/>
      <w:pPr>
        <w:ind w:left="21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28D836">
      <w:start w:val="1"/>
      <w:numFmt w:val="bullet"/>
      <w:lvlText w:val="•"/>
      <w:lvlJc w:val="left"/>
      <w:pPr>
        <w:ind w:left="284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E6E440">
      <w:start w:val="1"/>
      <w:numFmt w:val="bullet"/>
      <w:lvlText w:val="o"/>
      <w:lvlJc w:val="left"/>
      <w:pPr>
        <w:ind w:left="356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08766A">
      <w:start w:val="1"/>
      <w:numFmt w:val="bullet"/>
      <w:lvlText w:val="▪"/>
      <w:lvlJc w:val="left"/>
      <w:pPr>
        <w:ind w:left="428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0101260">
      <w:start w:val="1"/>
      <w:numFmt w:val="bullet"/>
      <w:lvlText w:val="•"/>
      <w:lvlJc w:val="left"/>
      <w:pPr>
        <w:ind w:left="500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2AEC768">
      <w:start w:val="1"/>
      <w:numFmt w:val="bullet"/>
      <w:lvlText w:val="o"/>
      <w:lvlJc w:val="left"/>
      <w:pPr>
        <w:ind w:left="57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7BE99EC">
      <w:start w:val="1"/>
      <w:numFmt w:val="bullet"/>
      <w:lvlText w:val="▪"/>
      <w:lvlJc w:val="left"/>
      <w:pPr>
        <w:ind w:left="644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7D8E7E7C"/>
    <w:multiLevelType w:val="hybridMultilevel"/>
    <w:tmpl w:val="5CE66064"/>
    <w:styleLink w:val="Estiloimportado1"/>
    <w:lvl w:ilvl="0" w:tplc="50D681D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78BD84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1206E72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5580E18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489120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42745A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E497DA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92AD88A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0322630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5"/>
  </w:num>
  <w:num w:numId="2">
    <w:abstractNumId w:val="28"/>
  </w:num>
  <w:num w:numId="3">
    <w:abstractNumId w:val="41"/>
  </w:num>
  <w:num w:numId="4">
    <w:abstractNumId w:val="22"/>
  </w:num>
  <w:num w:numId="5">
    <w:abstractNumId w:val="16"/>
  </w:num>
  <w:num w:numId="6">
    <w:abstractNumId w:val="38"/>
  </w:num>
  <w:num w:numId="7">
    <w:abstractNumId w:val="28"/>
    <w:lvlOverride w:ilvl="0">
      <w:startOverride w:val="2"/>
    </w:lvlOverride>
  </w:num>
  <w:num w:numId="8">
    <w:abstractNumId w:val="28"/>
    <w:lvlOverride w:ilvl="0">
      <w:startOverride w:val="3"/>
    </w:lvlOverride>
  </w:num>
  <w:num w:numId="9">
    <w:abstractNumId w:val="4"/>
  </w:num>
  <w:num w:numId="10">
    <w:abstractNumId w:val="32"/>
  </w:num>
  <w:num w:numId="11">
    <w:abstractNumId w:val="14"/>
  </w:num>
  <w:num w:numId="12">
    <w:abstractNumId w:val="42"/>
  </w:num>
  <w:num w:numId="13">
    <w:abstractNumId w:val="25"/>
  </w:num>
  <w:num w:numId="14">
    <w:abstractNumId w:val="24"/>
  </w:num>
  <w:num w:numId="15">
    <w:abstractNumId w:val="1"/>
  </w:num>
  <w:num w:numId="16">
    <w:abstractNumId w:val="39"/>
  </w:num>
  <w:num w:numId="17">
    <w:abstractNumId w:val="34"/>
  </w:num>
  <w:num w:numId="18">
    <w:abstractNumId w:val="2"/>
  </w:num>
  <w:num w:numId="19">
    <w:abstractNumId w:val="7"/>
  </w:num>
  <w:num w:numId="20">
    <w:abstractNumId w:val="37"/>
  </w:num>
  <w:num w:numId="21">
    <w:abstractNumId w:val="9"/>
  </w:num>
  <w:num w:numId="22">
    <w:abstractNumId w:val="19"/>
  </w:num>
  <w:num w:numId="23">
    <w:abstractNumId w:val="3"/>
  </w:num>
  <w:num w:numId="24">
    <w:abstractNumId w:val="23"/>
  </w:num>
  <w:num w:numId="25">
    <w:abstractNumId w:val="20"/>
  </w:num>
  <w:num w:numId="26">
    <w:abstractNumId w:val="43"/>
  </w:num>
  <w:num w:numId="27">
    <w:abstractNumId w:val="44"/>
  </w:num>
  <w:num w:numId="28">
    <w:abstractNumId w:val="26"/>
  </w:num>
  <w:num w:numId="29">
    <w:abstractNumId w:val="0"/>
  </w:num>
  <w:num w:numId="30">
    <w:abstractNumId w:val="17"/>
  </w:num>
  <w:num w:numId="31">
    <w:abstractNumId w:val="8"/>
  </w:num>
  <w:num w:numId="32">
    <w:abstractNumId w:val="11"/>
  </w:num>
  <w:num w:numId="33">
    <w:abstractNumId w:val="36"/>
  </w:num>
  <w:num w:numId="34">
    <w:abstractNumId w:val="30"/>
  </w:num>
  <w:num w:numId="35">
    <w:abstractNumId w:val="29"/>
  </w:num>
  <w:num w:numId="36">
    <w:abstractNumId w:val="40"/>
  </w:num>
  <w:num w:numId="37">
    <w:abstractNumId w:val="5"/>
  </w:num>
  <w:num w:numId="38">
    <w:abstractNumId w:val="13"/>
  </w:num>
  <w:num w:numId="39">
    <w:abstractNumId w:val="15"/>
  </w:num>
  <w:num w:numId="40">
    <w:abstractNumId w:val="21"/>
  </w:num>
  <w:num w:numId="41">
    <w:abstractNumId w:val="18"/>
  </w:num>
  <w:num w:numId="42">
    <w:abstractNumId w:val="35"/>
  </w:num>
  <w:num w:numId="43">
    <w:abstractNumId w:val="6"/>
  </w:num>
  <w:num w:numId="44">
    <w:abstractNumId w:val="33"/>
  </w:num>
  <w:num w:numId="45">
    <w:abstractNumId w:val="31"/>
  </w:num>
  <w:num w:numId="46">
    <w:abstractNumId w:val="27"/>
  </w:num>
  <w:num w:numId="47">
    <w:abstractNumId w:val="12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56"/>
    <w:rsid w:val="00010258"/>
    <w:rsid w:val="000106B2"/>
    <w:rsid w:val="00012448"/>
    <w:rsid w:val="0001375B"/>
    <w:rsid w:val="00040DE3"/>
    <w:rsid w:val="000513ED"/>
    <w:rsid w:val="00064580"/>
    <w:rsid w:val="00064B13"/>
    <w:rsid w:val="0006570D"/>
    <w:rsid w:val="00084576"/>
    <w:rsid w:val="00084801"/>
    <w:rsid w:val="000C1960"/>
    <w:rsid w:val="000C2AAF"/>
    <w:rsid w:val="000D517B"/>
    <w:rsid w:val="000E7AF2"/>
    <w:rsid w:val="000F72FA"/>
    <w:rsid w:val="00102C65"/>
    <w:rsid w:val="00110C84"/>
    <w:rsid w:val="0012114A"/>
    <w:rsid w:val="0012314A"/>
    <w:rsid w:val="0014256E"/>
    <w:rsid w:val="001437CF"/>
    <w:rsid w:val="00156C84"/>
    <w:rsid w:val="00187002"/>
    <w:rsid w:val="00193093"/>
    <w:rsid w:val="001A2E3F"/>
    <w:rsid w:val="001B49EC"/>
    <w:rsid w:val="001B567C"/>
    <w:rsid w:val="001C11CD"/>
    <w:rsid w:val="001D6B31"/>
    <w:rsid w:val="001F182D"/>
    <w:rsid w:val="002068E7"/>
    <w:rsid w:val="00212CDC"/>
    <w:rsid w:val="00213C2E"/>
    <w:rsid w:val="00215008"/>
    <w:rsid w:val="00225D30"/>
    <w:rsid w:val="0022792B"/>
    <w:rsid w:val="00256AC9"/>
    <w:rsid w:val="00274E36"/>
    <w:rsid w:val="002C25EC"/>
    <w:rsid w:val="002D35D9"/>
    <w:rsid w:val="002E1EC0"/>
    <w:rsid w:val="002E400A"/>
    <w:rsid w:val="002E65DC"/>
    <w:rsid w:val="002F17AF"/>
    <w:rsid w:val="00317762"/>
    <w:rsid w:val="00317C15"/>
    <w:rsid w:val="00321E26"/>
    <w:rsid w:val="00322E71"/>
    <w:rsid w:val="00332821"/>
    <w:rsid w:val="00333BE2"/>
    <w:rsid w:val="00333CEA"/>
    <w:rsid w:val="003458F7"/>
    <w:rsid w:val="00346E78"/>
    <w:rsid w:val="00357DE0"/>
    <w:rsid w:val="00373A8A"/>
    <w:rsid w:val="00373E38"/>
    <w:rsid w:val="003846A4"/>
    <w:rsid w:val="003F5BDB"/>
    <w:rsid w:val="003F6BD3"/>
    <w:rsid w:val="004031FD"/>
    <w:rsid w:val="00440E12"/>
    <w:rsid w:val="00446966"/>
    <w:rsid w:val="004A2B4B"/>
    <w:rsid w:val="004D3915"/>
    <w:rsid w:val="004E013F"/>
    <w:rsid w:val="004E4DA9"/>
    <w:rsid w:val="00522301"/>
    <w:rsid w:val="00540769"/>
    <w:rsid w:val="0056258B"/>
    <w:rsid w:val="00566A69"/>
    <w:rsid w:val="00572728"/>
    <w:rsid w:val="0058262D"/>
    <w:rsid w:val="00582A36"/>
    <w:rsid w:val="005947AD"/>
    <w:rsid w:val="00596998"/>
    <w:rsid w:val="005B09A2"/>
    <w:rsid w:val="005B1C1C"/>
    <w:rsid w:val="005B5007"/>
    <w:rsid w:val="005C2AC3"/>
    <w:rsid w:val="005C61BC"/>
    <w:rsid w:val="005C72D0"/>
    <w:rsid w:val="005D774F"/>
    <w:rsid w:val="005E0A7A"/>
    <w:rsid w:val="005E2018"/>
    <w:rsid w:val="005E66AE"/>
    <w:rsid w:val="005F16C8"/>
    <w:rsid w:val="006076B6"/>
    <w:rsid w:val="00611428"/>
    <w:rsid w:val="00615090"/>
    <w:rsid w:val="00632B8C"/>
    <w:rsid w:val="006357B0"/>
    <w:rsid w:val="00642156"/>
    <w:rsid w:val="006477FF"/>
    <w:rsid w:val="006652F5"/>
    <w:rsid w:val="00665EB9"/>
    <w:rsid w:val="00694C81"/>
    <w:rsid w:val="006A43B9"/>
    <w:rsid w:val="006C0B4F"/>
    <w:rsid w:val="006C39FE"/>
    <w:rsid w:val="006C43EC"/>
    <w:rsid w:val="006C64D5"/>
    <w:rsid w:val="006D64E8"/>
    <w:rsid w:val="006D761B"/>
    <w:rsid w:val="007050AD"/>
    <w:rsid w:val="00741AD5"/>
    <w:rsid w:val="00754F99"/>
    <w:rsid w:val="00763601"/>
    <w:rsid w:val="00777248"/>
    <w:rsid w:val="0078602B"/>
    <w:rsid w:val="007A3A98"/>
    <w:rsid w:val="007A4516"/>
    <w:rsid w:val="007B5CE4"/>
    <w:rsid w:val="007B5FD5"/>
    <w:rsid w:val="007B6A2C"/>
    <w:rsid w:val="007C0AD4"/>
    <w:rsid w:val="007C4319"/>
    <w:rsid w:val="007C493D"/>
    <w:rsid w:val="007F0D68"/>
    <w:rsid w:val="00816227"/>
    <w:rsid w:val="00817B30"/>
    <w:rsid w:val="0083797A"/>
    <w:rsid w:val="00851661"/>
    <w:rsid w:val="00863537"/>
    <w:rsid w:val="008641B5"/>
    <w:rsid w:val="00890048"/>
    <w:rsid w:val="008A4877"/>
    <w:rsid w:val="008A69C9"/>
    <w:rsid w:val="009027EE"/>
    <w:rsid w:val="00914391"/>
    <w:rsid w:val="00933C20"/>
    <w:rsid w:val="00937E61"/>
    <w:rsid w:val="0096171B"/>
    <w:rsid w:val="00975667"/>
    <w:rsid w:val="00986E29"/>
    <w:rsid w:val="009F1A70"/>
    <w:rsid w:val="009F56C3"/>
    <w:rsid w:val="00A02CF8"/>
    <w:rsid w:val="00A03D1A"/>
    <w:rsid w:val="00A041E5"/>
    <w:rsid w:val="00A20EDA"/>
    <w:rsid w:val="00A24C0C"/>
    <w:rsid w:val="00A2690E"/>
    <w:rsid w:val="00A33D40"/>
    <w:rsid w:val="00A344A8"/>
    <w:rsid w:val="00A416EC"/>
    <w:rsid w:val="00A507CB"/>
    <w:rsid w:val="00A55680"/>
    <w:rsid w:val="00A646B5"/>
    <w:rsid w:val="00A96733"/>
    <w:rsid w:val="00AB7A5C"/>
    <w:rsid w:val="00AD5BDE"/>
    <w:rsid w:val="00AF0F53"/>
    <w:rsid w:val="00B02D44"/>
    <w:rsid w:val="00B07846"/>
    <w:rsid w:val="00B26C2E"/>
    <w:rsid w:val="00B42A75"/>
    <w:rsid w:val="00B4745E"/>
    <w:rsid w:val="00B47910"/>
    <w:rsid w:val="00B47AB4"/>
    <w:rsid w:val="00B66333"/>
    <w:rsid w:val="00B842E7"/>
    <w:rsid w:val="00BB21C2"/>
    <w:rsid w:val="00BF27F5"/>
    <w:rsid w:val="00C04600"/>
    <w:rsid w:val="00C1559C"/>
    <w:rsid w:val="00C24B9A"/>
    <w:rsid w:val="00C3177D"/>
    <w:rsid w:val="00C67540"/>
    <w:rsid w:val="00C90DE8"/>
    <w:rsid w:val="00C924E1"/>
    <w:rsid w:val="00CB47DF"/>
    <w:rsid w:val="00CC4876"/>
    <w:rsid w:val="00CC7955"/>
    <w:rsid w:val="00CD49AD"/>
    <w:rsid w:val="00CE2FD9"/>
    <w:rsid w:val="00CF428A"/>
    <w:rsid w:val="00D2330C"/>
    <w:rsid w:val="00D42349"/>
    <w:rsid w:val="00D502AF"/>
    <w:rsid w:val="00D56A96"/>
    <w:rsid w:val="00DA465C"/>
    <w:rsid w:val="00DB31D4"/>
    <w:rsid w:val="00DB517D"/>
    <w:rsid w:val="00DC667B"/>
    <w:rsid w:val="00DD7704"/>
    <w:rsid w:val="00DE5000"/>
    <w:rsid w:val="00DF5385"/>
    <w:rsid w:val="00DF5871"/>
    <w:rsid w:val="00E03CAF"/>
    <w:rsid w:val="00E071DB"/>
    <w:rsid w:val="00E31F49"/>
    <w:rsid w:val="00E320DE"/>
    <w:rsid w:val="00E45778"/>
    <w:rsid w:val="00E813B4"/>
    <w:rsid w:val="00E8329C"/>
    <w:rsid w:val="00E87F5D"/>
    <w:rsid w:val="00E93B9B"/>
    <w:rsid w:val="00E9458D"/>
    <w:rsid w:val="00ED1733"/>
    <w:rsid w:val="00EE6E1C"/>
    <w:rsid w:val="00EF40D5"/>
    <w:rsid w:val="00F0512D"/>
    <w:rsid w:val="00F213C2"/>
    <w:rsid w:val="00F22B98"/>
    <w:rsid w:val="00F74168"/>
    <w:rsid w:val="00F74C07"/>
    <w:rsid w:val="00F83DB9"/>
    <w:rsid w:val="00F84931"/>
    <w:rsid w:val="00F97E96"/>
    <w:rsid w:val="00FA281D"/>
    <w:rsid w:val="00FB56AF"/>
    <w:rsid w:val="00FC6C40"/>
    <w:rsid w:val="00FE0D61"/>
    <w:rsid w:val="00FE4F49"/>
    <w:rsid w:val="00FE57A5"/>
    <w:rsid w:val="00FF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E5BD82"/>
  <w15:docId w15:val="{D9849D7C-05D6-4229-BAA0-E519F35F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uerpo">
    <w:name w:val="Cuerpo"/>
    <w:rPr>
      <w:rFonts w:ascii="Cambria" w:eastAsia="Cambria" w:hAnsi="Cambria" w:cs="Cambria"/>
      <w:color w:val="000000"/>
      <w:sz w:val="24"/>
      <w:szCs w:val="24"/>
      <w:u w:color="000000"/>
      <w:lang w:val="es-ES_tradnl"/>
    </w:rPr>
  </w:style>
  <w:style w:type="character" w:customStyle="1" w:styleId="Ninguno">
    <w:name w:val="Ninguno"/>
    <w:rPr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paragraph" w:styleId="Listeafsnit">
    <w:name w:val="List Paragraph"/>
    <w:uiPriority w:val="34"/>
    <w:qFormat/>
    <w:pPr>
      <w:ind w:left="720"/>
    </w:pPr>
    <w:rPr>
      <w:rFonts w:ascii="Cambria" w:eastAsia="Cambria" w:hAnsi="Cambria" w:cs="Cambria"/>
      <w:color w:val="000000"/>
      <w:sz w:val="24"/>
      <w:szCs w:val="24"/>
      <w:u w:color="000000"/>
      <w:lang w:val="it-IT"/>
    </w:rPr>
  </w:style>
  <w:style w:type="numbering" w:customStyle="1" w:styleId="Estiloimportado4">
    <w:name w:val="Estilo importado 4"/>
    <w:pPr>
      <w:numPr>
        <w:numId w:val="9"/>
      </w:numPr>
    </w:pPr>
  </w:style>
  <w:style w:type="numbering" w:customStyle="1" w:styleId="Estiloimportado5">
    <w:name w:val="Estilo importado 5"/>
    <w:pPr>
      <w:numPr>
        <w:numId w:val="11"/>
      </w:numPr>
    </w:pPr>
  </w:style>
  <w:style w:type="numbering" w:customStyle="1" w:styleId="Estiloimportado6">
    <w:name w:val="Estilo importado 6"/>
    <w:pPr>
      <w:numPr>
        <w:numId w:val="13"/>
      </w:numPr>
    </w:pPr>
  </w:style>
  <w:style w:type="numbering" w:customStyle="1" w:styleId="Estiloimportado7">
    <w:name w:val="Estilo importado 7"/>
    <w:pPr>
      <w:numPr>
        <w:numId w:val="15"/>
      </w:numPr>
    </w:pPr>
  </w:style>
  <w:style w:type="numbering" w:customStyle="1" w:styleId="Estiloimportado8">
    <w:name w:val="Estilo importado 8"/>
    <w:pPr>
      <w:numPr>
        <w:numId w:val="17"/>
      </w:numPr>
    </w:pPr>
  </w:style>
  <w:style w:type="numbering" w:customStyle="1" w:styleId="Estiloimportado9">
    <w:name w:val="Estilo importado 9"/>
    <w:pPr>
      <w:numPr>
        <w:numId w:val="19"/>
      </w:numPr>
    </w:pPr>
  </w:style>
  <w:style w:type="numbering" w:customStyle="1" w:styleId="Estiloimportado10">
    <w:name w:val="Estilo importado 10"/>
    <w:pPr>
      <w:numPr>
        <w:numId w:val="21"/>
      </w:numPr>
    </w:pPr>
  </w:style>
  <w:style w:type="numbering" w:customStyle="1" w:styleId="Estiloimportado11">
    <w:name w:val="Estilo importado 11"/>
    <w:pPr>
      <w:numPr>
        <w:numId w:val="23"/>
      </w:numPr>
    </w:pPr>
  </w:style>
  <w:style w:type="numbering" w:customStyle="1" w:styleId="Estiloimportado12">
    <w:name w:val="Estilo importado 12"/>
    <w:pPr>
      <w:numPr>
        <w:numId w:val="25"/>
      </w:numPr>
    </w:pPr>
  </w:style>
  <w:style w:type="numbering" w:customStyle="1" w:styleId="Estiloimportado13">
    <w:name w:val="Estilo importado 13"/>
    <w:pPr>
      <w:numPr>
        <w:numId w:val="27"/>
      </w:numPr>
    </w:pPr>
  </w:style>
  <w:style w:type="numbering" w:customStyle="1" w:styleId="Estiloimportado14">
    <w:name w:val="Estilo importado 14"/>
    <w:pPr>
      <w:numPr>
        <w:numId w:val="29"/>
      </w:numPr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FB56AF"/>
    <w:rPr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unhideWhenUsed/>
    <w:rsid w:val="00FB56AF"/>
  </w:style>
  <w:style w:type="character" w:customStyle="1" w:styleId="KommentartekstTegn">
    <w:name w:val="Kommentartekst Tegn"/>
    <w:basedOn w:val="Standardskrifttypeiafsnit"/>
    <w:link w:val="Kommentartekst"/>
    <w:uiPriority w:val="99"/>
    <w:rsid w:val="00FB56AF"/>
    <w:rPr>
      <w:sz w:val="24"/>
      <w:szCs w:val="24"/>
      <w:lang w:val="en-US"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B56AF"/>
    <w:rPr>
      <w:b/>
      <w:bCs/>
      <w:sz w:val="20"/>
      <w:szCs w:val="20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B56AF"/>
    <w:rPr>
      <w:b/>
      <w:bCs/>
      <w:sz w:val="24"/>
      <w:szCs w:val="24"/>
      <w:lang w:val="en-US"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B56AF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B56AF"/>
    <w:rPr>
      <w:rFonts w:ascii="Lucida Grande" w:hAnsi="Lucida Grande" w:cs="Lucida Grande"/>
      <w:sz w:val="18"/>
      <w:szCs w:val="18"/>
      <w:lang w:val="en-US" w:eastAsia="en-US"/>
    </w:rPr>
  </w:style>
  <w:style w:type="paragraph" w:styleId="Korrektur">
    <w:name w:val="Revision"/>
    <w:hidden/>
    <w:uiPriority w:val="99"/>
    <w:semiHidden/>
    <w:rsid w:val="00B663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C046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  <w:lang w:val="en-GB" w:eastAsia="en-GB"/>
    </w:rPr>
  </w:style>
  <w:style w:type="paragraph" w:styleId="Sidehoved">
    <w:name w:val="header"/>
    <w:basedOn w:val="Normal"/>
    <w:link w:val="SidehovedTegn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58262D"/>
    <w:rPr>
      <w:sz w:val="24"/>
      <w:szCs w:val="24"/>
      <w:lang w:val="en-US" w:eastAsia="en-US"/>
    </w:rPr>
  </w:style>
  <w:style w:type="paragraph" w:styleId="Sidefod">
    <w:name w:val="footer"/>
    <w:basedOn w:val="Normal"/>
    <w:link w:val="SidefodTegn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58262D"/>
    <w:rPr>
      <w:sz w:val="24"/>
      <w:szCs w:val="24"/>
      <w:lang w:val="en-US" w:eastAsia="en-US"/>
    </w:rPr>
  </w:style>
  <w:style w:type="paragraph" w:customStyle="1" w:styleId="Default">
    <w:name w:val="Default"/>
    <w:rsid w:val="00D4234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fr-FR"/>
    </w:rPr>
  </w:style>
  <w:style w:type="character" w:styleId="Ulstomtale">
    <w:name w:val="Unresolved Mention"/>
    <w:basedOn w:val="Standardskrifttypeiafsnit"/>
    <w:uiPriority w:val="99"/>
    <w:semiHidden/>
    <w:unhideWhenUsed/>
    <w:rsid w:val="006C64D5"/>
    <w:rPr>
      <w:color w:val="808080"/>
      <w:shd w:val="clear" w:color="auto" w:fill="E6E6E6"/>
    </w:rPr>
  </w:style>
  <w:style w:type="table" w:styleId="Tabel-Gitter">
    <w:name w:val="Table Grid"/>
    <w:basedOn w:val="Tabel-Normal"/>
    <w:uiPriority w:val="59"/>
    <w:rsid w:val="000645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el-Normal"/>
    <w:next w:val="Tabel-Gitter"/>
    <w:uiPriority w:val="59"/>
    <w:rsid w:val="001437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el-Normal"/>
    <w:next w:val="Tabel-Gitter"/>
    <w:uiPriority w:val="59"/>
    <w:rsid w:val="00B42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AFCF2-771F-42F8-9D96-8EF4F2B0F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1710</Characters>
  <Application>Microsoft Office Word</Application>
  <DocSecurity>0</DocSecurity>
  <Lines>14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Kennedy Centret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ESSTS</dc:creator>
  <cp:lastModifiedBy>Nanette Marinette Monique Debes</cp:lastModifiedBy>
  <cp:revision>3</cp:revision>
  <cp:lastPrinted>2018-06-03T09:54:00Z</cp:lastPrinted>
  <dcterms:created xsi:type="dcterms:W3CDTF">2023-03-31T20:27:00Z</dcterms:created>
  <dcterms:modified xsi:type="dcterms:W3CDTF">2023-04-04T21:16:00Z</dcterms:modified>
</cp:coreProperties>
</file>