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AB1D" w14:textId="5F6075ED" w:rsidR="00A96733" w:rsidRPr="00D52512" w:rsidRDefault="00D52512" w:rsidP="00A96733">
      <w:pPr>
        <w:jc w:val="center"/>
      </w:pPr>
      <w:r w:rsidRPr="00D52512">
        <w:rPr>
          <w:rFonts w:eastAsia="Times New Roman"/>
          <w:b/>
          <w:bCs/>
          <w:sz w:val="27"/>
          <w:szCs w:val="27"/>
          <w:lang w:eastAsia="da-DK"/>
        </w:rPr>
        <w:t>Correlation of</w:t>
      </w:r>
      <w:r>
        <w:rPr>
          <w:rFonts w:eastAsia="Times New Roman"/>
          <w:b/>
          <w:bCs/>
          <w:sz w:val="27"/>
          <w:szCs w:val="27"/>
          <w:lang w:eastAsia="da-DK"/>
        </w:rPr>
        <w:t xml:space="preserve"> comorbidities and variability of tics in children with Tourette syndrome and chronic tic disorder</w:t>
      </w:r>
    </w:p>
    <w:p w14:paraId="46FE74D1" w14:textId="36B7B91D" w:rsidR="00A96733" w:rsidRPr="00D52512" w:rsidRDefault="00D52512" w:rsidP="00A96733">
      <w:pPr>
        <w:spacing w:line="360" w:lineRule="auto"/>
        <w:jc w:val="center"/>
        <w:rPr>
          <w:rFonts w:eastAsia="Times New Roman"/>
          <w:vertAlign w:val="superscript"/>
          <w:lang w:val="da-DK" w:eastAsia="da-DK"/>
        </w:rPr>
      </w:pPr>
      <w:r w:rsidRPr="00844D57">
        <w:rPr>
          <w:rFonts w:eastAsia="Times New Roman"/>
          <w:lang w:val="da-DK" w:eastAsia="da-DK"/>
        </w:rPr>
        <w:t>Jensen I</w:t>
      </w:r>
      <w:r w:rsidR="00A96733" w:rsidRPr="00844D57">
        <w:rPr>
          <w:rFonts w:eastAsia="Times New Roman"/>
          <w:vertAlign w:val="superscript"/>
          <w:lang w:val="da-DK" w:eastAsia="da-DK"/>
        </w:rPr>
        <w:t>1</w:t>
      </w:r>
      <w:r w:rsidR="00844D57">
        <w:rPr>
          <w:rFonts w:eastAsia="Times New Roman"/>
          <w:lang w:val="da-DK" w:eastAsia="da-DK"/>
        </w:rPr>
        <w:t xml:space="preserve">, </w:t>
      </w:r>
      <w:r w:rsidR="00844D57" w:rsidRPr="00844D57">
        <w:rPr>
          <w:rFonts w:eastAsia="Times New Roman"/>
          <w:u w:val="single"/>
          <w:lang w:val="da-DK" w:eastAsia="da-DK"/>
        </w:rPr>
        <w:t>Skov L</w:t>
      </w:r>
      <w:r w:rsidR="00844D57" w:rsidRPr="00844D57">
        <w:rPr>
          <w:rFonts w:eastAsia="Times New Roman"/>
          <w:u w:val="single"/>
          <w:vertAlign w:val="superscript"/>
          <w:lang w:val="da-DK" w:eastAsia="da-DK"/>
        </w:rPr>
        <w:t>1</w:t>
      </w:r>
      <w:r w:rsidR="00844D57">
        <w:rPr>
          <w:rFonts w:eastAsia="Times New Roman"/>
          <w:lang w:val="da-DK" w:eastAsia="da-DK"/>
        </w:rPr>
        <w:t xml:space="preserve">, </w:t>
      </w:r>
      <w:r w:rsidR="00844D57" w:rsidRPr="00844D57">
        <w:rPr>
          <w:rFonts w:eastAsia="Times New Roman"/>
          <w:u w:val="single"/>
          <w:lang w:val="da-DK" w:eastAsia="da-DK"/>
        </w:rPr>
        <w:t>Munck S</w:t>
      </w:r>
      <w:r w:rsidR="00844D57" w:rsidRPr="00844D57">
        <w:rPr>
          <w:rFonts w:eastAsia="Times New Roman"/>
          <w:u w:val="single"/>
          <w:vertAlign w:val="superscript"/>
          <w:lang w:val="da-DK" w:eastAsia="da-DK"/>
        </w:rPr>
        <w:t>1</w:t>
      </w:r>
      <w:r w:rsidR="00844D57">
        <w:rPr>
          <w:rFonts w:eastAsia="Times New Roman"/>
          <w:lang w:val="da-DK" w:eastAsia="da-DK"/>
        </w:rPr>
        <w:t>,</w:t>
      </w:r>
      <w:r w:rsidR="00A96733" w:rsidRPr="00D52512">
        <w:rPr>
          <w:rFonts w:eastAsia="Times New Roman"/>
          <w:lang w:val="da-DK" w:eastAsia="da-DK"/>
        </w:rPr>
        <w:t xml:space="preserve"> and</w:t>
      </w:r>
      <w:r w:rsidRPr="00D52512">
        <w:rPr>
          <w:rFonts w:eastAsia="Times New Roman"/>
          <w:lang w:val="da-DK" w:eastAsia="da-DK"/>
        </w:rPr>
        <w:t xml:space="preserve"> Debes NM</w:t>
      </w:r>
      <w:r w:rsidRPr="00D52512">
        <w:rPr>
          <w:rFonts w:eastAsia="Times New Roman"/>
          <w:vertAlign w:val="superscript"/>
          <w:lang w:val="da-DK" w:eastAsia="da-DK"/>
        </w:rPr>
        <w:t>1,</w:t>
      </w:r>
      <w:r>
        <w:rPr>
          <w:rFonts w:eastAsia="Times New Roman"/>
          <w:vertAlign w:val="superscript"/>
          <w:lang w:val="da-DK" w:eastAsia="da-DK"/>
        </w:rPr>
        <w:t>2</w:t>
      </w:r>
    </w:p>
    <w:p w14:paraId="2AD44461" w14:textId="6182BD58" w:rsidR="00A96733" w:rsidRPr="008C69FC" w:rsidRDefault="00A96733" w:rsidP="00A96733">
      <w:pPr>
        <w:pBdr>
          <w:bottom w:val="single" w:sz="12" w:space="1" w:color="auto"/>
        </w:pBdr>
        <w:spacing w:line="360" w:lineRule="auto"/>
        <w:jc w:val="center"/>
        <w:rPr>
          <w:rFonts w:eastAsia="Times New Roman"/>
          <w:lang w:eastAsia="da-DK"/>
        </w:rPr>
      </w:pPr>
      <w:r w:rsidRPr="008C69FC">
        <w:rPr>
          <w:rFonts w:eastAsia="Times New Roman"/>
          <w:vertAlign w:val="superscript"/>
          <w:lang w:eastAsia="da-DK"/>
        </w:rPr>
        <w:t>1</w:t>
      </w:r>
      <w:r w:rsidRPr="008C69FC">
        <w:rPr>
          <w:rFonts w:eastAsia="Times New Roman"/>
          <w:lang w:eastAsia="da-DK"/>
        </w:rPr>
        <w:t xml:space="preserve"> </w:t>
      </w:r>
      <w:r w:rsidR="00D52512">
        <w:rPr>
          <w:rFonts w:eastAsia="Times New Roman"/>
          <w:lang w:eastAsia="da-DK"/>
        </w:rPr>
        <w:t>National Tourette Clinic, Department of Pediatrics, Herlev University Hospital, Denmark</w:t>
      </w:r>
      <w:r w:rsidRPr="008C69FC">
        <w:rPr>
          <w:rFonts w:eastAsia="Times New Roman"/>
          <w:lang w:eastAsia="da-DK"/>
        </w:rPr>
        <w:br/>
      </w:r>
      <w:r w:rsidRPr="008C69FC">
        <w:rPr>
          <w:rFonts w:eastAsia="Times New Roman"/>
          <w:vertAlign w:val="superscript"/>
          <w:lang w:eastAsia="da-DK"/>
        </w:rPr>
        <w:t>2</w:t>
      </w:r>
      <w:r w:rsidRPr="008C69FC">
        <w:rPr>
          <w:rFonts w:eastAsia="Times New Roman"/>
          <w:lang w:eastAsia="da-DK"/>
        </w:rPr>
        <w:t xml:space="preserve"> </w:t>
      </w:r>
      <w:r w:rsidR="00D52512">
        <w:rPr>
          <w:rFonts w:eastAsia="Times New Roman"/>
          <w:lang w:eastAsia="da-DK"/>
        </w:rPr>
        <w:t>Department of Clinical Medicine, University of Copenhagen, Copenhagen, Denmark</w:t>
      </w:r>
    </w:p>
    <w:p w14:paraId="2C4FF789" w14:textId="77777777" w:rsidR="00A96733" w:rsidRPr="008C69FC" w:rsidRDefault="00A96733" w:rsidP="00A96733">
      <w:pPr>
        <w:rPr>
          <w:rFonts w:eastAsia="MS Mincho"/>
          <w:lang w:eastAsia="da-DK"/>
        </w:rPr>
      </w:pPr>
    </w:p>
    <w:p w14:paraId="12D80263" w14:textId="77777777" w:rsidR="00A96733" w:rsidRPr="00BE59FE" w:rsidRDefault="00A96733" w:rsidP="00A96733">
      <w:pPr>
        <w:rPr>
          <w:rFonts w:eastAsia="MS Mincho"/>
          <w:b/>
          <w:lang w:eastAsia="da-DK"/>
        </w:rPr>
      </w:pPr>
      <w:r w:rsidRPr="00BE59FE">
        <w:rPr>
          <w:b/>
          <w:sz w:val="23"/>
          <w:szCs w:val="23"/>
        </w:rPr>
        <w:t>Background</w:t>
      </w:r>
      <w:r w:rsidRPr="00BE59FE">
        <w:rPr>
          <w:rFonts w:eastAsia="MS Mincho"/>
          <w:b/>
          <w:lang w:eastAsia="da-DK"/>
        </w:rPr>
        <w:t>:</w:t>
      </w:r>
    </w:p>
    <w:p w14:paraId="4E73E22B" w14:textId="77777777" w:rsidR="00D52512" w:rsidRDefault="00D52512" w:rsidP="00A96733">
      <w:pPr>
        <w:rPr>
          <w:rFonts w:eastAsia="MS Mincho"/>
          <w:lang w:eastAsia="da-DK"/>
        </w:rPr>
      </w:pPr>
      <w:r w:rsidRPr="00D52512">
        <w:rPr>
          <w:rFonts w:eastAsia="MS Mincho"/>
          <w:lang w:eastAsia="da-DK"/>
        </w:rPr>
        <w:t>Tourette syndrome (TS) and chronic tic disorder (CTD) are chronic neurodevelopmental disorders with onset in childhood. The disorders are characterized by the presence of motor and/or phonic tics, and is often accompanied by comorbidities, where obsessive compulsive disorder (OCD) and attention deficit hyperactivity disorder (ADHD) are the most predominant. The aim of this study was to investigate if a correlation between comorbidities and variability of tics exists in children with CTD or TS. Furthermore, the correlation between comorbidities and severity of tics was examined.</w:t>
      </w:r>
    </w:p>
    <w:p w14:paraId="131C116A" w14:textId="77777777" w:rsidR="00D52512" w:rsidRDefault="00D52512" w:rsidP="00A96733">
      <w:pPr>
        <w:rPr>
          <w:rFonts w:eastAsia="MS Mincho"/>
          <w:lang w:eastAsia="da-DK"/>
        </w:rPr>
      </w:pPr>
    </w:p>
    <w:p w14:paraId="4EC169A0" w14:textId="4EB86589" w:rsidR="00A96733" w:rsidRPr="00BE59FE" w:rsidRDefault="00A96733" w:rsidP="00A96733">
      <w:pPr>
        <w:rPr>
          <w:b/>
          <w:sz w:val="23"/>
          <w:szCs w:val="23"/>
        </w:rPr>
      </w:pPr>
      <w:r w:rsidRPr="00BE59FE">
        <w:rPr>
          <w:b/>
          <w:sz w:val="23"/>
          <w:szCs w:val="23"/>
        </w:rPr>
        <w:t>Methods:</w:t>
      </w:r>
    </w:p>
    <w:p w14:paraId="47EBB9CA" w14:textId="77777777" w:rsidR="00D52512" w:rsidRDefault="00D52512" w:rsidP="00A96733">
      <w:pPr>
        <w:rPr>
          <w:rFonts w:eastAsia="MS Mincho"/>
          <w:lang w:eastAsia="da-DK"/>
        </w:rPr>
      </w:pPr>
      <w:r w:rsidRPr="00D52512">
        <w:rPr>
          <w:rFonts w:eastAsia="MS Mincho"/>
          <w:lang w:eastAsia="da-DK"/>
        </w:rPr>
        <w:t xml:space="preserve">A cross-sectional study was completed on a clinical cohort recruited from the Danish National Tourette Clinic. The cohort consisted of 167 children and adolescents who were examined Yale Global Tic Severity Scale (YGTSS), and data regarding comorbidity was collected on 152 of these patients. The patients were diagnosed with TS, CTD, OCD and/or ADHD using validated diagnostic instruments, and furthermore, divided into four comorbidity subgroups: CTD-only, CTD+ADHD, CTD+OCD and CTD+ADHD+OCD. </w:t>
      </w:r>
    </w:p>
    <w:p w14:paraId="693C06C5" w14:textId="77777777" w:rsidR="00D52512" w:rsidRDefault="00D52512" w:rsidP="00A96733">
      <w:pPr>
        <w:rPr>
          <w:rFonts w:eastAsia="MS Mincho"/>
          <w:lang w:eastAsia="da-DK"/>
        </w:rPr>
      </w:pPr>
    </w:p>
    <w:p w14:paraId="67DFFAE8" w14:textId="3943630F" w:rsidR="00A96733" w:rsidRPr="00D52512" w:rsidRDefault="00A96733" w:rsidP="00D52512">
      <w:pPr>
        <w:rPr>
          <w:b/>
        </w:rPr>
      </w:pPr>
      <w:r w:rsidRPr="00D52512">
        <w:rPr>
          <w:b/>
        </w:rPr>
        <w:t>Results and Conclusions:</w:t>
      </w:r>
    </w:p>
    <w:p w14:paraId="00DCBD4B" w14:textId="309B40CB" w:rsidR="00A96733" w:rsidRPr="00D52512" w:rsidRDefault="00D52512" w:rsidP="00D52512">
      <w:pPr>
        <w:rPr>
          <w:rFonts w:eastAsia="MS Mincho"/>
          <w:lang w:eastAsia="da-DK"/>
        </w:rPr>
      </w:pPr>
      <w:r w:rsidRPr="00D52512">
        <w:rPr>
          <w:rFonts w:eastAsia="MS Mincho"/>
          <w:lang w:eastAsia="da-DK"/>
        </w:rPr>
        <w:t>Presence of the examined comorbidities was statistically significantly associated with higher severity, impairment and total</w:t>
      </w:r>
      <w:r w:rsidR="00844D57">
        <w:rPr>
          <w:rFonts w:eastAsia="MS Mincho"/>
          <w:lang w:eastAsia="da-DK"/>
        </w:rPr>
        <w:t xml:space="preserve"> </w:t>
      </w:r>
      <w:r w:rsidRPr="00D52512">
        <w:rPr>
          <w:rFonts w:eastAsia="MS Mincho"/>
          <w:lang w:eastAsia="da-DK"/>
        </w:rPr>
        <w:t>tic scores compared to patients with absence of comorbidities (</w:t>
      </w:r>
      <w:r w:rsidR="00844D57">
        <w:rPr>
          <w:rFonts w:eastAsia="MS Mincho"/>
          <w:lang w:eastAsia="da-DK"/>
        </w:rPr>
        <w:t>p</w:t>
      </w:r>
      <w:r w:rsidRPr="00D52512">
        <w:rPr>
          <w:rFonts w:eastAsia="MS Mincho"/>
          <w:lang w:eastAsia="da-DK"/>
        </w:rPr>
        <w:t xml:space="preserve"> value = &lt;0.001, 0.001, 0.003, respectively). The assessment of the association between variability of tics and comorbidities showed statistically significantly higher simple phonic tic scores in the CTD+OCD group compared to the CTD-only group (</w:t>
      </w:r>
      <w:r w:rsidR="00844D57">
        <w:rPr>
          <w:rFonts w:eastAsia="MS Mincho"/>
          <w:lang w:eastAsia="da-DK"/>
        </w:rPr>
        <w:t>p</w:t>
      </w:r>
      <w:r w:rsidRPr="00D52512">
        <w:rPr>
          <w:rFonts w:eastAsia="MS Mincho"/>
          <w:lang w:eastAsia="da-DK"/>
        </w:rPr>
        <w:t xml:space="preserve"> value = 0.003).</w:t>
      </w:r>
    </w:p>
    <w:p w14:paraId="6D49B63D" w14:textId="77777777" w:rsidR="00D52512" w:rsidRPr="00D52512" w:rsidRDefault="00D52512" w:rsidP="00D52512">
      <w:pPr>
        <w:rPr>
          <w:lang w:val="en-GB"/>
        </w:rPr>
      </w:pPr>
      <w:r w:rsidRPr="00D52512">
        <w:rPr>
          <w:lang w:val="en-GB"/>
        </w:rPr>
        <w:t xml:space="preserve">To the best of our knowledge, this is the first study to show statistically significantly higher simple phonic tic scores in the CTD+OCD group compared to patients with absence of comorbidities. This finding suggest that professionals should be aware of the variability of tics in TS and CTD patients with comorbidities. Yet, there is a need for further studies to support this finding. </w:t>
      </w:r>
    </w:p>
    <w:p w14:paraId="3FE122E5" w14:textId="6DAB86BF" w:rsidR="00D52512" w:rsidRPr="00D52512" w:rsidRDefault="00D52512" w:rsidP="00D52512">
      <w:pPr>
        <w:rPr>
          <w:lang w:val="en-GB"/>
        </w:rPr>
      </w:pPr>
      <w:r w:rsidRPr="00D52512">
        <w:rPr>
          <w:lang w:val="en-GB"/>
        </w:rPr>
        <w:t xml:space="preserve">Furthermore, </w:t>
      </w:r>
      <w:r w:rsidR="00844D57">
        <w:rPr>
          <w:lang w:val="en-GB"/>
        </w:rPr>
        <w:t>tic</w:t>
      </w:r>
      <w:r w:rsidRPr="00D52512">
        <w:rPr>
          <w:lang w:val="en-GB"/>
        </w:rPr>
        <w:t xml:space="preserve"> scores, severity of tics and impairment</w:t>
      </w:r>
      <w:r w:rsidR="00844D57">
        <w:rPr>
          <w:lang w:val="en-GB"/>
        </w:rPr>
        <w:t xml:space="preserve"> were found</w:t>
      </w:r>
      <w:r w:rsidRPr="00D52512">
        <w:rPr>
          <w:lang w:val="en-GB"/>
        </w:rPr>
        <w:t xml:space="preserve"> to be significantly different among the four comorbidity subgroups, with higher scores associated with comorbidities compared to the CTD-only group, which support findings from previous studies.  </w:t>
      </w:r>
    </w:p>
    <w:p w14:paraId="22172741" w14:textId="77777777" w:rsidR="00D52512" w:rsidRPr="00D52512" w:rsidRDefault="00D52512" w:rsidP="00A96733">
      <w:pPr>
        <w:spacing w:line="360" w:lineRule="auto"/>
        <w:jc w:val="center"/>
        <w:rPr>
          <w:rFonts w:eastAsia="Times New Roman"/>
          <w:lang w:val="en-GB" w:eastAsia="da-DK"/>
        </w:rPr>
      </w:pPr>
    </w:p>
    <w:p w14:paraId="2F56A902" w14:textId="43AC822E" w:rsidR="00A96733" w:rsidRDefault="00A96733" w:rsidP="00A96733">
      <w:pPr>
        <w:rPr>
          <w:rFonts w:eastAsia="Times New Roman"/>
          <w:b/>
          <w:color w:val="FF0000"/>
          <w:lang w:eastAsia="da-DK"/>
        </w:rPr>
      </w:pPr>
    </w:p>
    <w:p w14:paraId="4C0AF4F4" w14:textId="5B64111A" w:rsidR="006C39FE" w:rsidRDefault="006C39FE" w:rsidP="00A96733">
      <w:pPr>
        <w:rPr>
          <w:rFonts w:eastAsia="Times New Roman"/>
          <w:b/>
          <w:color w:val="FF0000"/>
          <w:lang w:eastAsia="da-DK"/>
        </w:rPr>
      </w:pPr>
    </w:p>
    <w:p w14:paraId="28F0F1D5" w14:textId="3E7A349F" w:rsidR="006C39FE" w:rsidRDefault="006C39FE" w:rsidP="00A96733">
      <w:pPr>
        <w:rPr>
          <w:rFonts w:eastAsia="Times New Roman"/>
          <w:b/>
          <w:color w:val="FF0000"/>
          <w:lang w:eastAsia="da-DK"/>
        </w:rPr>
      </w:pPr>
    </w:p>
    <w:p w14:paraId="3FCE14CC" w14:textId="6000BF75" w:rsidR="006C39FE" w:rsidRDefault="006C39FE" w:rsidP="00A96733">
      <w:pPr>
        <w:rPr>
          <w:rFonts w:eastAsia="Times New Roman"/>
          <w:b/>
          <w:color w:val="FF0000"/>
          <w:lang w:eastAsia="da-DK"/>
        </w:rPr>
      </w:pPr>
    </w:p>
    <w:sectPr w:rsidR="006C39FE"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2A1F5" w14:textId="77777777" w:rsidR="007B5FD5" w:rsidRDefault="007B5FD5">
      <w:r>
        <w:separator/>
      </w:r>
    </w:p>
  </w:endnote>
  <w:endnote w:type="continuationSeparator" w:id="0">
    <w:p w14:paraId="0F729D64" w14:textId="77777777" w:rsidR="007B5FD5" w:rsidRDefault="007B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Sidefod"/>
          <w:jc w:val="center"/>
        </w:pPr>
      </w:p>
      <w:p w14:paraId="18BFC470" w14:textId="696EDC7B" w:rsidR="00777248" w:rsidRDefault="00777248">
        <w:pPr>
          <w:pStyle w:val="Sidefod"/>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CE668" w14:textId="77777777" w:rsidR="007B5FD5" w:rsidRDefault="007B5FD5">
      <w:r>
        <w:separator/>
      </w:r>
    </w:p>
  </w:footnote>
  <w:footnote w:type="continuationSeparator" w:id="0">
    <w:p w14:paraId="4C04BAEC" w14:textId="77777777" w:rsidR="007B5FD5" w:rsidRDefault="007B5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Sidehoved"/>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Sidehoved"/>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5"/>
  </w:num>
  <w:num w:numId="2">
    <w:abstractNumId w:val="28"/>
  </w:num>
  <w:num w:numId="3">
    <w:abstractNumId w:val="41"/>
  </w:num>
  <w:num w:numId="4">
    <w:abstractNumId w:val="22"/>
  </w:num>
  <w:num w:numId="5">
    <w:abstractNumId w:val="16"/>
  </w:num>
  <w:num w:numId="6">
    <w:abstractNumId w:val="38"/>
  </w:num>
  <w:num w:numId="7">
    <w:abstractNumId w:val="28"/>
    <w:lvlOverride w:ilvl="0">
      <w:startOverride w:val="2"/>
    </w:lvlOverride>
  </w:num>
  <w:num w:numId="8">
    <w:abstractNumId w:val="28"/>
    <w:lvlOverride w:ilvl="0">
      <w:startOverride w:val="3"/>
    </w:lvlOverride>
  </w:num>
  <w:num w:numId="9">
    <w:abstractNumId w:val="4"/>
  </w:num>
  <w:num w:numId="10">
    <w:abstractNumId w:val="32"/>
  </w:num>
  <w:num w:numId="11">
    <w:abstractNumId w:val="14"/>
  </w:num>
  <w:num w:numId="12">
    <w:abstractNumId w:val="42"/>
  </w:num>
  <w:num w:numId="13">
    <w:abstractNumId w:val="25"/>
  </w:num>
  <w:num w:numId="14">
    <w:abstractNumId w:val="24"/>
  </w:num>
  <w:num w:numId="15">
    <w:abstractNumId w:val="1"/>
  </w:num>
  <w:num w:numId="16">
    <w:abstractNumId w:val="39"/>
  </w:num>
  <w:num w:numId="17">
    <w:abstractNumId w:val="34"/>
  </w:num>
  <w:num w:numId="18">
    <w:abstractNumId w:val="2"/>
  </w:num>
  <w:num w:numId="19">
    <w:abstractNumId w:val="7"/>
  </w:num>
  <w:num w:numId="20">
    <w:abstractNumId w:val="37"/>
  </w:num>
  <w:num w:numId="21">
    <w:abstractNumId w:val="9"/>
  </w:num>
  <w:num w:numId="22">
    <w:abstractNumId w:val="19"/>
  </w:num>
  <w:num w:numId="23">
    <w:abstractNumId w:val="3"/>
  </w:num>
  <w:num w:numId="24">
    <w:abstractNumId w:val="23"/>
  </w:num>
  <w:num w:numId="25">
    <w:abstractNumId w:val="20"/>
  </w:num>
  <w:num w:numId="26">
    <w:abstractNumId w:val="43"/>
  </w:num>
  <w:num w:numId="27">
    <w:abstractNumId w:val="44"/>
  </w:num>
  <w:num w:numId="28">
    <w:abstractNumId w:val="26"/>
  </w:num>
  <w:num w:numId="29">
    <w:abstractNumId w:val="0"/>
  </w:num>
  <w:num w:numId="30">
    <w:abstractNumId w:val="17"/>
  </w:num>
  <w:num w:numId="31">
    <w:abstractNumId w:val="8"/>
  </w:num>
  <w:num w:numId="32">
    <w:abstractNumId w:val="11"/>
  </w:num>
  <w:num w:numId="33">
    <w:abstractNumId w:val="36"/>
  </w:num>
  <w:num w:numId="34">
    <w:abstractNumId w:val="30"/>
  </w:num>
  <w:num w:numId="35">
    <w:abstractNumId w:val="29"/>
  </w:num>
  <w:num w:numId="36">
    <w:abstractNumId w:val="40"/>
  </w:num>
  <w:num w:numId="37">
    <w:abstractNumId w:val="5"/>
  </w:num>
  <w:num w:numId="38">
    <w:abstractNumId w:val="13"/>
  </w:num>
  <w:num w:numId="39">
    <w:abstractNumId w:val="15"/>
  </w:num>
  <w:num w:numId="40">
    <w:abstractNumId w:val="21"/>
  </w:num>
  <w:num w:numId="41">
    <w:abstractNumId w:val="18"/>
  </w:num>
  <w:num w:numId="42">
    <w:abstractNumId w:val="35"/>
  </w:num>
  <w:num w:numId="43">
    <w:abstractNumId w:val="6"/>
  </w:num>
  <w:num w:numId="44">
    <w:abstractNumId w:val="33"/>
  </w:num>
  <w:num w:numId="45">
    <w:abstractNumId w:val="31"/>
  </w:num>
  <w:num w:numId="46">
    <w:abstractNumId w:val="27"/>
  </w:num>
  <w:num w:numId="47">
    <w:abstractNumId w:val="12"/>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106B2"/>
    <w:rsid w:val="00012448"/>
    <w:rsid w:val="0001375B"/>
    <w:rsid w:val="00040DE3"/>
    <w:rsid w:val="000513ED"/>
    <w:rsid w:val="00064580"/>
    <w:rsid w:val="00064B13"/>
    <w:rsid w:val="0006570D"/>
    <w:rsid w:val="00084576"/>
    <w:rsid w:val="00084801"/>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C25EC"/>
    <w:rsid w:val="002D35D9"/>
    <w:rsid w:val="002E1EC0"/>
    <w:rsid w:val="002E400A"/>
    <w:rsid w:val="002E65DC"/>
    <w:rsid w:val="002F17AF"/>
    <w:rsid w:val="00317762"/>
    <w:rsid w:val="00317C15"/>
    <w:rsid w:val="00321E26"/>
    <w:rsid w:val="00322E71"/>
    <w:rsid w:val="00332821"/>
    <w:rsid w:val="00333BE2"/>
    <w:rsid w:val="00333CEA"/>
    <w:rsid w:val="003458F7"/>
    <w:rsid w:val="00346E78"/>
    <w:rsid w:val="00357DE0"/>
    <w:rsid w:val="00373A8A"/>
    <w:rsid w:val="00373E38"/>
    <w:rsid w:val="003846A4"/>
    <w:rsid w:val="003F5BDB"/>
    <w:rsid w:val="003F6BD3"/>
    <w:rsid w:val="004031FD"/>
    <w:rsid w:val="00440E12"/>
    <w:rsid w:val="00446966"/>
    <w:rsid w:val="004A2B4B"/>
    <w:rsid w:val="004D3915"/>
    <w:rsid w:val="004E4DA9"/>
    <w:rsid w:val="00540769"/>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44D57"/>
    <w:rsid w:val="00851661"/>
    <w:rsid w:val="00863537"/>
    <w:rsid w:val="008641B5"/>
    <w:rsid w:val="00890048"/>
    <w:rsid w:val="008A4877"/>
    <w:rsid w:val="008A69C9"/>
    <w:rsid w:val="009027EE"/>
    <w:rsid w:val="00914391"/>
    <w:rsid w:val="00933C20"/>
    <w:rsid w:val="00937E61"/>
    <w:rsid w:val="0096171B"/>
    <w:rsid w:val="00975667"/>
    <w:rsid w:val="00986E29"/>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842E7"/>
    <w:rsid w:val="00BB21C2"/>
    <w:rsid w:val="00BF27F5"/>
    <w:rsid w:val="00C04600"/>
    <w:rsid w:val="00C1559C"/>
    <w:rsid w:val="00C3177D"/>
    <w:rsid w:val="00C67540"/>
    <w:rsid w:val="00C90DE8"/>
    <w:rsid w:val="00C924E1"/>
    <w:rsid w:val="00CB47DF"/>
    <w:rsid w:val="00CC4876"/>
    <w:rsid w:val="00CC7955"/>
    <w:rsid w:val="00CD49AD"/>
    <w:rsid w:val="00CE2FD9"/>
    <w:rsid w:val="00CF428A"/>
    <w:rsid w:val="00D2330C"/>
    <w:rsid w:val="00D42349"/>
    <w:rsid w:val="00D502AF"/>
    <w:rsid w:val="00D52512"/>
    <w:rsid w:val="00D56A96"/>
    <w:rsid w:val="00DA465C"/>
    <w:rsid w:val="00DB31D4"/>
    <w:rsid w:val="00DB517D"/>
    <w:rsid w:val="00DC667B"/>
    <w:rsid w:val="00DD7704"/>
    <w:rsid w:val="00DE5000"/>
    <w:rsid w:val="00DF5871"/>
    <w:rsid w:val="00E03CAF"/>
    <w:rsid w:val="00E071DB"/>
    <w:rsid w:val="00E320DE"/>
    <w:rsid w:val="00E45778"/>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eafsnit">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Kommentarhenvisning">
    <w:name w:val="annotation reference"/>
    <w:basedOn w:val="Standardskrifttypeiafsnit"/>
    <w:uiPriority w:val="99"/>
    <w:semiHidden/>
    <w:unhideWhenUsed/>
    <w:rsid w:val="00FB56AF"/>
    <w:rPr>
      <w:sz w:val="18"/>
      <w:szCs w:val="18"/>
    </w:rPr>
  </w:style>
  <w:style w:type="paragraph" w:styleId="Kommentartekst">
    <w:name w:val="annotation text"/>
    <w:basedOn w:val="Normal"/>
    <w:link w:val="KommentartekstTegn"/>
    <w:uiPriority w:val="99"/>
    <w:unhideWhenUsed/>
    <w:rsid w:val="00FB56AF"/>
  </w:style>
  <w:style w:type="character" w:customStyle="1" w:styleId="KommentartekstTegn">
    <w:name w:val="Kommentartekst Tegn"/>
    <w:basedOn w:val="Standardskrifttypeiafsnit"/>
    <w:link w:val="Kommentartekst"/>
    <w:uiPriority w:val="99"/>
    <w:rsid w:val="00FB56AF"/>
    <w:rPr>
      <w:sz w:val="24"/>
      <w:szCs w:val="24"/>
      <w:lang w:val="en-US" w:eastAsia="en-US"/>
    </w:rPr>
  </w:style>
  <w:style w:type="paragraph" w:styleId="Kommentaremne">
    <w:name w:val="annotation subject"/>
    <w:basedOn w:val="Kommentartekst"/>
    <w:next w:val="Kommentartekst"/>
    <w:link w:val="KommentaremneTegn"/>
    <w:uiPriority w:val="99"/>
    <w:semiHidden/>
    <w:unhideWhenUsed/>
    <w:rsid w:val="00FB56AF"/>
    <w:rPr>
      <w:b/>
      <w:bCs/>
      <w:sz w:val="20"/>
      <w:szCs w:val="20"/>
    </w:rPr>
  </w:style>
  <w:style w:type="character" w:customStyle="1" w:styleId="KommentaremneTegn">
    <w:name w:val="Kommentaremne Tegn"/>
    <w:basedOn w:val="KommentartekstTegn"/>
    <w:link w:val="Kommentaremne"/>
    <w:uiPriority w:val="99"/>
    <w:semiHidden/>
    <w:rsid w:val="00FB56AF"/>
    <w:rPr>
      <w:b/>
      <w:bCs/>
      <w:sz w:val="24"/>
      <w:szCs w:val="24"/>
      <w:lang w:val="en-US" w:eastAsia="en-US"/>
    </w:rPr>
  </w:style>
  <w:style w:type="paragraph" w:styleId="Markeringsbobletekst">
    <w:name w:val="Balloon Text"/>
    <w:basedOn w:val="Normal"/>
    <w:link w:val="MarkeringsbobletekstTegn"/>
    <w:uiPriority w:val="99"/>
    <w:semiHidden/>
    <w:unhideWhenUsed/>
    <w:rsid w:val="00FB56AF"/>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FB56AF"/>
    <w:rPr>
      <w:rFonts w:ascii="Lucida Grande" w:hAnsi="Lucida Grande" w:cs="Lucida Grande"/>
      <w:sz w:val="18"/>
      <w:szCs w:val="18"/>
      <w:lang w:val="en-US" w:eastAsia="en-US"/>
    </w:rPr>
  </w:style>
  <w:style w:type="paragraph" w:styleId="Korrektur">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Sidehoved">
    <w:name w:val="header"/>
    <w:basedOn w:val="Normal"/>
    <w:link w:val="SidehovedTegn"/>
    <w:uiPriority w:val="99"/>
    <w:unhideWhenUsed/>
    <w:rsid w:val="0058262D"/>
    <w:pPr>
      <w:tabs>
        <w:tab w:val="center" w:pos="4513"/>
        <w:tab w:val="right" w:pos="9026"/>
      </w:tabs>
    </w:pPr>
  </w:style>
  <w:style w:type="character" w:customStyle="1" w:styleId="SidehovedTegn">
    <w:name w:val="Sidehoved Tegn"/>
    <w:basedOn w:val="Standardskrifttypeiafsnit"/>
    <w:link w:val="Sidehoved"/>
    <w:uiPriority w:val="99"/>
    <w:rsid w:val="0058262D"/>
    <w:rPr>
      <w:sz w:val="24"/>
      <w:szCs w:val="24"/>
      <w:lang w:val="en-US" w:eastAsia="en-US"/>
    </w:rPr>
  </w:style>
  <w:style w:type="paragraph" w:styleId="Sidefod">
    <w:name w:val="footer"/>
    <w:basedOn w:val="Normal"/>
    <w:link w:val="SidefodTegn"/>
    <w:uiPriority w:val="99"/>
    <w:unhideWhenUsed/>
    <w:rsid w:val="0058262D"/>
    <w:pPr>
      <w:tabs>
        <w:tab w:val="center" w:pos="4513"/>
        <w:tab w:val="right" w:pos="9026"/>
      </w:tabs>
    </w:pPr>
  </w:style>
  <w:style w:type="character" w:customStyle="1" w:styleId="SidefodTegn">
    <w:name w:val="Sidefod Tegn"/>
    <w:basedOn w:val="Standardskrifttypeiafsnit"/>
    <w:link w:val="Sidefod"/>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Ulstomtale">
    <w:name w:val="Unresolved Mention"/>
    <w:basedOn w:val="Standardskrifttypeiafsnit"/>
    <w:uiPriority w:val="99"/>
    <w:semiHidden/>
    <w:unhideWhenUsed/>
    <w:rsid w:val="006C64D5"/>
    <w:rPr>
      <w:color w:val="808080"/>
      <w:shd w:val="clear" w:color="auto" w:fill="E6E6E6"/>
    </w:rPr>
  </w:style>
  <w:style w:type="table" w:styleId="Tabel-Gitter">
    <w:name w:val="Table Grid"/>
    <w:basedOn w:val="Tabel-Normal"/>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el-Normal"/>
    <w:next w:val="Tabel-Gitter"/>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el-Normal"/>
    <w:next w:val="Tabel-Gitter"/>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362</Words>
  <Characters>2209</Characters>
  <Application>Microsoft Office Word</Application>
  <DocSecurity>0</DocSecurity>
  <Lines>18</Lines>
  <Paragraphs>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Kennedy Centret</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Nanette Marinette Monique Debes</cp:lastModifiedBy>
  <cp:revision>3</cp:revision>
  <cp:lastPrinted>2018-06-03T09:54:00Z</cp:lastPrinted>
  <dcterms:created xsi:type="dcterms:W3CDTF">2023-03-26T14:24:00Z</dcterms:created>
  <dcterms:modified xsi:type="dcterms:W3CDTF">2023-04-04T21:23:00Z</dcterms:modified>
</cp:coreProperties>
</file>