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AB1D" w14:textId="708DDC0C" w:rsidR="00A96733" w:rsidRPr="00A96733" w:rsidRDefault="00BC5BDC" w:rsidP="00A96733">
      <w:pPr>
        <w:jc w:val="center"/>
      </w:pPr>
      <w:r>
        <w:rPr>
          <w:rFonts w:eastAsia="Times New Roman"/>
          <w:b/>
          <w:bCs/>
          <w:sz w:val="27"/>
          <w:szCs w:val="27"/>
          <w:lang w:eastAsia="da-DK"/>
        </w:rPr>
        <w:t>“</w:t>
      </w:r>
      <w:r w:rsidRPr="00BC5BDC">
        <w:rPr>
          <w:rFonts w:eastAsia="Times New Roman"/>
          <w:b/>
          <w:bCs/>
          <w:sz w:val="27"/>
          <w:szCs w:val="27"/>
          <w:lang w:eastAsia="da-DK"/>
        </w:rPr>
        <w:t>For the love of God just refer me” - A coproduced qualitative project into the struggles of accessing healthcare services for those living with Tourette Syndrome in the UK</w:t>
      </w:r>
    </w:p>
    <w:p w14:paraId="46FE74D1" w14:textId="029A8CAB" w:rsidR="00A96733" w:rsidRPr="00BC5BDC" w:rsidRDefault="00BC5BDC" w:rsidP="00A96733">
      <w:pPr>
        <w:spacing w:line="360" w:lineRule="auto"/>
        <w:jc w:val="center"/>
        <w:rPr>
          <w:rFonts w:eastAsia="Times New Roman"/>
          <w:lang w:eastAsia="da-DK"/>
        </w:rPr>
      </w:pPr>
      <w:r w:rsidRPr="00BC5BDC">
        <w:rPr>
          <w:rFonts w:eastAsia="Times New Roman"/>
          <w:u w:val="single"/>
          <w:lang w:eastAsia="da-DK"/>
        </w:rPr>
        <w:t>Camilla Babbage</w:t>
      </w:r>
      <w:r w:rsidR="00A96733" w:rsidRPr="008C69FC">
        <w:rPr>
          <w:rFonts w:eastAsia="Times New Roman"/>
          <w:vertAlign w:val="superscript"/>
          <w:lang w:eastAsia="da-DK"/>
        </w:rPr>
        <w:t>1</w:t>
      </w:r>
      <w:r w:rsidR="00A96733" w:rsidRPr="008C69FC">
        <w:rPr>
          <w:rFonts w:eastAsia="Times New Roman"/>
          <w:lang w:eastAsia="da-DK"/>
        </w:rPr>
        <w:t xml:space="preserve"> and </w:t>
      </w:r>
      <w:r w:rsidRPr="00400855">
        <w:t>Bethan Davies</w:t>
      </w:r>
      <w:r w:rsidRPr="008C69FC">
        <w:rPr>
          <w:rFonts w:eastAsia="Times New Roman"/>
          <w:vertAlign w:val="superscript"/>
          <w:lang w:eastAsia="da-DK"/>
        </w:rPr>
        <w:t>1</w:t>
      </w:r>
      <w:r>
        <w:rPr>
          <w:rFonts w:eastAsia="Times New Roman"/>
          <w:lang w:eastAsia="da-DK"/>
        </w:rPr>
        <w:t xml:space="preserve">, </w:t>
      </w:r>
      <w:r w:rsidRPr="00BC5BDC">
        <w:rPr>
          <w:rFonts w:eastAsia="Times New Roman"/>
          <w:lang w:eastAsia="da-DK"/>
        </w:rPr>
        <w:t>Jennifer Salvage</w:t>
      </w:r>
      <w:r w:rsidRPr="008C69FC">
        <w:rPr>
          <w:rFonts w:eastAsia="Times New Roman"/>
          <w:vertAlign w:val="superscript"/>
          <w:lang w:eastAsia="da-DK"/>
        </w:rPr>
        <w:t>1</w:t>
      </w:r>
      <w:r w:rsidRPr="00BC5BDC">
        <w:rPr>
          <w:rFonts w:eastAsia="Times New Roman"/>
          <w:lang w:eastAsia="da-DK"/>
        </w:rPr>
        <w:t xml:space="preserve"> Emma McNally</w:t>
      </w:r>
      <w:r>
        <w:rPr>
          <w:rFonts w:eastAsia="Times New Roman"/>
          <w:vertAlign w:val="superscript"/>
          <w:lang w:eastAsia="da-DK"/>
        </w:rPr>
        <w:t>2</w:t>
      </w:r>
      <w:r w:rsidRPr="00BC5BDC">
        <w:rPr>
          <w:rFonts w:eastAsia="Times New Roman"/>
          <w:lang w:eastAsia="da-DK"/>
        </w:rPr>
        <w:t>, Paul Stevenson</w:t>
      </w:r>
      <w:r>
        <w:rPr>
          <w:rFonts w:eastAsia="Times New Roman"/>
          <w:vertAlign w:val="superscript"/>
          <w:lang w:eastAsia="da-DK"/>
        </w:rPr>
        <w:t>3</w:t>
      </w:r>
      <w:r w:rsidRPr="00BC5BDC">
        <w:rPr>
          <w:rFonts w:eastAsia="Times New Roman"/>
          <w:lang w:eastAsia="da-DK"/>
        </w:rPr>
        <w:t>, Seonaid Anderson</w:t>
      </w:r>
      <w:r>
        <w:rPr>
          <w:rFonts w:eastAsia="Times New Roman"/>
          <w:vertAlign w:val="superscript"/>
          <w:lang w:eastAsia="da-DK"/>
        </w:rPr>
        <w:t>4</w:t>
      </w:r>
      <w:r>
        <w:rPr>
          <w:rFonts w:eastAsia="Times New Roman"/>
          <w:lang w:eastAsia="da-DK"/>
        </w:rPr>
        <w:t xml:space="preserve">, </w:t>
      </w:r>
      <w:r w:rsidRPr="00BC5BDC">
        <w:rPr>
          <w:rFonts w:eastAsia="Times New Roman"/>
          <w:lang w:eastAsia="da-DK"/>
        </w:rPr>
        <w:t>Marie Ralph, Daniel Jones</w:t>
      </w:r>
      <w:r>
        <w:rPr>
          <w:rFonts w:eastAsia="Times New Roman"/>
          <w:vertAlign w:val="superscript"/>
          <w:lang w:eastAsia="da-DK"/>
        </w:rPr>
        <w:t>5, 6</w:t>
      </w:r>
      <w:r>
        <w:rPr>
          <w:rFonts w:eastAsia="Times New Roman"/>
          <w:lang w:eastAsia="da-DK"/>
        </w:rPr>
        <w:t xml:space="preserve">, </w:t>
      </w:r>
      <w:r w:rsidRPr="00BC5BDC">
        <w:rPr>
          <w:rFonts w:eastAsia="Times New Roman"/>
          <w:lang w:eastAsia="da-DK"/>
        </w:rPr>
        <w:t>Maddie Groom</w:t>
      </w:r>
      <w:r w:rsidRPr="008C69FC">
        <w:rPr>
          <w:rFonts w:eastAsia="Times New Roman"/>
          <w:vertAlign w:val="superscript"/>
          <w:lang w:eastAsia="da-DK"/>
        </w:rPr>
        <w:t>1</w:t>
      </w:r>
      <w:r w:rsidRPr="00BC5BDC">
        <w:rPr>
          <w:rFonts w:eastAsia="Times New Roman"/>
          <w:lang w:eastAsia="da-DK"/>
        </w:rPr>
        <w:t xml:space="preserve"> </w:t>
      </w:r>
    </w:p>
    <w:p w14:paraId="2AD44461" w14:textId="6F45B376" w:rsidR="00A96733" w:rsidRDefault="00A96733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 w:rsidRPr="008C69FC">
        <w:rPr>
          <w:rFonts w:eastAsia="Times New Roman"/>
          <w:vertAlign w:val="superscript"/>
          <w:lang w:eastAsia="da-DK"/>
        </w:rPr>
        <w:t>1</w:t>
      </w:r>
      <w:r w:rsidR="00BC5BDC" w:rsidRPr="00BC5BDC">
        <w:rPr>
          <w:rFonts w:eastAsia="Times New Roman"/>
          <w:lang w:eastAsia="da-DK"/>
        </w:rPr>
        <w:t>University of Nottingham</w:t>
      </w:r>
      <w:r w:rsidR="00BC5BDC">
        <w:rPr>
          <w:rFonts w:eastAsia="Times New Roman"/>
          <w:lang w:eastAsia="da-DK"/>
        </w:rPr>
        <w:t>, UK</w:t>
      </w:r>
      <w:r w:rsidRPr="008C69FC">
        <w:rPr>
          <w:rFonts w:eastAsia="Times New Roman"/>
          <w:lang w:eastAsia="da-DK"/>
        </w:rPr>
        <w:br/>
      </w:r>
      <w:r w:rsidRPr="008C69FC">
        <w:rPr>
          <w:rFonts w:eastAsia="Times New Roman"/>
          <w:vertAlign w:val="superscript"/>
          <w:lang w:eastAsia="da-DK"/>
        </w:rPr>
        <w:t>2</w:t>
      </w:r>
      <w:r w:rsidR="00BC5BDC" w:rsidRPr="00BC5BDC">
        <w:rPr>
          <w:rFonts w:eastAsia="Times New Roman"/>
          <w:lang w:eastAsia="da-DK"/>
        </w:rPr>
        <w:t>Tourettes Action</w:t>
      </w:r>
      <w:r w:rsidR="00BC5BDC">
        <w:rPr>
          <w:rFonts w:eastAsia="Times New Roman"/>
          <w:lang w:eastAsia="da-DK"/>
        </w:rPr>
        <w:t>, UK</w:t>
      </w:r>
    </w:p>
    <w:p w14:paraId="24826D07" w14:textId="60029A7F" w:rsidR="00BC5BDC" w:rsidRDefault="00BC5BDC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3</w:t>
      </w:r>
      <w:r w:rsidRPr="00BC5BDC">
        <w:rPr>
          <w:rFonts w:eastAsia="Times New Roman"/>
          <w:lang w:eastAsia="da-DK"/>
        </w:rPr>
        <w:t>Genius Within</w:t>
      </w:r>
      <w:r>
        <w:rPr>
          <w:rFonts w:eastAsia="Times New Roman"/>
          <w:lang w:eastAsia="da-DK"/>
        </w:rPr>
        <w:t>, UK</w:t>
      </w:r>
    </w:p>
    <w:p w14:paraId="35612CD3" w14:textId="30197C17" w:rsidR="00BC5BDC" w:rsidRDefault="00BC5BDC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4</w:t>
      </w:r>
      <w:r w:rsidRPr="00BC5BDC">
        <w:rPr>
          <w:rFonts w:eastAsia="Times New Roman"/>
          <w:lang w:eastAsia="da-DK"/>
        </w:rPr>
        <w:t>Neurodiverse-org</w:t>
      </w:r>
    </w:p>
    <w:p w14:paraId="5CBA53EC" w14:textId="71E4BC17" w:rsidR="00BC5BDC" w:rsidRDefault="00BC5BDC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5</w:t>
      </w:r>
      <w:r w:rsidRPr="00BC5BDC">
        <w:rPr>
          <w:rFonts w:eastAsia="Times New Roman"/>
          <w:lang w:eastAsia="da-DK"/>
        </w:rPr>
        <w:t>T</w:t>
      </w:r>
      <w:r>
        <w:rPr>
          <w:rFonts w:eastAsia="Times New Roman"/>
          <w:lang w:eastAsia="da-DK"/>
        </w:rPr>
        <w:t>ourette Syndrome Inclusion in the Community, UK</w:t>
      </w:r>
    </w:p>
    <w:p w14:paraId="6F10A707" w14:textId="17642432" w:rsidR="00BC5BDC" w:rsidRPr="00BC5BDC" w:rsidRDefault="00BC5BDC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  <w:r>
        <w:rPr>
          <w:rFonts w:eastAsia="Times New Roman"/>
          <w:vertAlign w:val="superscript"/>
          <w:lang w:eastAsia="da-DK"/>
        </w:rPr>
        <w:t>6</w:t>
      </w:r>
      <w:r>
        <w:rPr>
          <w:rFonts w:eastAsia="Times New Roman"/>
          <w:lang w:eastAsia="da-DK"/>
        </w:rPr>
        <w:t>Newcastle University, UK</w:t>
      </w:r>
    </w:p>
    <w:p w14:paraId="1A38E250" w14:textId="77777777" w:rsidR="00BC5BDC" w:rsidRPr="00BC5BDC" w:rsidRDefault="00BC5BDC" w:rsidP="00A96733">
      <w:pPr>
        <w:pBdr>
          <w:bottom w:val="single" w:sz="12" w:space="1" w:color="auto"/>
        </w:pBdr>
        <w:spacing w:line="360" w:lineRule="auto"/>
        <w:jc w:val="center"/>
        <w:rPr>
          <w:rFonts w:eastAsia="Times New Roman"/>
          <w:lang w:eastAsia="da-DK"/>
        </w:rPr>
      </w:pPr>
    </w:p>
    <w:p w14:paraId="2C4FF789" w14:textId="77777777" w:rsidR="00A96733" w:rsidRPr="008C69FC" w:rsidRDefault="00A96733" w:rsidP="00AF0648">
      <w:pPr>
        <w:rPr>
          <w:rFonts w:eastAsia="MS Mincho"/>
          <w:lang w:eastAsia="da-DK"/>
        </w:rPr>
      </w:pPr>
    </w:p>
    <w:p w14:paraId="12D80263" w14:textId="7A1866FE" w:rsidR="00A96733" w:rsidRDefault="00A96733" w:rsidP="00AF0648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14:paraId="16B32FC7" w14:textId="69C4EC32" w:rsidR="00AF0648" w:rsidRDefault="00AF0648" w:rsidP="00AF0648">
      <w:r>
        <w:t xml:space="preserve">Living with </w:t>
      </w:r>
      <w:r w:rsidR="003E79A9">
        <w:t xml:space="preserve">Tourette Syndrome (TS) </w:t>
      </w:r>
      <w:r w:rsidRPr="00F92BCA">
        <w:t>is associated with increased risk of depression, anxiety, suicide</w:t>
      </w:r>
      <w:r>
        <w:t xml:space="preserve"> and </w:t>
      </w:r>
      <w:r w:rsidRPr="00F92BCA">
        <w:t>social stigm</w:t>
      </w:r>
      <w:r>
        <w:t xml:space="preserve">a and poorer </w:t>
      </w:r>
      <w:r w:rsidRPr="00F92BCA">
        <w:t>quality of life</w:t>
      </w:r>
      <w:r>
        <w:t xml:space="preserve">, </w:t>
      </w:r>
      <w:r w:rsidR="003E79A9">
        <w:t xml:space="preserve">reduced </w:t>
      </w:r>
      <w:r>
        <w:t>educational</w:t>
      </w:r>
      <w:r w:rsidR="00BC5BDC">
        <w:t xml:space="preserve"> and </w:t>
      </w:r>
      <w:r w:rsidRPr="00F92BCA">
        <w:t>occupational</w:t>
      </w:r>
      <w:r w:rsidR="003E79A9">
        <w:t xml:space="preserve"> attainment, </w:t>
      </w:r>
      <w:r>
        <w:t>and</w:t>
      </w:r>
      <w:r w:rsidR="003E79A9">
        <w:t xml:space="preserve"> worse</w:t>
      </w:r>
      <w:r>
        <w:t xml:space="preserve"> social</w:t>
      </w:r>
      <w:r w:rsidRPr="00F92BCA">
        <w:t xml:space="preserve"> outcomes</w:t>
      </w:r>
      <w:r>
        <w:t xml:space="preserve"> across adult and child populations</w:t>
      </w:r>
      <w:r w:rsidR="003E79A9">
        <w:t xml:space="preserve">. </w:t>
      </w:r>
      <w:r>
        <w:t xml:space="preserve">While evidence-based treatments do exist for TS including </w:t>
      </w:r>
      <w:r w:rsidRPr="00C204AF">
        <w:t xml:space="preserve">pharmacological medications and </w:t>
      </w:r>
      <w:proofErr w:type="spellStart"/>
      <w:r w:rsidRPr="00C204AF">
        <w:t>behavioural</w:t>
      </w:r>
      <w:proofErr w:type="spellEnd"/>
      <w:r w:rsidRPr="00C204AF">
        <w:t xml:space="preserve"> therapies</w:t>
      </w:r>
      <w:r>
        <w:t>, there are currently no medical guidelines for TS</w:t>
      </w:r>
      <w:r w:rsidR="00BC5BDC">
        <w:t xml:space="preserve"> in the United Kingdom</w:t>
      </w:r>
      <w:r>
        <w:t xml:space="preserve">. Further, throughout the country many people can’t access care services. Further barriers to accessing care include stigma, a lack of trained professionals and information for patients and family members. </w:t>
      </w:r>
      <w:r>
        <w:t xml:space="preserve">We aimed to </w:t>
      </w:r>
      <w:r w:rsidRPr="003708FB">
        <w:t>explore the lived experience of accessing healthcare</w:t>
      </w:r>
      <w:r>
        <w:t xml:space="preserve"> for</w:t>
      </w:r>
      <w:r w:rsidRPr="003708FB">
        <w:t xml:space="preserve"> children and young people</w:t>
      </w:r>
      <w:r w:rsidR="00630745">
        <w:t xml:space="preserve"> living with tics in the UK</w:t>
      </w:r>
      <w:r>
        <w:t xml:space="preserve">, </w:t>
      </w:r>
      <w:r w:rsidRPr="003708FB">
        <w:t>to inform scientific and public understanding</w:t>
      </w:r>
      <w:r w:rsidR="00630745">
        <w:t>.</w:t>
      </w:r>
    </w:p>
    <w:p w14:paraId="2DA7F886" w14:textId="77777777" w:rsidR="00AF0648" w:rsidRDefault="00AF0648" w:rsidP="00AF0648"/>
    <w:p w14:paraId="4EC169A0" w14:textId="1FF5E63A" w:rsidR="00A96733" w:rsidRDefault="00A96733" w:rsidP="00AF0648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14:paraId="5E7E956C" w14:textId="456EEE9E" w:rsidR="00AF0648" w:rsidRDefault="00B21412" w:rsidP="00AF0648">
      <w:r>
        <w:t>Young people and adults with tics, and parents of people with tics,</w:t>
      </w:r>
      <w:r w:rsidR="00AF0648" w:rsidRPr="003708FB">
        <w:t xml:space="preserve"> were recruited via social media</w:t>
      </w:r>
      <w:r w:rsidR="00AF0648">
        <w:t xml:space="preserve"> support groups, our project partners and through research registers to take part in online focus groups. Participants were also given a further opportunity to share their audio with </w:t>
      </w:r>
      <w:r w:rsidR="00630745">
        <w:t xml:space="preserve">Woven Ink, </w:t>
      </w:r>
      <w:r w:rsidR="00AF0648">
        <w:t xml:space="preserve">an external </w:t>
      </w:r>
      <w:r>
        <w:t>media</w:t>
      </w:r>
      <w:r w:rsidR="00630745">
        <w:t xml:space="preserve"> company,</w:t>
      </w:r>
      <w:r w:rsidR="00AF0648">
        <w:t xml:space="preserve"> </w:t>
      </w:r>
      <w:r w:rsidR="00630745">
        <w:t>who would co-design an animation video based on the data</w:t>
      </w:r>
      <w:r w:rsidR="00630745">
        <w:t xml:space="preserve"> to increase public understanding</w:t>
      </w:r>
      <w:r w:rsidR="00AF0648">
        <w:t xml:space="preserve">. </w:t>
      </w:r>
      <w:r w:rsidR="00630745">
        <w:t>Online f</w:t>
      </w:r>
      <w:r w:rsidR="00AF0648">
        <w:t xml:space="preserve">ocus groups were held separately with </w:t>
      </w:r>
      <w:r>
        <w:t>different population groups.</w:t>
      </w:r>
      <w:r w:rsidR="00AF0648" w:rsidRPr="003708FB">
        <w:t xml:space="preserve"> </w:t>
      </w:r>
      <w:r w:rsidR="00630745">
        <w:t>Online f</w:t>
      </w:r>
      <w:r w:rsidR="00AF0648">
        <w:t xml:space="preserve">ocus groups were led by a lived experience project partner and facilitated by researchers. The focus group guide focused on three </w:t>
      </w:r>
      <w:proofErr w:type="gramStart"/>
      <w:r w:rsidR="00AF0648">
        <w:t>areas;</w:t>
      </w:r>
      <w:proofErr w:type="gramEnd"/>
      <w:r w:rsidR="00630745">
        <w:t xml:space="preserve"> the</w:t>
      </w:r>
      <w:r w:rsidR="00AF0648">
        <w:t xml:space="preserve"> impact of living with tics, experience accessing healthcare for tics and management of tics. Reflexive thematic analysis was used to </w:t>
      </w:r>
      <w:proofErr w:type="spellStart"/>
      <w:r w:rsidR="00AF0648">
        <w:t>analyse</w:t>
      </w:r>
      <w:proofErr w:type="spellEnd"/>
      <w:r w:rsidR="00AF0648">
        <w:t xml:space="preserve"> the data. In parallel, the team were involved in an iterative process </w:t>
      </w:r>
      <w:r w:rsidR="00630745">
        <w:t>to co-</w:t>
      </w:r>
      <w:r w:rsidR="00AF0648">
        <w:t xml:space="preserve">produce </w:t>
      </w:r>
      <w:r w:rsidR="00630745">
        <w:t>the animation</w:t>
      </w:r>
      <w:r>
        <w:t xml:space="preserve"> with the media company which included the choice of script, artist, music, </w:t>
      </w:r>
      <w:proofErr w:type="gramStart"/>
      <w:r>
        <w:t>font</w:t>
      </w:r>
      <w:proofErr w:type="gramEnd"/>
      <w:r>
        <w:t xml:space="preserve"> and captions.</w:t>
      </w:r>
      <w:r w:rsidR="005C6332" w:rsidRPr="005C6332">
        <w:t xml:space="preserve"> </w:t>
      </w:r>
      <w:r w:rsidR="005C6332" w:rsidRPr="00DA7FC9">
        <w:t xml:space="preserve">This research </w:t>
      </w:r>
      <w:r w:rsidR="005C6332">
        <w:t xml:space="preserve">project has been co-led with our </w:t>
      </w:r>
      <w:r w:rsidR="005C6332" w:rsidRPr="00DA7FC9">
        <w:t xml:space="preserve">project partners who comprise experts in TS, including people and parents with lived experience of tics and leads of charitable/third sector </w:t>
      </w:r>
      <w:proofErr w:type="spellStart"/>
      <w:r w:rsidR="005C6332" w:rsidRPr="00DA7FC9">
        <w:t>organisations</w:t>
      </w:r>
      <w:proofErr w:type="spellEnd"/>
      <w:r w:rsidR="005C6332">
        <w:t>.</w:t>
      </w:r>
    </w:p>
    <w:p w14:paraId="28513B6B" w14:textId="77777777" w:rsidR="00AF0648" w:rsidRDefault="00AF0648" w:rsidP="00AF0648">
      <w:pPr>
        <w:rPr>
          <w:rFonts w:eastAsia="MS Mincho"/>
          <w:lang w:eastAsia="da-DK"/>
        </w:rPr>
      </w:pPr>
    </w:p>
    <w:p w14:paraId="67DFFAE8" w14:textId="736A4A5C" w:rsidR="00A96733" w:rsidRDefault="00A96733" w:rsidP="00AF0648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14:paraId="27F6ED6C" w14:textId="2D8214BB" w:rsidR="00B21412" w:rsidRDefault="00B21412" w:rsidP="00AF0648">
      <w:r>
        <w:t>Seven separate online focus groups were</w:t>
      </w:r>
      <w:r w:rsidR="00AF0648" w:rsidRPr="00ED5468">
        <w:t xml:space="preserve"> held between May and July 2022</w:t>
      </w:r>
      <w:r>
        <w:t xml:space="preserve">, with </w:t>
      </w:r>
      <w:r w:rsidR="00683CDE">
        <w:t>three</w:t>
      </w:r>
      <w:r>
        <w:t xml:space="preserve"> young people, </w:t>
      </w:r>
      <w:r w:rsidR="00683CDE">
        <w:t xml:space="preserve">ten </w:t>
      </w:r>
      <w:r w:rsidR="00AF0648" w:rsidRPr="00ED5468">
        <w:t>parents</w:t>
      </w:r>
      <w:r>
        <w:t xml:space="preserve"> and</w:t>
      </w:r>
      <w:r w:rsidR="00AF0648">
        <w:t xml:space="preserve"> </w:t>
      </w:r>
      <w:r w:rsidR="00683CDE">
        <w:t>ten</w:t>
      </w:r>
      <w:r w:rsidR="00AF0648">
        <w:t xml:space="preserve"> adults. In total, five themes were developed. Two themes related to how the healthcare system and healthcare professionals do not support </w:t>
      </w:r>
      <w:r w:rsidR="00AF0648">
        <w:lastRenderedPageBreak/>
        <w:t>those with TS. Three themes identified the challenges and need for having a</w:t>
      </w:r>
      <w:r>
        <w:t xml:space="preserve"> TS</w:t>
      </w:r>
      <w:r w:rsidR="00AF0648">
        <w:t xml:space="preserve"> diagnosis, experience of treatment options and managing TS at home. The essence of these themes can be </w:t>
      </w:r>
      <w:r>
        <w:t>vie</w:t>
      </w:r>
      <w:r w:rsidR="00184ED5">
        <w:t>w</w:t>
      </w:r>
      <w:r>
        <w:t>ed</w:t>
      </w:r>
      <w:r w:rsidR="00AF0648">
        <w:t xml:space="preserve"> in the animation which reached over 500,000 people during </w:t>
      </w:r>
      <w:r>
        <w:t>the</w:t>
      </w:r>
      <w:r w:rsidR="00AF0648">
        <w:t xml:space="preserve"> launch: </w:t>
      </w:r>
      <w:hyperlink r:id="rId8" w:history="1">
        <w:r w:rsidR="00AF0648" w:rsidRPr="007145BD">
          <w:rPr>
            <w:rStyle w:val="Hyperlink"/>
          </w:rPr>
          <w:t>https://www.institutemh.org.uk/research/candal/about-candal/1670-candal-team-up-with-tourettes-action-to-campaign-for-better-services</w:t>
        </w:r>
      </w:hyperlink>
      <w:r>
        <w:rPr>
          <w:rStyle w:val="Hyperlink"/>
          <w:u w:val="none"/>
        </w:rPr>
        <w:t xml:space="preserve"> and was warmly endorsed by the TS community</w:t>
      </w:r>
      <w:r w:rsidR="00AF0648">
        <w:t xml:space="preserve">. </w:t>
      </w:r>
    </w:p>
    <w:p w14:paraId="44CB0493" w14:textId="77777777" w:rsidR="00B21412" w:rsidRDefault="00B21412" w:rsidP="00AF0648"/>
    <w:p w14:paraId="3C1680C1" w14:textId="774D5C0D" w:rsidR="00763601" w:rsidRDefault="00AF0648" w:rsidP="00F84931">
      <w:r>
        <w:t>This coproduced research project captures the realities of accessing healthcare for those living with TS</w:t>
      </w:r>
      <w:r w:rsidR="00B21412">
        <w:t xml:space="preserve"> in the UK</w:t>
      </w:r>
      <w:r>
        <w:t xml:space="preserve">, highlighting areas of need and intervention in healthcare settings through thematic analysis and further illustrated by a campaign video to raise public awareness. </w:t>
      </w:r>
    </w:p>
    <w:sectPr w:rsidR="00763601" w:rsidSect="00D2330C">
      <w:headerReference w:type="default" r:id="rId9"/>
      <w:footerReference w:type="default" r:id="rId10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A1F5" w14:textId="77777777" w:rsidR="007B5FD5" w:rsidRDefault="007B5FD5">
      <w:r>
        <w:separator/>
      </w:r>
    </w:p>
  </w:endnote>
  <w:endnote w:type="continuationSeparator" w:id="0">
    <w:p w14:paraId="0F729D64" w14:textId="77777777" w:rsidR="007B5FD5" w:rsidRDefault="007B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Footer"/>
          <w:jc w:val="center"/>
        </w:pPr>
      </w:p>
      <w:p w14:paraId="18BFC470" w14:textId="696EDC7B" w:rsidR="00777248" w:rsidRDefault="00777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E668" w14:textId="77777777" w:rsidR="007B5FD5" w:rsidRDefault="007B5FD5">
      <w:r>
        <w:separator/>
      </w:r>
    </w:p>
  </w:footnote>
  <w:footnote w:type="continuationSeparator" w:id="0">
    <w:p w14:paraId="4C04BAEC" w14:textId="77777777" w:rsidR="007B5FD5" w:rsidRDefault="007B5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5"/>
  </w:num>
  <w:num w:numId="2" w16cid:durableId="939293109">
    <w:abstractNumId w:val="28"/>
  </w:num>
  <w:num w:numId="3" w16cid:durableId="2092698652">
    <w:abstractNumId w:val="41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38"/>
  </w:num>
  <w:num w:numId="7" w16cid:durableId="568004825">
    <w:abstractNumId w:val="28"/>
    <w:lvlOverride w:ilvl="0">
      <w:startOverride w:val="2"/>
    </w:lvlOverride>
  </w:num>
  <w:num w:numId="8" w16cid:durableId="1240137770">
    <w:abstractNumId w:val="28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2"/>
  </w:num>
  <w:num w:numId="11" w16cid:durableId="1050805071">
    <w:abstractNumId w:val="14"/>
  </w:num>
  <w:num w:numId="12" w16cid:durableId="1174563521">
    <w:abstractNumId w:val="42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39"/>
  </w:num>
  <w:num w:numId="17" w16cid:durableId="211158348">
    <w:abstractNumId w:val="34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7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3"/>
  </w:num>
  <w:num w:numId="27" w16cid:durableId="1102068126">
    <w:abstractNumId w:val="44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6"/>
  </w:num>
  <w:num w:numId="34" w16cid:durableId="1569076509">
    <w:abstractNumId w:val="30"/>
  </w:num>
  <w:num w:numId="35" w16cid:durableId="35469345">
    <w:abstractNumId w:val="29"/>
  </w:num>
  <w:num w:numId="36" w16cid:durableId="1346663883">
    <w:abstractNumId w:val="40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5"/>
  </w:num>
  <w:num w:numId="43" w16cid:durableId="216400536">
    <w:abstractNumId w:val="6"/>
  </w:num>
  <w:num w:numId="44" w16cid:durableId="120074048">
    <w:abstractNumId w:val="33"/>
  </w:num>
  <w:num w:numId="45" w16cid:durableId="190149101">
    <w:abstractNumId w:val="31"/>
  </w:num>
  <w:num w:numId="46" w16cid:durableId="236330075">
    <w:abstractNumId w:val="27"/>
  </w:num>
  <w:num w:numId="47" w16cid:durableId="68230264">
    <w:abstractNumId w:val="12"/>
  </w:num>
  <w:num w:numId="48" w16cid:durableId="13763942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4ED5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06E8F"/>
    <w:rsid w:val="00212CDC"/>
    <w:rsid w:val="00213C2E"/>
    <w:rsid w:val="00215008"/>
    <w:rsid w:val="00225D30"/>
    <w:rsid w:val="0022792B"/>
    <w:rsid w:val="00256AC9"/>
    <w:rsid w:val="00274E36"/>
    <w:rsid w:val="002C25EC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E79A9"/>
    <w:rsid w:val="003F5BDB"/>
    <w:rsid w:val="003F6BD3"/>
    <w:rsid w:val="004031FD"/>
    <w:rsid w:val="00440E12"/>
    <w:rsid w:val="00446966"/>
    <w:rsid w:val="004A2B4B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6332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30745"/>
    <w:rsid w:val="00632B8C"/>
    <w:rsid w:val="006357B0"/>
    <w:rsid w:val="00642156"/>
    <w:rsid w:val="006477FF"/>
    <w:rsid w:val="006652F5"/>
    <w:rsid w:val="00665EB9"/>
    <w:rsid w:val="00683CDE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51661"/>
    <w:rsid w:val="00863537"/>
    <w:rsid w:val="008641B5"/>
    <w:rsid w:val="00890048"/>
    <w:rsid w:val="008A4877"/>
    <w:rsid w:val="008A69C9"/>
    <w:rsid w:val="009027EE"/>
    <w:rsid w:val="00914391"/>
    <w:rsid w:val="00933C20"/>
    <w:rsid w:val="00937E61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96733"/>
    <w:rsid w:val="00AB7A5C"/>
    <w:rsid w:val="00AD5BDE"/>
    <w:rsid w:val="00AF0648"/>
    <w:rsid w:val="00AF0F53"/>
    <w:rsid w:val="00B02D44"/>
    <w:rsid w:val="00B07846"/>
    <w:rsid w:val="00B21412"/>
    <w:rsid w:val="00B26C2E"/>
    <w:rsid w:val="00B42A75"/>
    <w:rsid w:val="00B4745E"/>
    <w:rsid w:val="00B47910"/>
    <w:rsid w:val="00B47AB4"/>
    <w:rsid w:val="00B66333"/>
    <w:rsid w:val="00B842E7"/>
    <w:rsid w:val="00BB21C2"/>
    <w:rsid w:val="00BC5BDC"/>
    <w:rsid w:val="00BF27F5"/>
    <w:rsid w:val="00C020F0"/>
    <w:rsid w:val="00C04600"/>
    <w:rsid w:val="00C1559C"/>
    <w:rsid w:val="00C3177D"/>
    <w:rsid w:val="00C67540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A465C"/>
    <w:rsid w:val="00DA7FC9"/>
    <w:rsid w:val="00DB31D4"/>
    <w:rsid w:val="00DB517D"/>
    <w:rsid w:val="00DC667B"/>
    <w:rsid w:val="00DD7704"/>
    <w:rsid w:val="00DE5000"/>
    <w:rsid w:val="00DF5871"/>
    <w:rsid w:val="00E03CAF"/>
    <w:rsid w:val="00E071DB"/>
    <w:rsid w:val="00E320DE"/>
    <w:rsid w:val="00E45778"/>
    <w:rsid w:val="00E813B4"/>
    <w:rsid w:val="00E8329C"/>
    <w:rsid w:val="00E87F5D"/>
    <w:rsid w:val="00E93B9B"/>
    <w:rsid w:val="00E9458D"/>
    <w:rsid w:val="00ED1733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customStyle="1" w:styleId="CommentTextChar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Normal"/>
    <w:next w:val="TableGrid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emh.org.uk/research/candal/about-candal/1670-candal-team-up-with-tourettes-action-to-campaign-for-better-services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E12709EE0334F91B4DC0526AB6022" ma:contentTypeVersion="14" ma:contentTypeDescription="Create a new document." ma:contentTypeScope="" ma:versionID="aaea249954750c7dcbd4160ca7823fed">
  <xsd:schema xmlns:xsd="http://www.w3.org/2001/XMLSchema" xmlns:xs="http://www.w3.org/2001/XMLSchema" xmlns:p="http://schemas.microsoft.com/office/2006/metadata/properties" xmlns:ns2="1e5cd453-d94b-4547-bc7f-3be6fc54e523" xmlns:ns3="71d0c5e3-18ac-4fbc-ba6f-9df133e35834" targetNamespace="http://schemas.microsoft.com/office/2006/metadata/properties" ma:root="true" ma:fieldsID="780f21a06c597bdbfe2bee5c226157d5" ns2:_="" ns3:_="">
    <xsd:import namespace="1e5cd453-d94b-4547-bc7f-3be6fc54e523"/>
    <xsd:import namespace="71d0c5e3-18ac-4fbc-ba6f-9df133e35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cd453-d94b-4547-bc7f-3be6fc54e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624216-d583-4636-a04d-17921d6eaf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0c5e3-18ac-4fbc-ba6f-9df133e35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5cd453-d94b-4547-bc7f-3be6fc54e5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F28C96-6433-428E-9F51-1E5FE119916A}"/>
</file>

<file path=customXml/itemProps3.xml><?xml version="1.0" encoding="utf-8"?>
<ds:datastoreItem xmlns:ds="http://schemas.openxmlformats.org/officeDocument/2006/customXml" ds:itemID="{8E4895FC-71BF-49C9-B9E2-368915DE034A}"/>
</file>

<file path=customXml/itemProps4.xml><?xml version="1.0" encoding="utf-8"?>
<ds:datastoreItem xmlns:ds="http://schemas.openxmlformats.org/officeDocument/2006/customXml" ds:itemID="{FCACBC58-C8C4-44A4-BA1B-BD6B3410D0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Camilla Babbage (staff)</cp:lastModifiedBy>
  <cp:revision>7</cp:revision>
  <cp:lastPrinted>2018-06-03T09:54:00Z</cp:lastPrinted>
  <dcterms:created xsi:type="dcterms:W3CDTF">2023-04-06T13:03:00Z</dcterms:created>
  <dcterms:modified xsi:type="dcterms:W3CDTF">2023-04-06T13:08:00Z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0x01010016BE12709EE0334F91B4DC0526AB6022</vt:lpwstr>
  </property>
</Properties>
</file>