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FC4165" w14:textId="1380113C" w:rsidR="00736462" w:rsidRPr="00184051" w:rsidRDefault="0012614F" w:rsidP="00736462">
      <w:pPr>
        <w:pStyle w:val="paragraph"/>
        <w:spacing w:before="0" w:beforeAutospacing="0" w:after="0" w:afterAutospacing="0"/>
        <w:jc w:val="center"/>
        <w:textAlignment w:val="baseline"/>
        <w:rPr>
          <w:sz w:val="27"/>
          <w:szCs w:val="27"/>
        </w:rPr>
      </w:pPr>
      <w:r>
        <w:rPr>
          <w:rStyle w:val="normaltextrun"/>
          <w:b/>
          <w:bCs/>
          <w:sz w:val="27"/>
          <w:szCs w:val="27"/>
        </w:rPr>
        <w:t xml:space="preserve">Identifying </w:t>
      </w:r>
      <w:r w:rsidR="00736462" w:rsidRPr="00184051">
        <w:rPr>
          <w:rStyle w:val="normaltextrun"/>
          <w:b/>
          <w:bCs/>
          <w:sz w:val="27"/>
          <w:szCs w:val="27"/>
        </w:rPr>
        <w:t xml:space="preserve">autism spectrum disorder </w:t>
      </w:r>
      <w:r w:rsidR="00BD5EBF">
        <w:rPr>
          <w:rStyle w:val="normaltextrun"/>
          <w:b/>
          <w:bCs/>
          <w:sz w:val="27"/>
          <w:szCs w:val="27"/>
        </w:rPr>
        <w:t xml:space="preserve">(ASD) </w:t>
      </w:r>
      <w:r w:rsidR="00736462" w:rsidRPr="00184051">
        <w:rPr>
          <w:rStyle w:val="normaltextrun"/>
          <w:b/>
          <w:bCs/>
          <w:sz w:val="27"/>
          <w:szCs w:val="27"/>
        </w:rPr>
        <w:t>in young people presenting with functional tic like behaviours</w:t>
      </w:r>
    </w:p>
    <w:p w14:paraId="26EC0007" w14:textId="77777777" w:rsidR="00736462" w:rsidRPr="00184051" w:rsidRDefault="00736462" w:rsidP="00736462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sz w:val="22"/>
          <w:szCs w:val="22"/>
        </w:rPr>
      </w:pPr>
    </w:p>
    <w:p w14:paraId="5FE2D6E7" w14:textId="4C7824A6" w:rsidR="00184051" w:rsidRDefault="00736462" w:rsidP="00184051">
      <w:pPr>
        <w:pStyle w:val="paragraph"/>
        <w:spacing w:before="0" w:beforeAutospacing="0" w:after="0" w:afterAutospacing="0"/>
        <w:jc w:val="center"/>
        <w:textAlignment w:val="baseline"/>
        <w:rPr>
          <w:vertAlign w:val="superscript"/>
          <w:lang w:eastAsia="da-DK"/>
        </w:rPr>
      </w:pPr>
      <w:r w:rsidRPr="0031433A">
        <w:rPr>
          <w:rStyle w:val="normaltextrun"/>
          <w:u w:val="single"/>
        </w:rPr>
        <w:t>Morvwen Duncan</w:t>
      </w:r>
      <w:r w:rsidR="00184051" w:rsidRPr="0031433A">
        <w:rPr>
          <w:u w:val="single"/>
          <w:vertAlign w:val="superscript"/>
          <w:lang w:eastAsia="da-DK"/>
        </w:rPr>
        <w:t>1</w:t>
      </w:r>
      <w:r w:rsidRPr="00184051">
        <w:rPr>
          <w:rStyle w:val="normaltextrun"/>
        </w:rPr>
        <w:t>, Matteo Catanzano</w:t>
      </w:r>
      <w:r w:rsidR="00184051" w:rsidRPr="00184051">
        <w:rPr>
          <w:vertAlign w:val="superscript"/>
          <w:lang w:eastAsia="da-DK"/>
        </w:rPr>
        <w:t>1</w:t>
      </w:r>
      <w:r w:rsidR="002610C1">
        <w:rPr>
          <w:vertAlign w:val="superscript"/>
          <w:lang w:eastAsia="da-DK"/>
        </w:rPr>
        <w:t>,2</w:t>
      </w:r>
      <w:r w:rsidRPr="00184051">
        <w:rPr>
          <w:rStyle w:val="normaltextrun"/>
        </w:rPr>
        <w:t xml:space="preserve">, </w:t>
      </w:r>
      <w:r w:rsidR="002610C1" w:rsidRPr="00184051">
        <w:rPr>
          <w:rStyle w:val="normaltextrun"/>
        </w:rPr>
        <w:t>Chelsea Wu</w:t>
      </w:r>
      <w:r w:rsidR="002610C1" w:rsidRPr="00184051">
        <w:rPr>
          <w:vertAlign w:val="superscript"/>
          <w:lang w:eastAsia="da-DK"/>
        </w:rPr>
        <w:t>1</w:t>
      </w:r>
      <w:r w:rsidR="002610C1">
        <w:rPr>
          <w:rStyle w:val="normaltextrun"/>
        </w:rPr>
        <w:t xml:space="preserve">, </w:t>
      </w:r>
      <w:r w:rsidR="00FB1030" w:rsidRPr="00184051">
        <w:rPr>
          <w:rStyle w:val="normaltextrun"/>
        </w:rPr>
        <w:t>Lila Simpson</w:t>
      </w:r>
      <w:r w:rsidR="00FB1030" w:rsidRPr="00184051">
        <w:rPr>
          <w:vertAlign w:val="superscript"/>
          <w:lang w:eastAsia="da-DK"/>
        </w:rPr>
        <w:t>1</w:t>
      </w:r>
      <w:r w:rsidR="00FB1030">
        <w:rPr>
          <w:rStyle w:val="normaltextrun"/>
        </w:rPr>
        <w:t xml:space="preserve">, </w:t>
      </w:r>
      <w:r w:rsidR="002610C1">
        <w:rPr>
          <w:rStyle w:val="normaltextrun"/>
        </w:rPr>
        <w:t>Abbie Smith</w:t>
      </w:r>
      <w:r w:rsidR="00B84308" w:rsidRPr="00184051">
        <w:rPr>
          <w:bdr w:val="none" w:sz="0" w:space="0" w:color="auto" w:frame="1"/>
          <w:vertAlign w:val="superscript"/>
          <w:lang w:eastAsia="da-DK"/>
        </w:rPr>
        <w:t>1</w:t>
      </w:r>
      <w:r w:rsidR="002610C1">
        <w:rPr>
          <w:rStyle w:val="normaltextrun"/>
        </w:rPr>
        <w:t>, Katie Harold</w:t>
      </w:r>
      <w:r w:rsidR="00B84308" w:rsidRPr="00184051">
        <w:rPr>
          <w:bdr w:val="none" w:sz="0" w:space="0" w:color="auto" w:frame="1"/>
          <w:vertAlign w:val="superscript"/>
          <w:lang w:eastAsia="da-DK"/>
        </w:rPr>
        <w:t>1</w:t>
      </w:r>
      <w:r w:rsidR="00184051" w:rsidRPr="00184051">
        <w:rPr>
          <w:rStyle w:val="normaltextrun"/>
        </w:rPr>
        <w:t xml:space="preserve">, </w:t>
      </w:r>
      <w:r w:rsidRPr="00184051">
        <w:rPr>
          <w:rStyle w:val="normaltextrun"/>
        </w:rPr>
        <w:t>Zoe Pearman</w:t>
      </w:r>
      <w:r w:rsidR="00184051" w:rsidRPr="00184051">
        <w:rPr>
          <w:vertAlign w:val="superscript"/>
          <w:lang w:eastAsia="da-DK"/>
        </w:rPr>
        <w:t>1</w:t>
      </w:r>
      <w:r w:rsidRPr="00184051">
        <w:rPr>
          <w:rStyle w:val="normaltextrun"/>
        </w:rPr>
        <w:t xml:space="preserve">, </w:t>
      </w:r>
      <w:r w:rsidR="002610C1">
        <w:rPr>
          <w:rStyle w:val="normaltextrun"/>
        </w:rPr>
        <w:t>Amy Warren</w:t>
      </w:r>
      <w:r w:rsidR="00B84308" w:rsidRPr="00184051">
        <w:rPr>
          <w:bdr w:val="none" w:sz="0" w:space="0" w:color="auto" w:frame="1"/>
          <w:vertAlign w:val="superscript"/>
          <w:lang w:eastAsia="da-DK"/>
        </w:rPr>
        <w:t>1</w:t>
      </w:r>
      <w:r w:rsidRPr="00184051">
        <w:rPr>
          <w:rStyle w:val="normaltextrun"/>
        </w:rPr>
        <w:t>,</w:t>
      </w:r>
      <w:r w:rsidR="00FB1030">
        <w:rPr>
          <w:rStyle w:val="normaltextrun"/>
        </w:rPr>
        <w:t xml:space="preserve"> </w:t>
      </w:r>
      <w:r w:rsidR="00296DB5">
        <w:rPr>
          <w:rStyle w:val="normaltextrun"/>
        </w:rPr>
        <w:t>Isobel Heyman</w:t>
      </w:r>
      <w:r w:rsidR="00B84308" w:rsidRPr="00184051">
        <w:rPr>
          <w:bdr w:val="none" w:sz="0" w:space="0" w:color="auto" w:frame="1"/>
          <w:vertAlign w:val="superscript"/>
          <w:lang w:eastAsia="da-DK"/>
        </w:rPr>
        <w:t>1</w:t>
      </w:r>
      <w:r w:rsidR="00B84308">
        <w:rPr>
          <w:bdr w:val="none" w:sz="0" w:space="0" w:color="auto" w:frame="1"/>
          <w:vertAlign w:val="superscript"/>
          <w:lang w:eastAsia="da-DK"/>
        </w:rPr>
        <w:t>,2</w:t>
      </w:r>
      <w:r w:rsidR="000F0312">
        <w:rPr>
          <w:rStyle w:val="normaltextrun"/>
        </w:rPr>
        <w:t>, Sacha Evans</w:t>
      </w:r>
      <w:r w:rsidR="00B84308" w:rsidRPr="00184051">
        <w:rPr>
          <w:bdr w:val="none" w:sz="0" w:space="0" w:color="auto" w:frame="1"/>
          <w:vertAlign w:val="superscript"/>
          <w:lang w:eastAsia="da-DK"/>
        </w:rPr>
        <w:t>1</w:t>
      </w:r>
      <w:r w:rsidR="00FB1030">
        <w:rPr>
          <w:rStyle w:val="normaltextrun"/>
        </w:rPr>
        <w:t xml:space="preserve"> and</w:t>
      </w:r>
      <w:r w:rsidRPr="00184051">
        <w:rPr>
          <w:rStyle w:val="normaltextrun"/>
        </w:rPr>
        <w:t xml:space="preserve"> Holan Liang</w:t>
      </w:r>
      <w:r w:rsidR="00184051" w:rsidRPr="00184051">
        <w:rPr>
          <w:vertAlign w:val="superscript"/>
          <w:lang w:eastAsia="da-DK"/>
        </w:rPr>
        <w:t>1</w:t>
      </w:r>
      <w:r w:rsidR="002610C1">
        <w:rPr>
          <w:vertAlign w:val="superscript"/>
          <w:lang w:eastAsia="da-DK"/>
        </w:rPr>
        <w:t>,2</w:t>
      </w:r>
    </w:p>
    <w:p w14:paraId="7021DF59" w14:textId="77777777" w:rsidR="002B255C" w:rsidRPr="00184051" w:rsidRDefault="002B255C" w:rsidP="00184051">
      <w:pPr>
        <w:pStyle w:val="paragraph"/>
        <w:spacing w:before="0" w:beforeAutospacing="0" w:after="0" w:afterAutospacing="0"/>
        <w:jc w:val="center"/>
        <w:textAlignment w:val="baseline"/>
      </w:pPr>
    </w:p>
    <w:p w14:paraId="1C5B4379" w14:textId="597610C4" w:rsidR="00184051" w:rsidRDefault="00184051" w:rsidP="00184051">
      <w:pPr>
        <w:pBdr>
          <w:bottom w:val="single" w:sz="6" w:space="1" w:color="auto" w:shadow="1"/>
        </w:pBdr>
        <w:jc w:val="center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da-DK"/>
        </w:rPr>
      </w:pPr>
      <w:r w:rsidRPr="0018405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vertAlign w:val="superscript"/>
          <w:lang w:eastAsia="da-DK"/>
        </w:rPr>
        <w:t>1</w:t>
      </w:r>
      <w:r w:rsidRPr="0018405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da-DK"/>
        </w:rPr>
        <w:t>Tic Disorder Service, Psychological and Mental Health Services, Great Ormond Street Hospital, United Kingdom</w:t>
      </w:r>
    </w:p>
    <w:p w14:paraId="216E12A3" w14:textId="1CC1CB8F" w:rsidR="002610C1" w:rsidRPr="00184051" w:rsidRDefault="002B255C" w:rsidP="00184051">
      <w:pPr>
        <w:pBdr>
          <w:bottom w:val="single" w:sz="6" w:space="1" w:color="auto" w:shadow="1"/>
        </w:pBdr>
        <w:jc w:val="center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da-DK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vertAlign w:val="superscript"/>
          <w:lang w:eastAsia="da-DK"/>
        </w:rPr>
        <w:t>2</w:t>
      </w:r>
      <w:r w:rsidR="002610C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da-DK"/>
        </w:rPr>
        <w:t>UCL</w:t>
      </w:r>
    </w:p>
    <w:p w14:paraId="15F7322B" w14:textId="77777777" w:rsidR="00184051" w:rsidRPr="00184051" w:rsidRDefault="00184051" w:rsidP="00736462">
      <w:pPr>
        <w:pStyle w:val="paragraph"/>
        <w:spacing w:before="0" w:beforeAutospacing="0" w:after="0" w:afterAutospacing="0"/>
        <w:jc w:val="center"/>
        <w:textAlignment w:val="baseline"/>
      </w:pPr>
    </w:p>
    <w:p w14:paraId="002F8C05" w14:textId="77777777" w:rsidR="00736462" w:rsidRPr="00184051" w:rsidRDefault="00736462" w:rsidP="00184051">
      <w:pPr>
        <w:pStyle w:val="paragraph"/>
        <w:spacing w:before="0" w:beforeAutospacing="0" w:after="0" w:afterAutospacing="0"/>
        <w:textAlignment w:val="baseline"/>
      </w:pPr>
      <w:r w:rsidRPr="00184051">
        <w:rPr>
          <w:rStyle w:val="normaltextrun"/>
          <w:b/>
          <w:bCs/>
          <w:i/>
          <w:iCs/>
        </w:rPr>
        <w:t>Background</w:t>
      </w:r>
      <w:r w:rsidRPr="00184051">
        <w:rPr>
          <w:rStyle w:val="eop"/>
          <w:rFonts w:eastAsia="Arial Unicode MS"/>
        </w:rPr>
        <w:t> </w:t>
      </w:r>
    </w:p>
    <w:p w14:paraId="3760618C" w14:textId="1EE25FB2" w:rsidR="000F0312" w:rsidRDefault="00A13FDC" w:rsidP="00184051">
      <w:pPr>
        <w:pStyle w:val="paragraph"/>
        <w:spacing w:before="0" w:beforeAutospacing="0" w:after="0" w:afterAutospacing="0"/>
        <w:textAlignment w:val="baseline"/>
        <w:rPr>
          <w:rStyle w:val="normaltextrun"/>
        </w:rPr>
      </w:pPr>
      <w:r w:rsidRPr="4657DBBB">
        <w:t>Functional tic-like behaviours (FTLB) are characterised by multiple, complex, vocal</w:t>
      </w:r>
      <w:r>
        <w:t>,</w:t>
      </w:r>
      <w:r w:rsidRPr="4657DBBB">
        <w:t xml:space="preserve"> and motor tics, with rapid onset, usually in adolescence (</w:t>
      </w:r>
      <w:proofErr w:type="spellStart"/>
      <w:r w:rsidRPr="4657DBBB">
        <w:t>Pringsheim</w:t>
      </w:r>
      <w:proofErr w:type="spellEnd"/>
      <w:r w:rsidRPr="4657DBBB">
        <w:t xml:space="preserve"> et al., 202</w:t>
      </w:r>
      <w:r w:rsidR="0031433A">
        <w:t>3</w:t>
      </w:r>
      <w:r w:rsidRPr="4657DBBB">
        <w:t>)</w:t>
      </w:r>
      <w:r w:rsidR="005D03F4">
        <w:t>.</w:t>
      </w:r>
      <w:r w:rsidRPr="4657DBBB">
        <w:t xml:space="preserve"> </w:t>
      </w:r>
      <w:r w:rsidR="005D03F4" w:rsidRPr="005D03F4">
        <w:t xml:space="preserve">Like other functional disorders/symptoms, the diagnosis is made clinically from biological, </w:t>
      </w:r>
      <w:proofErr w:type="gramStart"/>
      <w:r w:rsidR="005D03F4" w:rsidRPr="005D03F4">
        <w:t>psychological</w:t>
      </w:r>
      <w:proofErr w:type="gramEnd"/>
      <w:r w:rsidR="005D03F4" w:rsidRPr="005D03F4">
        <w:t xml:space="preserve"> and social indicators.  </w:t>
      </w:r>
      <w:r w:rsidR="00736462" w:rsidRPr="00184051">
        <w:rPr>
          <w:rStyle w:val="normaltextrun"/>
        </w:rPr>
        <w:t>Emerging research highlights neurodevelopmental disorders as potential vulnerability markers for the development of FTLBs (Han et al., 2022)</w:t>
      </w:r>
      <w:r w:rsidR="000F0312">
        <w:rPr>
          <w:rStyle w:val="normaltextrun"/>
        </w:rPr>
        <w:t xml:space="preserve">, as </w:t>
      </w:r>
      <w:r w:rsidR="000F0312" w:rsidRPr="00184051">
        <w:rPr>
          <w:rStyle w:val="normaltextrun"/>
        </w:rPr>
        <w:t>unrecognised and unsupported neurodevelopmental disorders can lead to higher levels of anxiety and stress (Zener, 2019)</w:t>
      </w:r>
      <w:r w:rsidR="000F0312">
        <w:rPr>
          <w:rStyle w:val="normaltextrun"/>
        </w:rPr>
        <w:t xml:space="preserve">, which can lead to </w:t>
      </w:r>
      <w:r w:rsidR="00736462" w:rsidRPr="00184051">
        <w:rPr>
          <w:rStyle w:val="normaltextrun"/>
        </w:rPr>
        <w:t xml:space="preserve">higher risk of comorbid psychiatric disorders (Vasa &amp; Mazurek, 2015). </w:t>
      </w:r>
    </w:p>
    <w:p w14:paraId="7C415C8F" w14:textId="77777777" w:rsidR="000F0312" w:rsidRDefault="000F0312" w:rsidP="00184051">
      <w:pPr>
        <w:pStyle w:val="paragraph"/>
        <w:spacing w:before="0" w:beforeAutospacing="0" w:after="0" w:afterAutospacing="0"/>
        <w:textAlignment w:val="baseline"/>
        <w:rPr>
          <w:rStyle w:val="normaltextrun"/>
        </w:rPr>
      </w:pPr>
    </w:p>
    <w:p w14:paraId="7462FC2F" w14:textId="5D514456" w:rsidR="00736462" w:rsidRPr="00184051" w:rsidRDefault="00736462" w:rsidP="00184051">
      <w:pPr>
        <w:pStyle w:val="paragraph"/>
        <w:spacing w:before="0" w:beforeAutospacing="0" w:after="0" w:afterAutospacing="0"/>
        <w:textAlignment w:val="baseline"/>
      </w:pPr>
      <w:r w:rsidRPr="00184051">
        <w:rPr>
          <w:rStyle w:val="normaltextrun"/>
        </w:rPr>
        <w:t xml:space="preserve">International studies using pooled data have </w:t>
      </w:r>
      <w:r w:rsidR="0059709A">
        <w:rPr>
          <w:rStyle w:val="normaltextrun"/>
        </w:rPr>
        <w:t xml:space="preserve">reported </w:t>
      </w:r>
      <w:r w:rsidRPr="00184051">
        <w:rPr>
          <w:rStyle w:val="normaltextrun"/>
        </w:rPr>
        <w:t>rates of ASD in FTLB</w:t>
      </w:r>
      <w:r w:rsidR="0059709A">
        <w:rPr>
          <w:rStyle w:val="normaltextrun"/>
        </w:rPr>
        <w:t xml:space="preserve"> as </w:t>
      </w:r>
      <w:r w:rsidR="00F85A32">
        <w:rPr>
          <w:rStyle w:val="normaltextrun"/>
        </w:rPr>
        <w:t>24</w:t>
      </w:r>
      <w:r w:rsidR="0059709A">
        <w:rPr>
          <w:rStyle w:val="normaltextrun"/>
        </w:rPr>
        <w:t>%</w:t>
      </w:r>
      <w:r w:rsidRPr="00184051">
        <w:rPr>
          <w:rStyle w:val="normaltextrun"/>
        </w:rPr>
        <w:t xml:space="preserve"> (Martino et al., 202</w:t>
      </w:r>
      <w:r w:rsidR="00F85A32">
        <w:rPr>
          <w:rStyle w:val="normaltextrun"/>
        </w:rPr>
        <w:t>3</w:t>
      </w:r>
      <w:r w:rsidRPr="00184051">
        <w:rPr>
          <w:rStyle w:val="normaltextrun"/>
        </w:rPr>
        <w:t xml:space="preserve">). However, it was evident from non-pooled data that </w:t>
      </w:r>
      <w:r w:rsidR="00BD5EBF">
        <w:rPr>
          <w:rStyle w:val="normaltextrun"/>
        </w:rPr>
        <w:t xml:space="preserve">ASD </w:t>
      </w:r>
      <w:r w:rsidRPr="00184051">
        <w:rPr>
          <w:rStyle w:val="normaltextrun"/>
        </w:rPr>
        <w:t>prevalence rates varied depending on clinic site</w:t>
      </w:r>
      <w:r w:rsidR="002446F2">
        <w:rPr>
          <w:rStyle w:val="normaltextrun"/>
        </w:rPr>
        <w:t>, with GOSH Tic Disorders Service reporting higher prevalence rates</w:t>
      </w:r>
      <w:r w:rsidRPr="00184051">
        <w:rPr>
          <w:rStyle w:val="normaltextrun"/>
        </w:rPr>
        <w:t>. It was unclear whether this di</w:t>
      </w:r>
      <w:r w:rsidR="0059709A">
        <w:rPr>
          <w:rStyle w:val="normaltextrun"/>
        </w:rPr>
        <w:t>sparity</w:t>
      </w:r>
      <w:r w:rsidRPr="00184051">
        <w:rPr>
          <w:rStyle w:val="normaltextrun"/>
        </w:rPr>
        <w:t xml:space="preserve"> was due to differ</w:t>
      </w:r>
      <w:r w:rsidR="0059709A">
        <w:rPr>
          <w:rStyle w:val="normaltextrun"/>
        </w:rPr>
        <w:t>ences in</w:t>
      </w:r>
      <w:r w:rsidRPr="00184051">
        <w:rPr>
          <w:rStyle w:val="normaltextrun"/>
        </w:rPr>
        <w:t xml:space="preserve"> population groups</w:t>
      </w:r>
      <w:r w:rsidR="0059709A">
        <w:rPr>
          <w:rStyle w:val="normaltextrun"/>
        </w:rPr>
        <w:t xml:space="preserve"> or</w:t>
      </w:r>
      <w:r w:rsidRPr="00184051">
        <w:rPr>
          <w:rStyle w:val="normaltextrun"/>
        </w:rPr>
        <w:t xml:space="preserve"> </w:t>
      </w:r>
      <w:r w:rsidR="0059709A">
        <w:rPr>
          <w:rStyle w:val="normaltextrun"/>
        </w:rPr>
        <w:t>ASD screening</w:t>
      </w:r>
      <w:r w:rsidRPr="00184051">
        <w:rPr>
          <w:rStyle w:val="normaltextrun"/>
        </w:rPr>
        <w:t xml:space="preserve"> </w:t>
      </w:r>
      <w:r w:rsidR="0059709A">
        <w:rPr>
          <w:rStyle w:val="normaltextrun"/>
        </w:rPr>
        <w:t>and</w:t>
      </w:r>
      <w:r w:rsidRPr="00184051">
        <w:rPr>
          <w:rStyle w:val="normaltextrun"/>
        </w:rPr>
        <w:t xml:space="preserve"> </w:t>
      </w:r>
      <w:r w:rsidR="0059709A">
        <w:rPr>
          <w:rStyle w:val="normaltextrun"/>
        </w:rPr>
        <w:t>diagnosing</w:t>
      </w:r>
      <w:r w:rsidRPr="00184051">
        <w:rPr>
          <w:rStyle w:val="normaltextrun"/>
        </w:rPr>
        <w:t xml:space="preserve"> </w:t>
      </w:r>
      <w:r w:rsidR="0059709A">
        <w:rPr>
          <w:rStyle w:val="normaltextrun"/>
        </w:rPr>
        <w:t>practices</w:t>
      </w:r>
      <w:r w:rsidRPr="00184051">
        <w:rPr>
          <w:rStyle w:val="normaltextrun"/>
        </w:rPr>
        <w:t xml:space="preserve">. The GOSH </w:t>
      </w:r>
      <w:r w:rsidR="000F0312">
        <w:rPr>
          <w:rStyle w:val="normaltextrun"/>
        </w:rPr>
        <w:t xml:space="preserve">Tic Disorders Service </w:t>
      </w:r>
      <w:r w:rsidRPr="00184051">
        <w:rPr>
          <w:rStyle w:val="normaltextrun"/>
        </w:rPr>
        <w:t xml:space="preserve">uses </w:t>
      </w:r>
      <w:r w:rsidR="00F755BA" w:rsidRPr="00184051">
        <w:rPr>
          <w:rStyle w:val="normaltextrun"/>
        </w:rPr>
        <w:t xml:space="preserve">the </w:t>
      </w:r>
      <w:r w:rsidRPr="00184051">
        <w:rPr>
          <w:rStyle w:val="normaltextrun"/>
        </w:rPr>
        <w:t>DAWBA</w:t>
      </w:r>
      <w:r w:rsidR="00F755BA" w:rsidRPr="00184051">
        <w:rPr>
          <w:rStyle w:val="normaltextrun"/>
        </w:rPr>
        <w:t xml:space="preserve"> </w:t>
      </w:r>
      <w:r w:rsidRPr="00184051">
        <w:rPr>
          <w:rStyle w:val="normaltextrun"/>
        </w:rPr>
        <w:t xml:space="preserve">at pre-assessment and direct clinical screening for ASD at assessment for all patients. </w:t>
      </w:r>
      <w:r w:rsidR="00F755BA" w:rsidRPr="00184051">
        <w:rPr>
          <w:rStyle w:val="normaltextrun"/>
        </w:rPr>
        <w:t xml:space="preserve"> </w:t>
      </w:r>
      <w:r w:rsidRPr="00184051">
        <w:rPr>
          <w:rStyle w:val="normaltextrun"/>
        </w:rPr>
        <w:t>This study aims to (1) estimate the prevalence of ASD in a group of young people with FTLBs</w:t>
      </w:r>
      <w:r w:rsidR="00F85A32">
        <w:rPr>
          <w:rStyle w:val="normaltextrun"/>
        </w:rPr>
        <w:t xml:space="preserve"> </w:t>
      </w:r>
      <w:r w:rsidRPr="00184051">
        <w:rPr>
          <w:rStyle w:val="normaltextrun"/>
        </w:rPr>
        <w:t>and (</w:t>
      </w:r>
      <w:r w:rsidR="00F85A32">
        <w:rPr>
          <w:rStyle w:val="normaltextrun"/>
        </w:rPr>
        <w:t>2</w:t>
      </w:r>
      <w:r w:rsidRPr="00184051">
        <w:rPr>
          <w:rStyle w:val="normaltextrun"/>
        </w:rPr>
        <w:t>) explore the utility of the DAWBA in identifying ASD in young people</w:t>
      </w:r>
      <w:r w:rsidR="00F755BA" w:rsidRPr="00184051">
        <w:rPr>
          <w:rStyle w:val="normaltextrun"/>
        </w:rPr>
        <w:t xml:space="preserve"> </w:t>
      </w:r>
      <w:r w:rsidRPr="00184051">
        <w:rPr>
          <w:rStyle w:val="normaltextrun"/>
        </w:rPr>
        <w:t>with FTLB.  </w:t>
      </w:r>
      <w:r w:rsidRPr="00184051">
        <w:rPr>
          <w:rStyle w:val="eop"/>
          <w:rFonts w:eastAsia="Arial Unicode MS"/>
        </w:rPr>
        <w:t> </w:t>
      </w:r>
    </w:p>
    <w:p w14:paraId="147195C8" w14:textId="77777777" w:rsidR="00736462" w:rsidRPr="00184051" w:rsidRDefault="00736462" w:rsidP="00184051">
      <w:pPr>
        <w:pStyle w:val="paragraph"/>
        <w:spacing w:before="0" w:beforeAutospacing="0" w:after="0" w:afterAutospacing="0"/>
        <w:textAlignment w:val="baseline"/>
      </w:pPr>
      <w:r w:rsidRPr="00184051">
        <w:rPr>
          <w:rStyle w:val="eop"/>
          <w:rFonts w:eastAsia="Arial Unicode MS"/>
        </w:rPr>
        <w:t> </w:t>
      </w:r>
    </w:p>
    <w:p w14:paraId="648BD320" w14:textId="77777777" w:rsidR="00736462" w:rsidRPr="00184051" w:rsidRDefault="00736462" w:rsidP="00184051">
      <w:pPr>
        <w:pStyle w:val="paragraph"/>
        <w:spacing w:before="0" w:beforeAutospacing="0" w:after="0" w:afterAutospacing="0"/>
        <w:textAlignment w:val="baseline"/>
      </w:pPr>
      <w:r w:rsidRPr="00184051">
        <w:rPr>
          <w:rStyle w:val="normaltextrun"/>
          <w:b/>
          <w:bCs/>
          <w:i/>
          <w:iCs/>
        </w:rPr>
        <w:t>Methods</w:t>
      </w:r>
      <w:r w:rsidRPr="00184051">
        <w:rPr>
          <w:rStyle w:val="eop"/>
          <w:rFonts w:eastAsia="Arial Unicode MS"/>
        </w:rPr>
        <w:t> </w:t>
      </w:r>
    </w:p>
    <w:p w14:paraId="632F58AD" w14:textId="6AF12D53" w:rsidR="00736462" w:rsidRPr="00184051" w:rsidRDefault="00736462" w:rsidP="00184051">
      <w:pPr>
        <w:pStyle w:val="paragraph"/>
        <w:spacing w:before="0" w:beforeAutospacing="0" w:after="0" w:afterAutospacing="0"/>
        <w:textAlignment w:val="baseline"/>
      </w:pPr>
      <w:r w:rsidRPr="00184051">
        <w:rPr>
          <w:rStyle w:val="normaltextrun"/>
        </w:rPr>
        <w:t>The sample consists of young people (N=63) aged 8</w:t>
      </w:r>
      <w:r w:rsidR="00F755BA" w:rsidRPr="00184051">
        <w:rPr>
          <w:rStyle w:val="normaltextrun"/>
        </w:rPr>
        <w:t>-</w:t>
      </w:r>
      <w:r w:rsidRPr="00184051">
        <w:rPr>
          <w:rStyle w:val="normaltextrun"/>
        </w:rPr>
        <w:t xml:space="preserve">17 years old </w:t>
      </w:r>
      <w:r w:rsidR="00F755BA" w:rsidRPr="00184051">
        <w:rPr>
          <w:rStyle w:val="normaltextrun"/>
        </w:rPr>
        <w:t>seen at GOSH</w:t>
      </w:r>
      <w:r w:rsidRPr="00184051">
        <w:rPr>
          <w:rStyle w:val="normaltextrun"/>
        </w:rPr>
        <w:t xml:space="preserve"> </w:t>
      </w:r>
      <w:r w:rsidR="00507193">
        <w:rPr>
          <w:rStyle w:val="normaltextrun"/>
        </w:rPr>
        <w:t xml:space="preserve">Tic Disorders </w:t>
      </w:r>
      <w:r w:rsidR="00BD5EBF">
        <w:rPr>
          <w:rStyle w:val="normaltextrun"/>
        </w:rPr>
        <w:t>Service</w:t>
      </w:r>
      <w:r w:rsidRPr="00184051">
        <w:rPr>
          <w:rStyle w:val="normaltextrun"/>
        </w:rPr>
        <w:t xml:space="preserve"> between August 2020 and May 2022. All young people with a diagnosis of FTLBs were included. A retrospective chart review of their referral and assessment letters was undertaken to determine demographic and clinical variables.   </w:t>
      </w:r>
      <w:r w:rsidRPr="00184051">
        <w:rPr>
          <w:rStyle w:val="eop"/>
          <w:rFonts w:eastAsia="Arial Unicode MS"/>
        </w:rPr>
        <w:t> </w:t>
      </w:r>
    </w:p>
    <w:p w14:paraId="2A69CDD3" w14:textId="77777777" w:rsidR="00736462" w:rsidRPr="00184051" w:rsidRDefault="00736462" w:rsidP="00184051">
      <w:pPr>
        <w:pStyle w:val="paragraph"/>
        <w:spacing w:before="0" w:beforeAutospacing="0" w:after="0" w:afterAutospacing="0"/>
        <w:textAlignment w:val="baseline"/>
      </w:pPr>
      <w:r w:rsidRPr="00184051">
        <w:rPr>
          <w:rStyle w:val="eop"/>
          <w:rFonts w:eastAsia="Arial Unicode MS"/>
        </w:rPr>
        <w:t> </w:t>
      </w:r>
    </w:p>
    <w:p w14:paraId="3809DD7C" w14:textId="653BE33B" w:rsidR="00736462" w:rsidRPr="00184051" w:rsidRDefault="002446F2" w:rsidP="00184051">
      <w:pPr>
        <w:pStyle w:val="paragraph"/>
        <w:spacing w:before="0" w:beforeAutospacing="0" w:after="0" w:afterAutospacing="0"/>
        <w:textAlignment w:val="baseline"/>
      </w:pPr>
      <w:r>
        <w:rPr>
          <w:rStyle w:val="normaltextrun"/>
          <w:b/>
          <w:bCs/>
          <w:i/>
          <w:iCs/>
        </w:rPr>
        <w:t xml:space="preserve">Preliminary </w:t>
      </w:r>
      <w:r w:rsidR="00736462" w:rsidRPr="00184051">
        <w:rPr>
          <w:rStyle w:val="normaltextrun"/>
          <w:b/>
          <w:bCs/>
          <w:i/>
          <w:iCs/>
        </w:rPr>
        <w:t>Results and conclusions </w:t>
      </w:r>
      <w:r w:rsidR="00736462" w:rsidRPr="00184051">
        <w:rPr>
          <w:rStyle w:val="eop"/>
          <w:rFonts w:eastAsia="Arial Unicode MS"/>
        </w:rPr>
        <w:t> </w:t>
      </w:r>
    </w:p>
    <w:p w14:paraId="4C7EBDFF" w14:textId="5B4C51D7" w:rsidR="00736462" w:rsidRPr="00184051" w:rsidRDefault="00736462" w:rsidP="00184051">
      <w:pPr>
        <w:pStyle w:val="paragraph"/>
        <w:spacing w:before="0" w:beforeAutospacing="0" w:after="0" w:afterAutospacing="0"/>
        <w:textAlignment w:val="baseline"/>
        <w:rPr>
          <w:lang w:val="en-US"/>
        </w:rPr>
      </w:pPr>
      <w:r w:rsidRPr="00184051">
        <w:rPr>
          <w:rStyle w:val="normaltextrun"/>
        </w:rPr>
        <w:t xml:space="preserve">47 (75%) of the young people with FTLBs were diagnosed with ASD. Of these, 21% </w:t>
      </w:r>
      <w:r w:rsidR="00F755BA" w:rsidRPr="00184051">
        <w:rPr>
          <w:rStyle w:val="normaltextrun"/>
        </w:rPr>
        <w:t>were diagnosed</w:t>
      </w:r>
      <w:r w:rsidRPr="00184051">
        <w:rPr>
          <w:rStyle w:val="normaltextrun"/>
        </w:rPr>
        <w:t xml:space="preserve"> prior to the assessment</w:t>
      </w:r>
      <w:r w:rsidR="00F755BA" w:rsidRPr="00184051">
        <w:rPr>
          <w:rStyle w:val="normaltextrun"/>
        </w:rPr>
        <w:t xml:space="preserve"> and 19% were diagnosed by the</w:t>
      </w:r>
      <w:r w:rsidR="00507193">
        <w:rPr>
          <w:rStyle w:val="normaltextrun"/>
        </w:rPr>
        <w:t xml:space="preserve"> Tic Disorders Service</w:t>
      </w:r>
      <w:r w:rsidRPr="00184051">
        <w:rPr>
          <w:rStyle w:val="normaltextrun"/>
        </w:rPr>
        <w:t>.</w:t>
      </w:r>
      <w:r w:rsidR="00BD5EBF">
        <w:rPr>
          <w:rStyle w:val="normaltextrun"/>
        </w:rPr>
        <w:t xml:space="preserve"> </w:t>
      </w:r>
      <w:r w:rsidRPr="00184051">
        <w:rPr>
          <w:rStyle w:val="normaltextrun"/>
        </w:rPr>
        <w:t xml:space="preserve">Following positive screen for ASD at assessment, 30% were subsequently diagnosed with ASD by </w:t>
      </w:r>
      <w:r w:rsidR="00BD5EBF">
        <w:rPr>
          <w:rStyle w:val="normaltextrun"/>
        </w:rPr>
        <w:t xml:space="preserve">external </w:t>
      </w:r>
      <w:r w:rsidRPr="00184051">
        <w:rPr>
          <w:rStyle w:val="normaltextrun"/>
        </w:rPr>
        <w:t xml:space="preserve">CAMHS/Paediatricians. </w:t>
      </w:r>
      <w:r w:rsidR="00BD5EBF">
        <w:rPr>
          <w:rStyle w:val="normaltextrun"/>
        </w:rPr>
        <w:t xml:space="preserve">As </w:t>
      </w:r>
      <w:r w:rsidRPr="00184051">
        <w:rPr>
          <w:rStyle w:val="normaltextrun"/>
        </w:rPr>
        <w:t>ASD was diagnosed by many different services as well as the</w:t>
      </w:r>
      <w:r w:rsidR="00507193">
        <w:rPr>
          <w:rStyle w:val="normaltextrun"/>
        </w:rPr>
        <w:t xml:space="preserve"> Tic Disorders Service</w:t>
      </w:r>
      <w:r w:rsidR="0012614F">
        <w:rPr>
          <w:rStyle w:val="normaltextrun"/>
        </w:rPr>
        <w:t xml:space="preserve">, increased identification of ASD is more likely due to more effective screening rather than </w:t>
      </w:r>
      <w:r w:rsidRPr="00184051">
        <w:rPr>
          <w:rStyle w:val="normaltextrun"/>
        </w:rPr>
        <w:t>ASD diagnostic</w:t>
      </w:r>
      <w:r w:rsidR="0012614F">
        <w:rPr>
          <w:rStyle w:val="normaltextrun"/>
        </w:rPr>
        <w:t xml:space="preserve"> bias</w:t>
      </w:r>
      <w:r w:rsidR="00507193">
        <w:rPr>
          <w:rStyle w:val="normaltextrun"/>
        </w:rPr>
        <w:t xml:space="preserve"> within the Tic Disorders Service</w:t>
      </w:r>
      <w:r w:rsidRPr="00184051">
        <w:rPr>
          <w:rStyle w:val="normaltextrun"/>
        </w:rPr>
        <w:t xml:space="preserve">. 60% (n=28) of patients with a clinical ASD diagnosis had a &lt;3% probability of ASD as predicted on the DAWBA. This indicates that within this group, the DAWBA is an ineffective screening tool for ASD.         </w:t>
      </w:r>
      <w:r w:rsidRPr="00184051">
        <w:rPr>
          <w:rStyle w:val="eop"/>
          <w:rFonts w:eastAsia="Arial Unicode MS"/>
        </w:rPr>
        <w:t> </w:t>
      </w:r>
    </w:p>
    <w:p w14:paraId="35A148C9" w14:textId="613AFDD3" w:rsidR="00736462" w:rsidRPr="00184051" w:rsidRDefault="00736462" w:rsidP="00184051">
      <w:pPr>
        <w:pStyle w:val="paragraph"/>
        <w:spacing w:before="0" w:beforeAutospacing="0" w:after="0" w:afterAutospacing="0"/>
        <w:textAlignment w:val="baseline"/>
      </w:pPr>
      <w:r w:rsidRPr="00184051">
        <w:rPr>
          <w:rStyle w:val="eop"/>
          <w:rFonts w:eastAsia="Arial Unicode MS"/>
        </w:rPr>
        <w:t> </w:t>
      </w:r>
    </w:p>
    <w:p w14:paraId="3F6C34B7" w14:textId="1BF6220B" w:rsidR="00736462" w:rsidRPr="00184051" w:rsidRDefault="00736462" w:rsidP="00184051">
      <w:pPr>
        <w:pStyle w:val="paragraph"/>
        <w:spacing w:before="0" w:beforeAutospacing="0" w:after="0" w:afterAutospacing="0"/>
        <w:textAlignment w:val="baseline"/>
      </w:pPr>
      <w:r w:rsidRPr="00184051">
        <w:rPr>
          <w:rStyle w:val="normaltextrun"/>
        </w:rPr>
        <w:t xml:space="preserve">Our data suggests a high rate of ASD </w:t>
      </w:r>
      <w:r w:rsidR="001D5589">
        <w:rPr>
          <w:rStyle w:val="normaltextrun"/>
        </w:rPr>
        <w:t xml:space="preserve">(75%) </w:t>
      </w:r>
      <w:r w:rsidRPr="00184051">
        <w:rPr>
          <w:rStyle w:val="normaltextrun"/>
        </w:rPr>
        <w:t>amongst young people diagnosed with FTLB</w:t>
      </w:r>
      <w:r w:rsidR="002C20F3">
        <w:rPr>
          <w:rStyle w:val="normaltextrun"/>
        </w:rPr>
        <w:t xml:space="preserve">, </w:t>
      </w:r>
      <w:r w:rsidRPr="00184051">
        <w:rPr>
          <w:rStyle w:val="normaltextrun"/>
        </w:rPr>
        <w:t xml:space="preserve"> </w:t>
      </w:r>
      <w:r w:rsidR="00F85A32">
        <w:rPr>
          <w:rStyle w:val="normaltextrun"/>
        </w:rPr>
        <w:t>54</w:t>
      </w:r>
      <w:r w:rsidR="002C20F3">
        <w:rPr>
          <w:rStyle w:val="normaltextrun"/>
        </w:rPr>
        <w:t xml:space="preserve">% of which </w:t>
      </w:r>
      <w:r w:rsidRPr="00184051">
        <w:rPr>
          <w:rStyle w:val="normaltextrun"/>
        </w:rPr>
        <w:t xml:space="preserve">were undiagnosed with ASD at the point of referral, but later met threshold for </w:t>
      </w:r>
      <w:r w:rsidRPr="00184051">
        <w:rPr>
          <w:rStyle w:val="normaltextrun"/>
        </w:rPr>
        <w:lastRenderedPageBreak/>
        <w:t xml:space="preserve">an ASD diagnosis following </w:t>
      </w:r>
      <w:r w:rsidR="002C20F3">
        <w:rPr>
          <w:rStyle w:val="normaltextrun"/>
        </w:rPr>
        <w:t xml:space="preserve">assessment recommended by </w:t>
      </w:r>
      <w:r w:rsidRPr="00184051">
        <w:rPr>
          <w:rStyle w:val="normaltextrun"/>
        </w:rPr>
        <w:t xml:space="preserve">clinical screening.  Our findings suggest the DAWBA has poor predictive value for identifying </w:t>
      </w:r>
      <w:r w:rsidR="002C20F3">
        <w:rPr>
          <w:rStyle w:val="normaltextrun"/>
        </w:rPr>
        <w:t xml:space="preserve">ASD in </w:t>
      </w:r>
      <w:r w:rsidRPr="00184051">
        <w:rPr>
          <w:rStyle w:val="normaltextrun"/>
        </w:rPr>
        <w:t xml:space="preserve">young people with </w:t>
      </w:r>
      <w:r w:rsidR="00F755BA" w:rsidRPr="00184051">
        <w:rPr>
          <w:rStyle w:val="normaltextrun"/>
        </w:rPr>
        <w:t>FTLBs</w:t>
      </w:r>
      <w:r w:rsidRPr="00184051">
        <w:rPr>
          <w:rStyle w:val="normaltextrun"/>
        </w:rPr>
        <w:t xml:space="preserve">. This is in line with findings from </w:t>
      </w:r>
      <w:proofErr w:type="spellStart"/>
      <w:r w:rsidRPr="00184051">
        <w:rPr>
          <w:rStyle w:val="normaltextrun"/>
        </w:rPr>
        <w:t>Coscini</w:t>
      </w:r>
      <w:proofErr w:type="spellEnd"/>
      <w:r w:rsidRPr="00184051">
        <w:rPr>
          <w:rStyle w:val="normaltextrun"/>
        </w:rPr>
        <w:t xml:space="preserve"> and colleagues (2022), who found the DAWBA to have reduced specificity in children presenting to a Social Communications Disorder Clinic</w:t>
      </w:r>
      <w:r w:rsidR="00507193">
        <w:rPr>
          <w:rStyle w:val="normaltextrun"/>
        </w:rPr>
        <w:t xml:space="preserve"> specialising in assessment of girls without learning disability</w:t>
      </w:r>
      <w:r w:rsidRPr="00184051">
        <w:rPr>
          <w:rStyle w:val="normaltextrun"/>
        </w:rPr>
        <w:t>. T</w:t>
      </w:r>
      <w:r w:rsidR="00507193">
        <w:rPr>
          <w:rStyle w:val="normaltextrun"/>
        </w:rPr>
        <w:t xml:space="preserve">he FTLB cohort </w:t>
      </w:r>
      <w:r w:rsidR="001D5589">
        <w:rPr>
          <w:rStyle w:val="normaltextrun"/>
        </w:rPr>
        <w:t xml:space="preserve">are more likely to be gender assigned females with preserved intellect and therefore </w:t>
      </w:r>
      <w:r w:rsidRPr="00184051">
        <w:rPr>
          <w:rStyle w:val="normaltextrun"/>
        </w:rPr>
        <w:t xml:space="preserve">the DAWBA </w:t>
      </w:r>
      <w:r w:rsidR="002C20F3">
        <w:rPr>
          <w:rStyle w:val="normaltextrun"/>
        </w:rPr>
        <w:t>is</w:t>
      </w:r>
      <w:r w:rsidRPr="00184051">
        <w:rPr>
          <w:rStyle w:val="normaltextrun"/>
        </w:rPr>
        <w:t xml:space="preserve"> not </w:t>
      </w:r>
      <w:r w:rsidR="0012614F">
        <w:rPr>
          <w:rStyle w:val="normaltextrun"/>
        </w:rPr>
        <w:t xml:space="preserve">a </w:t>
      </w:r>
      <w:r w:rsidRPr="00184051">
        <w:rPr>
          <w:rStyle w:val="normaltextrun"/>
        </w:rPr>
        <w:t>sufficient screen for ASD</w:t>
      </w:r>
      <w:r w:rsidR="0012614F">
        <w:rPr>
          <w:rStyle w:val="normaltextrun"/>
        </w:rPr>
        <w:t xml:space="preserve"> in</w:t>
      </w:r>
      <w:r w:rsidRPr="00184051">
        <w:rPr>
          <w:rStyle w:val="normaltextrun"/>
        </w:rPr>
        <w:t xml:space="preserve"> centres diagnosing FTLB. </w:t>
      </w:r>
    </w:p>
    <w:p w14:paraId="352F3303" w14:textId="77777777" w:rsidR="00736462" w:rsidRPr="00184051" w:rsidRDefault="00736462" w:rsidP="00184051">
      <w:pPr>
        <w:pStyle w:val="paragraph"/>
        <w:spacing w:before="0" w:beforeAutospacing="0" w:after="0" w:afterAutospacing="0"/>
        <w:textAlignment w:val="baseline"/>
        <w:rPr>
          <w:lang w:val="en-US"/>
        </w:rPr>
      </w:pPr>
      <w:r w:rsidRPr="00184051">
        <w:rPr>
          <w:rStyle w:val="eop"/>
          <w:rFonts w:eastAsia="Arial Unicode MS"/>
        </w:rPr>
        <w:t> </w:t>
      </w:r>
    </w:p>
    <w:p w14:paraId="6EC4CE75" w14:textId="77777777" w:rsidR="00736462" w:rsidRPr="00184051" w:rsidRDefault="00736462" w:rsidP="00184051">
      <w:pPr>
        <w:pStyle w:val="paragraph"/>
        <w:spacing w:before="0" w:beforeAutospacing="0" w:after="0" w:afterAutospacing="0"/>
        <w:textAlignment w:val="baseline"/>
      </w:pPr>
      <w:r w:rsidRPr="00184051">
        <w:rPr>
          <w:rStyle w:val="eop"/>
          <w:rFonts w:eastAsia="Arial Unicode MS"/>
        </w:rPr>
        <w:t> </w:t>
      </w:r>
    </w:p>
    <w:p w14:paraId="0F314C94" w14:textId="2FF01DCA" w:rsidR="00736462" w:rsidRPr="00184051" w:rsidRDefault="00736462" w:rsidP="0031433A">
      <w:pPr>
        <w:pStyle w:val="paragraph"/>
        <w:spacing w:before="0" w:beforeAutospacing="0" w:after="0" w:afterAutospacing="0"/>
        <w:ind w:hanging="720"/>
        <w:textAlignment w:val="baseline"/>
      </w:pPr>
      <w:r w:rsidRPr="00184051">
        <w:rPr>
          <w:rStyle w:val="normaltextrun"/>
          <w:b/>
          <w:bCs/>
        </w:rPr>
        <w:t>References</w:t>
      </w:r>
    </w:p>
    <w:p w14:paraId="36A4D386" w14:textId="3BB57A6F" w:rsidR="0031433A" w:rsidRPr="0031433A" w:rsidRDefault="0031433A" w:rsidP="0031433A">
      <w:pPr>
        <w:pStyle w:val="paragraph"/>
        <w:spacing w:before="0" w:beforeAutospacing="0" w:after="0" w:afterAutospacing="0"/>
        <w:ind w:hanging="720"/>
        <w:textAlignment w:val="baseline"/>
        <w:rPr>
          <w:shd w:val="clear" w:color="auto" w:fill="FFFFFF"/>
        </w:rPr>
      </w:pPr>
      <w:r w:rsidRPr="0031433A">
        <w:rPr>
          <w:rStyle w:val="normaltextrun"/>
          <w:shd w:val="clear" w:color="auto" w:fill="FFFFFF"/>
        </w:rPr>
        <w:t xml:space="preserve">Buts, S., Duncan, M., Owen, T., Martino, D., </w:t>
      </w:r>
      <w:proofErr w:type="spellStart"/>
      <w:r w:rsidRPr="0031433A">
        <w:rPr>
          <w:rStyle w:val="normaltextrun"/>
          <w:shd w:val="clear" w:color="auto" w:fill="FFFFFF"/>
        </w:rPr>
        <w:t>Pringsheim</w:t>
      </w:r>
      <w:proofErr w:type="spellEnd"/>
      <w:r w:rsidRPr="0031433A">
        <w:rPr>
          <w:rStyle w:val="normaltextrun"/>
          <w:shd w:val="clear" w:color="auto" w:fill="FFFFFF"/>
        </w:rPr>
        <w:t xml:space="preserve">, T., Byrne, S., ... &amp; </w:t>
      </w:r>
      <w:proofErr w:type="spellStart"/>
      <w:r w:rsidRPr="0031433A">
        <w:rPr>
          <w:rStyle w:val="normaltextrun"/>
          <w:shd w:val="clear" w:color="auto" w:fill="FFFFFF"/>
        </w:rPr>
        <w:t>Hedderly</w:t>
      </w:r>
      <w:proofErr w:type="spellEnd"/>
      <w:r w:rsidRPr="0031433A">
        <w:rPr>
          <w:rStyle w:val="normaltextrun"/>
          <w:shd w:val="clear" w:color="auto" w:fill="FFFFFF"/>
        </w:rPr>
        <w:t>, T.</w:t>
      </w:r>
      <w:r>
        <w:rPr>
          <w:rStyle w:val="normaltextrun"/>
          <w:shd w:val="clear" w:color="auto" w:fill="FFFFFF"/>
        </w:rPr>
        <w:t xml:space="preserve"> </w:t>
      </w:r>
      <w:r w:rsidRPr="0031433A">
        <w:rPr>
          <w:rStyle w:val="normaltextrun"/>
          <w:shd w:val="clear" w:color="auto" w:fill="FFFFFF"/>
        </w:rPr>
        <w:t>(2022). Paediatric tic-like presentations during the COVID-19 pandemic. </w:t>
      </w:r>
      <w:r w:rsidRPr="0031433A">
        <w:rPr>
          <w:rStyle w:val="normaltextrun"/>
          <w:i/>
          <w:iCs/>
          <w:shd w:val="clear" w:color="auto" w:fill="FFFFFF"/>
        </w:rPr>
        <w:t>Archives of disease in childhood</w:t>
      </w:r>
      <w:r w:rsidRPr="0031433A">
        <w:rPr>
          <w:rStyle w:val="normaltextrun"/>
          <w:shd w:val="clear" w:color="auto" w:fill="FFFFFF"/>
        </w:rPr>
        <w:t>, </w:t>
      </w:r>
      <w:r w:rsidRPr="0031433A">
        <w:rPr>
          <w:rStyle w:val="normaltextrun"/>
          <w:i/>
          <w:iCs/>
          <w:shd w:val="clear" w:color="auto" w:fill="FFFFFF"/>
        </w:rPr>
        <w:t>107</w:t>
      </w:r>
      <w:r w:rsidRPr="0031433A">
        <w:rPr>
          <w:rStyle w:val="normaltextrun"/>
          <w:shd w:val="clear" w:color="auto" w:fill="FFFFFF"/>
        </w:rPr>
        <w:t>(3), e17-e17.</w:t>
      </w:r>
    </w:p>
    <w:p w14:paraId="5FF6C1C1" w14:textId="23825B5F" w:rsidR="0031433A" w:rsidRPr="0031433A" w:rsidRDefault="0031433A" w:rsidP="0031433A">
      <w:pPr>
        <w:pStyle w:val="paragraph"/>
        <w:spacing w:before="0" w:beforeAutospacing="0" w:after="0" w:afterAutospacing="0"/>
        <w:ind w:hanging="720"/>
        <w:textAlignment w:val="baseline"/>
        <w:rPr>
          <w:rStyle w:val="eop"/>
          <w:shd w:val="clear" w:color="auto" w:fill="FFFFFF"/>
        </w:rPr>
      </w:pPr>
      <w:proofErr w:type="spellStart"/>
      <w:r w:rsidRPr="0031433A">
        <w:rPr>
          <w:rStyle w:val="normaltextrun"/>
          <w:shd w:val="clear" w:color="auto" w:fill="FFFFFF"/>
        </w:rPr>
        <w:t>Coscini</w:t>
      </w:r>
      <w:proofErr w:type="spellEnd"/>
      <w:r w:rsidRPr="0031433A">
        <w:rPr>
          <w:rStyle w:val="normaltextrun"/>
          <w:shd w:val="clear" w:color="auto" w:fill="FFFFFF"/>
        </w:rPr>
        <w:t xml:space="preserve">, N., Srinivasan, R., &amp; </w:t>
      </w:r>
      <w:proofErr w:type="spellStart"/>
      <w:r w:rsidRPr="0031433A">
        <w:rPr>
          <w:rStyle w:val="normaltextrun"/>
          <w:shd w:val="clear" w:color="auto" w:fill="FFFFFF"/>
        </w:rPr>
        <w:t>Skuse</w:t>
      </w:r>
      <w:proofErr w:type="spellEnd"/>
      <w:r w:rsidRPr="0031433A">
        <w:rPr>
          <w:rStyle w:val="normaltextrun"/>
          <w:shd w:val="clear" w:color="auto" w:fill="FFFFFF"/>
        </w:rPr>
        <w:t>, D. (2020). Validating the Developmental and Well-Being</w:t>
      </w:r>
      <w:r>
        <w:rPr>
          <w:rStyle w:val="normaltextrun"/>
          <w:shd w:val="clear" w:color="auto" w:fill="FFFFFF"/>
        </w:rPr>
        <w:t xml:space="preserve"> </w:t>
      </w:r>
      <w:r w:rsidRPr="0031433A">
        <w:rPr>
          <w:rStyle w:val="normaltextrun"/>
          <w:shd w:val="clear" w:color="auto" w:fill="FFFFFF"/>
        </w:rPr>
        <w:t>Assessment (DAWBA) in a clinical population with high-functioning</w:t>
      </w:r>
      <w:r>
        <w:rPr>
          <w:rStyle w:val="normaltextrun"/>
          <w:shd w:val="clear" w:color="auto" w:fill="FFFFFF"/>
        </w:rPr>
        <w:t xml:space="preserve"> </w:t>
      </w:r>
      <w:r w:rsidRPr="0031433A">
        <w:rPr>
          <w:rStyle w:val="normaltextrun"/>
          <w:shd w:val="clear" w:color="auto" w:fill="FFFFFF"/>
        </w:rPr>
        <w:t>autism. </w:t>
      </w:r>
      <w:r w:rsidRPr="0031433A">
        <w:rPr>
          <w:rStyle w:val="normaltextrun"/>
          <w:i/>
          <w:iCs/>
          <w:shd w:val="clear" w:color="auto" w:fill="FFFFFF"/>
        </w:rPr>
        <w:t>F1000Research</w:t>
      </w:r>
      <w:r w:rsidRPr="0031433A">
        <w:rPr>
          <w:rStyle w:val="normaltextrun"/>
          <w:shd w:val="clear" w:color="auto" w:fill="FFFFFF"/>
        </w:rPr>
        <w:t>, </w:t>
      </w:r>
      <w:r w:rsidRPr="0031433A">
        <w:rPr>
          <w:rStyle w:val="normaltextrun"/>
          <w:i/>
          <w:iCs/>
          <w:shd w:val="clear" w:color="auto" w:fill="FFFFFF"/>
        </w:rPr>
        <w:t>9</w:t>
      </w:r>
      <w:r w:rsidRPr="0031433A">
        <w:rPr>
          <w:rStyle w:val="normaltextrun"/>
          <w:shd w:val="clear" w:color="auto" w:fill="FFFFFF"/>
        </w:rPr>
        <w:t>, 622.</w:t>
      </w:r>
    </w:p>
    <w:p w14:paraId="50C2CC17" w14:textId="4C20BD48" w:rsidR="0031433A" w:rsidRDefault="0031433A" w:rsidP="0031433A">
      <w:pPr>
        <w:pStyle w:val="paragraph"/>
        <w:spacing w:before="0" w:beforeAutospacing="0" w:after="0" w:afterAutospacing="0"/>
        <w:ind w:hanging="720"/>
        <w:textAlignment w:val="baseline"/>
        <w:rPr>
          <w:shd w:val="clear" w:color="auto" w:fill="FFFFFF"/>
        </w:rPr>
      </w:pPr>
      <w:r w:rsidRPr="0031433A">
        <w:rPr>
          <w:shd w:val="clear" w:color="auto" w:fill="FFFFFF"/>
        </w:rPr>
        <w:t xml:space="preserve">Han, V. X., </w:t>
      </w:r>
      <w:proofErr w:type="spellStart"/>
      <w:r w:rsidRPr="0031433A">
        <w:rPr>
          <w:shd w:val="clear" w:color="auto" w:fill="FFFFFF"/>
        </w:rPr>
        <w:t>Kozlowska</w:t>
      </w:r>
      <w:proofErr w:type="spellEnd"/>
      <w:r w:rsidRPr="0031433A">
        <w:rPr>
          <w:shd w:val="clear" w:color="auto" w:fill="FFFFFF"/>
        </w:rPr>
        <w:t xml:space="preserve">, K., </w:t>
      </w:r>
      <w:proofErr w:type="spellStart"/>
      <w:r w:rsidRPr="0031433A">
        <w:rPr>
          <w:shd w:val="clear" w:color="auto" w:fill="FFFFFF"/>
        </w:rPr>
        <w:t>Kothur</w:t>
      </w:r>
      <w:proofErr w:type="spellEnd"/>
      <w:r w:rsidRPr="0031433A">
        <w:rPr>
          <w:shd w:val="clear" w:color="auto" w:fill="FFFFFF"/>
        </w:rPr>
        <w:t xml:space="preserve">, K., </w:t>
      </w:r>
      <w:proofErr w:type="spellStart"/>
      <w:r w:rsidRPr="0031433A">
        <w:rPr>
          <w:shd w:val="clear" w:color="auto" w:fill="FFFFFF"/>
        </w:rPr>
        <w:t>Lorentzos</w:t>
      </w:r>
      <w:proofErr w:type="spellEnd"/>
      <w:r w:rsidRPr="0031433A">
        <w:rPr>
          <w:shd w:val="clear" w:color="auto" w:fill="FFFFFF"/>
        </w:rPr>
        <w:t>, M., Wong, W. K., Mohammad, S. S., ... &amp;</w:t>
      </w:r>
      <w:r>
        <w:rPr>
          <w:shd w:val="clear" w:color="auto" w:fill="FFFFFF"/>
        </w:rPr>
        <w:t xml:space="preserve"> </w:t>
      </w:r>
      <w:r w:rsidRPr="0031433A">
        <w:rPr>
          <w:shd w:val="clear" w:color="auto" w:fill="FFFFFF"/>
        </w:rPr>
        <w:t>Dale, R. C. (2022). Rapid onset functional tic‐like behaviours in children and adolescents during</w:t>
      </w:r>
      <w:r>
        <w:rPr>
          <w:shd w:val="clear" w:color="auto" w:fill="FFFFFF"/>
        </w:rPr>
        <w:t xml:space="preserve"> </w:t>
      </w:r>
      <w:r w:rsidRPr="0031433A">
        <w:rPr>
          <w:shd w:val="clear" w:color="auto" w:fill="FFFFFF"/>
        </w:rPr>
        <w:t xml:space="preserve">COVID‐19: Clinical features, </w:t>
      </w:r>
      <w:proofErr w:type="gramStart"/>
      <w:r w:rsidRPr="0031433A">
        <w:rPr>
          <w:shd w:val="clear" w:color="auto" w:fill="FFFFFF"/>
        </w:rPr>
        <w:t>assessment</w:t>
      </w:r>
      <w:proofErr w:type="gramEnd"/>
      <w:r w:rsidRPr="0031433A">
        <w:rPr>
          <w:shd w:val="clear" w:color="auto" w:fill="FFFFFF"/>
        </w:rPr>
        <w:t xml:space="preserve"> and biopsychosocial</w:t>
      </w:r>
      <w:r>
        <w:rPr>
          <w:shd w:val="clear" w:color="auto" w:fill="FFFFFF"/>
        </w:rPr>
        <w:t xml:space="preserve"> </w:t>
      </w:r>
      <w:r w:rsidRPr="0031433A">
        <w:rPr>
          <w:shd w:val="clear" w:color="auto" w:fill="FFFFFF"/>
        </w:rPr>
        <w:t>treatment approach. </w:t>
      </w:r>
      <w:r w:rsidRPr="0031433A">
        <w:rPr>
          <w:i/>
          <w:iCs/>
          <w:shd w:val="clear" w:color="auto" w:fill="FFFFFF"/>
        </w:rPr>
        <w:t>Journal of</w:t>
      </w:r>
      <w:r>
        <w:rPr>
          <w:i/>
          <w:iCs/>
          <w:shd w:val="clear" w:color="auto" w:fill="FFFFFF"/>
        </w:rPr>
        <w:t xml:space="preserve"> </w:t>
      </w:r>
      <w:r w:rsidRPr="0031433A">
        <w:rPr>
          <w:i/>
          <w:iCs/>
          <w:shd w:val="clear" w:color="auto" w:fill="FFFFFF"/>
        </w:rPr>
        <w:t>Paediatrics and Child Health</w:t>
      </w:r>
      <w:r w:rsidRPr="0031433A">
        <w:rPr>
          <w:shd w:val="clear" w:color="auto" w:fill="FFFFFF"/>
        </w:rPr>
        <w:t>, </w:t>
      </w:r>
      <w:r w:rsidRPr="0031433A">
        <w:rPr>
          <w:i/>
          <w:iCs/>
          <w:shd w:val="clear" w:color="auto" w:fill="FFFFFF"/>
        </w:rPr>
        <w:t>58</w:t>
      </w:r>
      <w:r w:rsidRPr="0031433A">
        <w:rPr>
          <w:shd w:val="clear" w:color="auto" w:fill="FFFFFF"/>
        </w:rPr>
        <w:t>(7), 1181-1187.</w:t>
      </w:r>
    </w:p>
    <w:p w14:paraId="7DF864FD" w14:textId="22E75FA5" w:rsidR="0031433A" w:rsidRPr="0031433A" w:rsidRDefault="0031433A" w:rsidP="0031433A">
      <w:pPr>
        <w:pStyle w:val="paragraph"/>
        <w:spacing w:before="0" w:beforeAutospacing="0" w:after="0" w:afterAutospacing="0"/>
        <w:ind w:hanging="720"/>
        <w:textAlignment w:val="baseline"/>
        <w:rPr>
          <w:shd w:val="clear" w:color="auto" w:fill="FFFFFF"/>
        </w:rPr>
      </w:pPr>
      <w:r w:rsidRPr="0031433A">
        <w:rPr>
          <w:shd w:val="clear" w:color="auto" w:fill="FFFFFF"/>
        </w:rPr>
        <w:t xml:space="preserve">Martino, D., </w:t>
      </w:r>
      <w:proofErr w:type="spellStart"/>
      <w:r w:rsidRPr="0031433A">
        <w:rPr>
          <w:shd w:val="clear" w:color="auto" w:fill="FFFFFF"/>
        </w:rPr>
        <w:t>Hedderly</w:t>
      </w:r>
      <w:proofErr w:type="spellEnd"/>
      <w:r w:rsidRPr="0031433A">
        <w:rPr>
          <w:shd w:val="clear" w:color="auto" w:fill="FFFFFF"/>
        </w:rPr>
        <w:t>, T., Murphy, T., Müller‐</w:t>
      </w:r>
      <w:proofErr w:type="spellStart"/>
      <w:r w:rsidRPr="0031433A">
        <w:rPr>
          <w:shd w:val="clear" w:color="auto" w:fill="FFFFFF"/>
        </w:rPr>
        <w:t>Vahl</w:t>
      </w:r>
      <w:proofErr w:type="spellEnd"/>
      <w:r w:rsidRPr="0031433A">
        <w:rPr>
          <w:shd w:val="clear" w:color="auto" w:fill="FFFFFF"/>
        </w:rPr>
        <w:t>, K. R., Dale, R. C., Gilbert, D. L., ... &amp;</w:t>
      </w:r>
      <w:r>
        <w:rPr>
          <w:shd w:val="clear" w:color="auto" w:fill="FFFFFF"/>
        </w:rPr>
        <w:t xml:space="preserve"> </w:t>
      </w:r>
      <w:proofErr w:type="spellStart"/>
      <w:r w:rsidRPr="0031433A">
        <w:rPr>
          <w:shd w:val="clear" w:color="auto" w:fill="FFFFFF"/>
        </w:rPr>
        <w:t>Pringsheim</w:t>
      </w:r>
      <w:proofErr w:type="spellEnd"/>
      <w:r w:rsidRPr="0031433A">
        <w:rPr>
          <w:shd w:val="clear" w:color="auto" w:fill="FFFFFF"/>
        </w:rPr>
        <w:t>, T. M. (2023). The spectrum of functional tic‐like behaviours: Data from an</w:t>
      </w:r>
      <w:r>
        <w:rPr>
          <w:shd w:val="clear" w:color="auto" w:fill="FFFFFF"/>
        </w:rPr>
        <w:t xml:space="preserve"> </w:t>
      </w:r>
      <w:r w:rsidRPr="0031433A">
        <w:rPr>
          <w:shd w:val="clear" w:color="auto" w:fill="FFFFFF"/>
        </w:rPr>
        <w:t>international registry. </w:t>
      </w:r>
      <w:r w:rsidRPr="0031433A">
        <w:rPr>
          <w:i/>
          <w:iCs/>
          <w:shd w:val="clear" w:color="auto" w:fill="FFFFFF"/>
        </w:rPr>
        <w:t>European Journal of Neurology</w:t>
      </w:r>
      <w:r w:rsidRPr="0031433A">
        <w:rPr>
          <w:shd w:val="clear" w:color="auto" w:fill="FFFFFF"/>
        </w:rPr>
        <w:t>, </w:t>
      </w:r>
      <w:r w:rsidRPr="0031433A">
        <w:rPr>
          <w:i/>
          <w:iCs/>
          <w:shd w:val="clear" w:color="auto" w:fill="FFFFFF"/>
        </w:rPr>
        <w:t>30</w:t>
      </w:r>
      <w:r w:rsidRPr="0031433A">
        <w:rPr>
          <w:shd w:val="clear" w:color="auto" w:fill="FFFFFF"/>
        </w:rPr>
        <w:t>(2), 334-343.</w:t>
      </w:r>
    </w:p>
    <w:p w14:paraId="4E3CA6C1" w14:textId="77777777" w:rsidR="0031433A" w:rsidRDefault="0031433A" w:rsidP="0031433A">
      <w:pPr>
        <w:pStyle w:val="paragraph"/>
        <w:spacing w:before="0" w:beforeAutospacing="0" w:after="0" w:afterAutospacing="0"/>
        <w:ind w:hanging="720"/>
        <w:textAlignment w:val="baseline"/>
        <w:rPr>
          <w:shd w:val="clear" w:color="auto" w:fill="FFFFFF"/>
        </w:rPr>
      </w:pPr>
      <w:proofErr w:type="spellStart"/>
      <w:r w:rsidRPr="0031433A">
        <w:rPr>
          <w:color w:val="222222"/>
          <w:shd w:val="clear" w:color="auto" w:fill="FFFFFF"/>
        </w:rPr>
        <w:t>Pringsheim</w:t>
      </w:r>
      <w:proofErr w:type="spellEnd"/>
      <w:r w:rsidRPr="0031433A">
        <w:rPr>
          <w:color w:val="222222"/>
          <w:shd w:val="clear" w:color="auto" w:fill="FFFFFF"/>
        </w:rPr>
        <w:t xml:space="preserve">, T., </w:t>
      </w:r>
      <w:proofErr w:type="spellStart"/>
      <w:r w:rsidRPr="0031433A">
        <w:rPr>
          <w:color w:val="222222"/>
          <w:shd w:val="clear" w:color="auto" w:fill="FFFFFF"/>
        </w:rPr>
        <w:t>Ganos</w:t>
      </w:r>
      <w:proofErr w:type="spellEnd"/>
      <w:r w:rsidRPr="0031433A">
        <w:rPr>
          <w:color w:val="222222"/>
          <w:shd w:val="clear" w:color="auto" w:fill="FFFFFF"/>
        </w:rPr>
        <w:t xml:space="preserve">, C., </w:t>
      </w:r>
      <w:proofErr w:type="spellStart"/>
      <w:r w:rsidRPr="0031433A">
        <w:rPr>
          <w:color w:val="222222"/>
          <w:shd w:val="clear" w:color="auto" w:fill="FFFFFF"/>
        </w:rPr>
        <w:t>Nilles</w:t>
      </w:r>
      <w:proofErr w:type="spellEnd"/>
      <w:r w:rsidRPr="0031433A">
        <w:rPr>
          <w:color w:val="222222"/>
          <w:shd w:val="clear" w:color="auto" w:fill="FFFFFF"/>
        </w:rPr>
        <w:t xml:space="preserve">, C., </w:t>
      </w:r>
      <w:proofErr w:type="spellStart"/>
      <w:r w:rsidRPr="0031433A">
        <w:rPr>
          <w:color w:val="222222"/>
          <w:shd w:val="clear" w:color="auto" w:fill="FFFFFF"/>
        </w:rPr>
        <w:t>Cavanna</w:t>
      </w:r>
      <w:proofErr w:type="spellEnd"/>
      <w:r w:rsidRPr="0031433A">
        <w:rPr>
          <w:color w:val="222222"/>
          <w:shd w:val="clear" w:color="auto" w:fill="FFFFFF"/>
        </w:rPr>
        <w:t>, A. E., Gilbert, D. L., Greenberg, E., ... &amp; Martino, D.</w:t>
      </w:r>
      <w:r>
        <w:rPr>
          <w:color w:val="222222"/>
          <w:shd w:val="clear" w:color="auto" w:fill="FFFFFF"/>
        </w:rPr>
        <w:t xml:space="preserve"> </w:t>
      </w:r>
      <w:r w:rsidRPr="0031433A">
        <w:rPr>
          <w:color w:val="222222"/>
          <w:shd w:val="clear" w:color="auto" w:fill="FFFFFF"/>
        </w:rPr>
        <w:t>(2023). European Society for the Study of Tourette Syndrome 2022 criteria for clinical</w:t>
      </w:r>
      <w:r>
        <w:rPr>
          <w:color w:val="222222"/>
          <w:shd w:val="clear" w:color="auto" w:fill="FFFFFF"/>
        </w:rPr>
        <w:t xml:space="preserve"> </w:t>
      </w:r>
      <w:r w:rsidRPr="0031433A">
        <w:rPr>
          <w:color w:val="222222"/>
          <w:shd w:val="clear" w:color="auto" w:fill="FFFFFF"/>
        </w:rPr>
        <w:t>diagnosis of functional tic‐like behaviours: International consensus from experts in tic</w:t>
      </w:r>
      <w:r>
        <w:rPr>
          <w:color w:val="222222"/>
          <w:shd w:val="clear" w:color="auto" w:fill="FFFFFF"/>
        </w:rPr>
        <w:t xml:space="preserve"> </w:t>
      </w:r>
      <w:r w:rsidRPr="0031433A">
        <w:rPr>
          <w:color w:val="222222"/>
          <w:shd w:val="clear" w:color="auto" w:fill="FFFFFF"/>
        </w:rPr>
        <w:t>disorders. </w:t>
      </w:r>
      <w:r w:rsidRPr="0031433A">
        <w:rPr>
          <w:i/>
          <w:iCs/>
          <w:color w:val="222222"/>
          <w:shd w:val="clear" w:color="auto" w:fill="FFFFFF"/>
        </w:rPr>
        <w:t>European Journal of Neurology</w:t>
      </w:r>
      <w:r w:rsidRPr="0031433A">
        <w:rPr>
          <w:color w:val="222222"/>
          <w:shd w:val="clear" w:color="auto" w:fill="FFFFFF"/>
        </w:rPr>
        <w:t>.</w:t>
      </w:r>
    </w:p>
    <w:p w14:paraId="1FFDFA9C" w14:textId="0E2F78DE" w:rsidR="0031433A" w:rsidRPr="0031433A" w:rsidRDefault="0031433A" w:rsidP="0031433A">
      <w:pPr>
        <w:pStyle w:val="paragraph"/>
        <w:spacing w:before="0" w:beforeAutospacing="0" w:after="0" w:afterAutospacing="0"/>
        <w:ind w:hanging="720"/>
        <w:textAlignment w:val="baseline"/>
        <w:rPr>
          <w:rStyle w:val="normaltextrun"/>
          <w:shd w:val="clear" w:color="auto" w:fill="FFFFFF"/>
        </w:rPr>
      </w:pPr>
      <w:r w:rsidRPr="0031433A">
        <w:rPr>
          <w:rStyle w:val="normaltextrun"/>
          <w:shd w:val="clear" w:color="auto" w:fill="FFFFFF"/>
        </w:rPr>
        <w:t>Vasa, R. A., &amp; Mazurek, M. O. (2015). An update on anxiety in youth with autism spectrum</w:t>
      </w:r>
    </w:p>
    <w:p w14:paraId="78632E80" w14:textId="20F04EA7" w:rsidR="0031433A" w:rsidRPr="0031433A" w:rsidRDefault="0031433A" w:rsidP="0031433A">
      <w:pPr>
        <w:pStyle w:val="paragraph"/>
        <w:spacing w:before="0" w:beforeAutospacing="0" w:after="0" w:afterAutospacing="0"/>
        <w:textAlignment w:val="baseline"/>
        <w:rPr>
          <w:rFonts w:eastAsia="Arial Unicode MS"/>
        </w:rPr>
      </w:pPr>
      <w:r>
        <w:rPr>
          <w:rStyle w:val="normaltextrun"/>
          <w:shd w:val="clear" w:color="auto" w:fill="FFFFFF"/>
        </w:rPr>
        <w:t xml:space="preserve"> </w:t>
      </w:r>
      <w:r w:rsidRPr="0031433A">
        <w:rPr>
          <w:rStyle w:val="normaltextrun"/>
          <w:shd w:val="clear" w:color="auto" w:fill="FFFFFF"/>
        </w:rPr>
        <w:t>disorders. </w:t>
      </w:r>
      <w:r w:rsidRPr="0031433A">
        <w:rPr>
          <w:rStyle w:val="normaltextrun"/>
          <w:i/>
          <w:iCs/>
          <w:shd w:val="clear" w:color="auto" w:fill="FFFFFF"/>
        </w:rPr>
        <w:t>Current opinion in psychiatry</w:t>
      </w:r>
      <w:r w:rsidRPr="0031433A">
        <w:rPr>
          <w:rStyle w:val="normaltextrun"/>
          <w:shd w:val="clear" w:color="auto" w:fill="FFFFFF"/>
        </w:rPr>
        <w:t>, </w:t>
      </w:r>
      <w:r w:rsidRPr="0031433A">
        <w:rPr>
          <w:rStyle w:val="normaltextrun"/>
          <w:i/>
          <w:iCs/>
          <w:shd w:val="clear" w:color="auto" w:fill="FFFFFF"/>
        </w:rPr>
        <w:t>28</w:t>
      </w:r>
      <w:r w:rsidRPr="0031433A">
        <w:rPr>
          <w:rStyle w:val="normaltextrun"/>
          <w:shd w:val="clear" w:color="auto" w:fill="FFFFFF"/>
        </w:rPr>
        <w:t>(2), 83.</w:t>
      </w:r>
    </w:p>
    <w:p w14:paraId="4ABE7EF4" w14:textId="5C5BA976" w:rsidR="0031433A" w:rsidRPr="0031433A" w:rsidRDefault="0031433A" w:rsidP="0031433A">
      <w:pPr>
        <w:pStyle w:val="paragraph"/>
        <w:spacing w:before="0" w:beforeAutospacing="0" w:after="0" w:afterAutospacing="0"/>
        <w:ind w:hanging="720"/>
        <w:textAlignment w:val="baseline"/>
        <w:rPr>
          <w:shd w:val="clear" w:color="auto" w:fill="FFFFFF"/>
        </w:rPr>
      </w:pPr>
      <w:r w:rsidRPr="0031433A">
        <w:rPr>
          <w:rStyle w:val="normaltextrun"/>
          <w:shd w:val="clear" w:color="auto" w:fill="FFFFFF"/>
        </w:rPr>
        <w:t>Zener, D. (2019). Journey to diagnosis for women with autism. </w:t>
      </w:r>
      <w:r w:rsidRPr="0031433A">
        <w:rPr>
          <w:rStyle w:val="normaltextrun"/>
          <w:i/>
          <w:iCs/>
          <w:shd w:val="clear" w:color="auto" w:fill="FFFFFF"/>
        </w:rPr>
        <w:t>Advances in autism</w:t>
      </w:r>
      <w:r w:rsidRPr="0031433A">
        <w:rPr>
          <w:rStyle w:val="normaltextrun"/>
          <w:shd w:val="clear" w:color="auto" w:fill="FFFFFF"/>
        </w:rPr>
        <w:t>, </w:t>
      </w:r>
      <w:r w:rsidRPr="0031433A">
        <w:rPr>
          <w:rStyle w:val="normaltextrun"/>
          <w:i/>
          <w:iCs/>
          <w:shd w:val="clear" w:color="auto" w:fill="FFFFFF"/>
        </w:rPr>
        <w:t>5</w:t>
      </w:r>
      <w:r w:rsidRPr="0031433A">
        <w:rPr>
          <w:rStyle w:val="normaltextrun"/>
          <w:shd w:val="clear" w:color="auto" w:fill="FFFFFF"/>
        </w:rPr>
        <w:t>(1), 2-13</w:t>
      </w:r>
    </w:p>
    <w:p w14:paraId="19992696" w14:textId="2897DC24" w:rsidR="00736462" w:rsidRPr="0031433A" w:rsidRDefault="00736462" w:rsidP="0031433A">
      <w:pPr>
        <w:pStyle w:val="paragraph"/>
        <w:spacing w:before="0" w:beforeAutospacing="0" w:after="0" w:afterAutospacing="0"/>
        <w:ind w:hanging="720"/>
        <w:textAlignment w:val="baseline"/>
        <w:rPr>
          <w:lang w:val="en-US"/>
        </w:rPr>
      </w:pPr>
    </w:p>
    <w:p w14:paraId="2369F574" w14:textId="77777777" w:rsidR="00736462" w:rsidRPr="00184051" w:rsidRDefault="00736462" w:rsidP="00184051">
      <w:pPr>
        <w:pStyle w:val="paragraph"/>
        <w:spacing w:before="0" w:beforeAutospacing="0" w:after="0" w:afterAutospacing="0"/>
        <w:textAlignment w:val="baseline"/>
        <w:rPr>
          <w:lang w:val="en-US"/>
        </w:rPr>
      </w:pPr>
      <w:r w:rsidRPr="00184051">
        <w:rPr>
          <w:rStyle w:val="eop"/>
          <w:rFonts w:eastAsia="Arial Unicode MS"/>
        </w:rPr>
        <w:t> </w:t>
      </w:r>
    </w:p>
    <w:p w14:paraId="32FA1605" w14:textId="77777777" w:rsidR="00736462" w:rsidRPr="00184051" w:rsidRDefault="00736462" w:rsidP="00184051">
      <w:pPr>
        <w:pStyle w:val="paragraph"/>
        <w:spacing w:before="0" w:beforeAutospacing="0" w:after="0" w:afterAutospacing="0"/>
        <w:textAlignment w:val="baseline"/>
        <w:rPr>
          <w:lang w:val="en-US"/>
        </w:rPr>
      </w:pPr>
      <w:r w:rsidRPr="00184051">
        <w:rPr>
          <w:rStyle w:val="eop"/>
          <w:rFonts w:eastAsia="Arial Unicode MS"/>
        </w:rPr>
        <w:t> </w:t>
      </w:r>
    </w:p>
    <w:p w14:paraId="3F2B7E1B" w14:textId="77777777" w:rsidR="00736462" w:rsidRDefault="00736462" w:rsidP="00736462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  <w:lang w:val="en-US"/>
        </w:rPr>
      </w:pPr>
      <w:r>
        <w:rPr>
          <w:rStyle w:val="eop"/>
          <w:rFonts w:ascii="Calibri" w:eastAsia="Arial Unicode MS" w:hAnsi="Calibri" w:cs="Calibri"/>
          <w:sz w:val="22"/>
          <w:szCs w:val="22"/>
        </w:rPr>
        <w:t> </w:t>
      </w:r>
    </w:p>
    <w:p w14:paraId="13460137" w14:textId="6816B1F9" w:rsidR="004A2552" w:rsidRPr="002B255C" w:rsidRDefault="00000000" w:rsidP="002B255C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  <w:lang w:val="en-US"/>
        </w:rPr>
      </w:pPr>
    </w:p>
    <w:sectPr w:rsidR="004A2552" w:rsidRPr="002B255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A76BD2"/>
    <w:multiLevelType w:val="multilevel"/>
    <w:tmpl w:val="4BB493B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2D24566"/>
    <w:multiLevelType w:val="multilevel"/>
    <w:tmpl w:val="5D18F3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D7B788E"/>
    <w:multiLevelType w:val="multilevel"/>
    <w:tmpl w:val="5232CA0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9523B83"/>
    <w:multiLevelType w:val="multilevel"/>
    <w:tmpl w:val="88CED6A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2B3014B"/>
    <w:multiLevelType w:val="multilevel"/>
    <w:tmpl w:val="A9EC59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47123F92"/>
    <w:multiLevelType w:val="multilevel"/>
    <w:tmpl w:val="F5C4154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0DC1231"/>
    <w:multiLevelType w:val="multilevel"/>
    <w:tmpl w:val="0F464AD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24C4F6A"/>
    <w:multiLevelType w:val="multilevel"/>
    <w:tmpl w:val="D31C8D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9440355"/>
    <w:multiLevelType w:val="multilevel"/>
    <w:tmpl w:val="105E54D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4416910">
    <w:abstractNumId w:val="7"/>
  </w:num>
  <w:num w:numId="2" w16cid:durableId="595141800">
    <w:abstractNumId w:val="2"/>
  </w:num>
  <w:num w:numId="3" w16cid:durableId="1776708161">
    <w:abstractNumId w:val="3"/>
  </w:num>
  <w:num w:numId="4" w16cid:durableId="331641117">
    <w:abstractNumId w:val="1"/>
  </w:num>
  <w:num w:numId="5" w16cid:durableId="685401756">
    <w:abstractNumId w:val="5"/>
  </w:num>
  <w:num w:numId="6" w16cid:durableId="1100877392">
    <w:abstractNumId w:val="4"/>
  </w:num>
  <w:num w:numId="7" w16cid:durableId="858852590">
    <w:abstractNumId w:val="8"/>
  </w:num>
  <w:num w:numId="8" w16cid:durableId="778182218">
    <w:abstractNumId w:val="0"/>
  </w:num>
  <w:num w:numId="9" w16cid:durableId="56236904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6462"/>
    <w:rsid w:val="000F0312"/>
    <w:rsid w:val="0012614F"/>
    <w:rsid w:val="00184051"/>
    <w:rsid w:val="001D5589"/>
    <w:rsid w:val="002446F2"/>
    <w:rsid w:val="002610C1"/>
    <w:rsid w:val="00296DB5"/>
    <w:rsid w:val="002B255C"/>
    <w:rsid w:val="002C20F3"/>
    <w:rsid w:val="0031433A"/>
    <w:rsid w:val="003E190E"/>
    <w:rsid w:val="00507193"/>
    <w:rsid w:val="0059709A"/>
    <w:rsid w:val="005D03F4"/>
    <w:rsid w:val="00721E76"/>
    <w:rsid w:val="00736462"/>
    <w:rsid w:val="00A13FDC"/>
    <w:rsid w:val="00B84308"/>
    <w:rsid w:val="00BD5EBF"/>
    <w:rsid w:val="00D66D8E"/>
    <w:rsid w:val="00E656A8"/>
    <w:rsid w:val="00E87D32"/>
    <w:rsid w:val="00EC0E98"/>
    <w:rsid w:val="00F755BA"/>
    <w:rsid w:val="00F85A32"/>
    <w:rsid w:val="00FB10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1FBC98"/>
  <w15:chartTrackingRefBased/>
  <w15:docId w15:val="{D5FBE2B6-056D-4B4C-A7D8-8849D779BC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7364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normaltextrun">
    <w:name w:val="normaltextrun"/>
    <w:basedOn w:val="DefaultParagraphFont"/>
    <w:rsid w:val="00736462"/>
  </w:style>
  <w:style w:type="character" w:customStyle="1" w:styleId="eop">
    <w:name w:val="eop"/>
    <w:basedOn w:val="DefaultParagraphFont"/>
    <w:rsid w:val="00736462"/>
  </w:style>
  <w:style w:type="paragraph" w:styleId="CommentText">
    <w:name w:val="annotation text"/>
    <w:basedOn w:val="Normal"/>
    <w:link w:val="CommentTextChar"/>
    <w:uiPriority w:val="99"/>
    <w:semiHidden/>
    <w:unhideWhenUsed/>
    <w:rsid w:val="00184051"/>
    <w:pPr>
      <w:spacing w:after="0" w:line="240" w:lineRule="auto"/>
    </w:pPr>
    <w:rPr>
      <w:rFonts w:ascii="Times New Roman" w:eastAsia="Arial Unicode MS" w:hAnsi="Times New Roman" w:cs="Times New Roman"/>
      <w:sz w:val="24"/>
      <w:szCs w:val="24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84051"/>
    <w:rPr>
      <w:rFonts w:ascii="Times New Roman" w:eastAsia="Arial Unicode MS" w:hAnsi="Times New Roman" w:cs="Times New Roman"/>
      <w:sz w:val="24"/>
      <w:szCs w:val="24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184051"/>
    <w:rPr>
      <w:sz w:val="18"/>
      <w:szCs w:val="18"/>
    </w:rPr>
  </w:style>
  <w:style w:type="paragraph" w:styleId="Revision">
    <w:name w:val="Revision"/>
    <w:hidden/>
    <w:uiPriority w:val="99"/>
    <w:semiHidden/>
    <w:rsid w:val="005D03F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8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86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40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95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41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54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98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694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359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08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824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429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08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856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908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48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056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325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89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85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775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529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783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319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9725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61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9286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259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090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906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460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820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045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815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865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808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57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480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49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748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035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6060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60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6376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931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150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052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454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736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5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782</Words>
  <Characters>4459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Morvwen Duncan</dc:creator>
  <cp:keywords/>
  <dc:description/>
  <cp:lastModifiedBy>Morvwen Duncan</cp:lastModifiedBy>
  <cp:revision>2</cp:revision>
  <dcterms:created xsi:type="dcterms:W3CDTF">2023-04-07T09:40:00Z</dcterms:created>
  <dcterms:modified xsi:type="dcterms:W3CDTF">2023-04-07T09:40:00Z</dcterms:modified>
</cp:coreProperties>
</file>