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DE23" w14:textId="68B031D7" w:rsidR="00FD0C95" w:rsidRDefault="00E268A0" w:rsidP="00A96733">
      <w:pPr>
        <w:spacing w:line="360" w:lineRule="auto"/>
        <w:jc w:val="center"/>
        <w:rPr>
          <w:b/>
          <w:bCs/>
          <w:color w:val="000000"/>
          <w:sz w:val="27"/>
          <w:szCs w:val="27"/>
        </w:rPr>
      </w:pPr>
      <w:proofErr w:type="spellStart"/>
      <w:r w:rsidRPr="006D54DD">
        <w:rPr>
          <w:b/>
          <w:bCs/>
          <w:color w:val="000000"/>
          <w:sz w:val="27"/>
          <w:szCs w:val="27"/>
        </w:rPr>
        <w:t>Characterising</w:t>
      </w:r>
      <w:proofErr w:type="spellEnd"/>
      <w:r w:rsidRPr="006D54DD">
        <w:rPr>
          <w:b/>
          <w:bCs/>
          <w:color w:val="000000"/>
          <w:sz w:val="27"/>
          <w:szCs w:val="27"/>
        </w:rPr>
        <w:t xml:space="preserve"> </w:t>
      </w:r>
      <w:r w:rsidR="00DE6C53">
        <w:rPr>
          <w:b/>
          <w:bCs/>
          <w:color w:val="000000"/>
          <w:sz w:val="27"/>
          <w:szCs w:val="27"/>
        </w:rPr>
        <w:t>young people</w:t>
      </w:r>
      <w:r w:rsidRPr="006D54DD">
        <w:rPr>
          <w:b/>
          <w:bCs/>
          <w:color w:val="000000"/>
          <w:sz w:val="27"/>
          <w:szCs w:val="27"/>
        </w:rPr>
        <w:t xml:space="preserve"> with functional tic-like </w:t>
      </w:r>
      <w:proofErr w:type="spellStart"/>
      <w:r w:rsidRPr="006D54DD">
        <w:rPr>
          <w:b/>
          <w:bCs/>
          <w:color w:val="000000"/>
          <w:sz w:val="27"/>
          <w:szCs w:val="27"/>
        </w:rPr>
        <w:t>behaviours</w:t>
      </w:r>
      <w:proofErr w:type="spellEnd"/>
      <w:r w:rsidRPr="006D54DD">
        <w:rPr>
          <w:b/>
          <w:bCs/>
          <w:color w:val="000000"/>
          <w:sz w:val="27"/>
          <w:szCs w:val="27"/>
        </w:rPr>
        <w:t xml:space="preserve"> in the context of functional symptoms: preliminary data analysis</w:t>
      </w:r>
    </w:p>
    <w:p w14:paraId="72BAA599" w14:textId="4CBEA3C7" w:rsidR="00BC248C" w:rsidRDefault="00FD0C95" w:rsidP="7071E8BF">
      <w:pPr>
        <w:autoSpaceDE w:val="0"/>
        <w:autoSpaceDN w:val="0"/>
        <w:adjustRightInd w:val="0"/>
        <w:jc w:val="center"/>
        <w:rPr>
          <w:color w:val="000000"/>
        </w:rPr>
      </w:pPr>
      <w:r w:rsidRPr="006D54DD">
        <w:rPr>
          <w:color w:val="000000"/>
          <w:u w:val="single" w:color="000000"/>
        </w:rPr>
        <w:t>Miles Frankland</w:t>
      </w:r>
      <w:r w:rsidRPr="006D54DD">
        <w:rPr>
          <w:color w:val="000000"/>
          <w:vertAlign w:val="superscript"/>
        </w:rPr>
        <w:t>1</w:t>
      </w:r>
      <w:r w:rsidRPr="006D54DD">
        <w:rPr>
          <w:color w:val="000000"/>
        </w:rPr>
        <w:t>, Matteo Catanzano</w:t>
      </w:r>
      <w:r w:rsidRPr="006D54DD">
        <w:rPr>
          <w:color w:val="000000"/>
          <w:vertAlign w:val="superscript"/>
        </w:rPr>
        <w:t>1,2</w:t>
      </w:r>
      <w:r w:rsidRPr="006D54DD">
        <w:rPr>
          <w:color w:val="000000"/>
        </w:rPr>
        <w:t>,</w:t>
      </w:r>
      <w:r w:rsidR="00104E6D">
        <w:rPr>
          <w:color w:val="000000"/>
        </w:rPr>
        <w:t xml:space="preserve"> </w:t>
      </w:r>
      <w:r w:rsidR="00674571" w:rsidRPr="006D54DD">
        <w:rPr>
          <w:color w:val="000000"/>
        </w:rPr>
        <w:t>Abbie Smith</w:t>
      </w:r>
      <w:r w:rsidR="00674571" w:rsidRPr="006D54DD">
        <w:rPr>
          <w:color w:val="000000"/>
          <w:vertAlign w:val="superscript"/>
        </w:rPr>
        <w:t>2</w:t>
      </w:r>
      <w:r w:rsidR="00674571">
        <w:rPr>
          <w:color w:val="000000"/>
        </w:rPr>
        <w:t xml:space="preserve">, </w:t>
      </w:r>
      <w:proofErr w:type="spellStart"/>
      <w:r w:rsidR="15FC0224">
        <w:rPr>
          <w:color w:val="000000"/>
        </w:rPr>
        <w:t>Morvwen</w:t>
      </w:r>
      <w:proofErr w:type="spellEnd"/>
      <w:r w:rsidR="15FC0224">
        <w:rPr>
          <w:color w:val="000000"/>
        </w:rPr>
        <w:t xml:space="preserve"> Duncan</w:t>
      </w:r>
      <w:r w:rsidR="7D1724AD" w:rsidRPr="7071E8BF">
        <w:rPr>
          <w:color w:val="000000" w:themeColor="text1"/>
          <w:vertAlign w:val="superscript"/>
        </w:rPr>
        <w:t>2,</w:t>
      </w:r>
      <w:r w:rsidR="7D1724AD" w:rsidRPr="7071E8BF">
        <w:rPr>
          <w:color w:val="000000" w:themeColor="text1"/>
        </w:rPr>
        <w:t xml:space="preserve"> </w:t>
      </w:r>
      <w:r w:rsidR="00F60103">
        <w:rPr>
          <w:rFonts w:eastAsia="Times New Roman"/>
          <w:bdr w:val="none" w:sz="0" w:space="0" w:color="auto" w:frame="1"/>
          <w:lang w:eastAsia="da-DK"/>
        </w:rPr>
        <w:t>Eve McAllister</w:t>
      </w:r>
      <w:r w:rsidR="00F60103" w:rsidRPr="006D54DD">
        <w:rPr>
          <w:color w:val="000000"/>
          <w:vertAlign w:val="superscript"/>
        </w:rPr>
        <w:t>2</w:t>
      </w:r>
      <w:r w:rsidR="00F60103">
        <w:rPr>
          <w:rFonts w:eastAsia="Times New Roman"/>
          <w:bdr w:val="none" w:sz="0" w:space="0" w:color="auto" w:frame="1"/>
          <w:lang w:eastAsia="da-DK"/>
        </w:rPr>
        <w:t>, Maria Hadji-Michael</w:t>
      </w:r>
      <w:r w:rsidR="00F60103" w:rsidRPr="006D54DD">
        <w:rPr>
          <w:color w:val="000000"/>
          <w:vertAlign w:val="superscript"/>
        </w:rPr>
        <w:t>2</w:t>
      </w:r>
      <w:r w:rsidR="00F60103">
        <w:rPr>
          <w:rFonts w:eastAsia="Times New Roman"/>
          <w:bdr w:val="none" w:sz="0" w:space="0" w:color="auto" w:frame="1"/>
          <w:lang w:eastAsia="da-DK"/>
        </w:rPr>
        <w:t xml:space="preserve">, </w:t>
      </w:r>
      <w:proofErr w:type="spellStart"/>
      <w:r w:rsidR="00F60103">
        <w:rPr>
          <w:rFonts w:eastAsia="Times New Roman"/>
          <w:bdr w:val="none" w:sz="0" w:space="0" w:color="auto" w:frame="1"/>
          <w:lang w:eastAsia="da-DK"/>
        </w:rPr>
        <w:t>Nimmi</w:t>
      </w:r>
      <w:proofErr w:type="spellEnd"/>
      <w:r w:rsidR="00F60103">
        <w:rPr>
          <w:rFonts w:eastAsia="Times New Roman"/>
          <w:bdr w:val="none" w:sz="0" w:space="0" w:color="auto" w:frame="1"/>
          <w:lang w:eastAsia="da-DK"/>
        </w:rPr>
        <w:t xml:space="preserve"> Parikh</w:t>
      </w:r>
      <w:r w:rsidR="00F60103" w:rsidRPr="006D54DD">
        <w:rPr>
          <w:color w:val="000000"/>
          <w:vertAlign w:val="superscript"/>
        </w:rPr>
        <w:t>2</w:t>
      </w:r>
      <w:r w:rsidR="00F60103">
        <w:rPr>
          <w:rFonts w:eastAsia="Times New Roman"/>
          <w:bdr w:val="none" w:sz="0" w:space="0" w:color="auto" w:frame="1"/>
          <w:lang w:eastAsia="da-DK"/>
        </w:rPr>
        <w:t>, Sara Shavel-Jessop</w:t>
      </w:r>
      <w:r w:rsidR="00F60103" w:rsidRPr="006D54DD">
        <w:rPr>
          <w:color w:val="000000"/>
          <w:vertAlign w:val="superscript"/>
        </w:rPr>
        <w:t>2</w:t>
      </w:r>
      <w:r w:rsidR="00F60103">
        <w:rPr>
          <w:rFonts w:eastAsia="Times New Roman"/>
          <w:bdr w:val="none" w:sz="0" w:space="0" w:color="auto" w:frame="1"/>
          <w:lang w:eastAsia="da-DK"/>
        </w:rPr>
        <w:t>, Tara Murphy</w:t>
      </w:r>
      <w:r w:rsidR="00F60103" w:rsidRPr="006D54DD">
        <w:rPr>
          <w:color w:val="000000"/>
          <w:vertAlign w:val="superscript"/>
        </w:rPr>
        <w:t>2</w:t>
      </w:r>
      <w:r w:rsidR="00104E6D">
        <w:rPr>
          <w:color w:val="000000"/>
        </w:rPr>
        <w:t>,</w:t>
      </w:r>
      <w:r w:rsidR="00F60103" w:rsidRPr="00F60103">
        <w:rPr>
          <w:color w:val="000000"/>
        </w:rPr>
        <w:t xml:space="preserve"> </w:t>
      </w:r>
      <w:r w:rsidR="00F60103">
        <w:rPr>
          <w:color w:val="000000"/>
        </w:rPr>
        <w:t>Lila Simpson</w:t>
      </w:r>
      <w:r w:rsidR="00F60103" w:rsidRPr="006D54DD">
        <w:rPr>
          <w:color w:val="000000"/>
          <w:vertAlign w:val="superscript"/>
        </w:rPr>
        <w:t>2</w:t>
      </w:r>
      <w:r w:rsidR="00F60103">
        <w:rPr>
          <w:color w:val="000000"/>
        </w:rPr>
        <w:t>,</w:t>
      </w:r>
      <w:r w:rsidR="00104E6D">
        <w:rPr>
          <w:color w:val="000000"/>
        </w:rPr>
        <w:t xml:space="preserve"> </w:t>
      </w:r>
      <w:r w:rsidRPr="006D54DD">
        <w:rPr>
          <w:color w:val="000000"/>
        </w:rPr>
        <w:t>Isobel Heyman</w:t>
      </w:r>
      <w:r w:rsidRPr="006D54DD">
        <w:rPr>
          <w:color w:val="000000"/>
          <w:vertAlign w:val="superscript"/>
        </w:rPr>
        <w:t xml:space="preserve"> 1,2</w:t>
      </w:r>
      <w:r w:rsidRPr="006D54DD">
        <w:rPr>
          <w:color w:val="000000"/>
        </w:rPr>
        <w:t xml:space="preserve">, </w:t>
      </w:r>
      <w:proofErr w:type="spellStart"/>
      <w:r w:rsidR="00104E6D" w:rsidRPr="006D54DD">
        <w:rPr>
          <w:color w:val="000000"/>
        </w:rPr>
        <w:t>Holan</w:t>
      </w:r>
      <w:proofErr w:type="spellEnd"/>
      <w:r w:rsidR="00104E6D" w:rsidRPr="006D54DD">
        <w:rPr>
          <w:color w:val="000000"/>
        </w:rPr>
        <w:t xml:space="preserve"> Liang</w:t>
      </w:r>
      <w:r w:rsidR="00104E6D" w:rsidRPr="006D54DD">
        <w:rPr>
          <w:color w:val="000000"/>
          <w:vertAlign w:val="superscript"/>
        </w:rPr>
        <w:t xml:space="preserve"> 1,2</w:t>
      </w:r>
      <w:r w:rsidR="00104E6D">
        <w:rPr>
          <w:color w:val="000000"/>
        </w:rPr>
        <w:t xml:space="preserve"> &amp; S</w:t>
      </w:r>
      <w:r w:rsidRPr="006D54DD">
        <w:rPr>
          <w:color w:val="000000"/>
        </w:rPr>
        <w:t>acha Evans</w:t>
      </w:r>
      <w:r w:rsidRPr="006D54DD">
        <w:rPr>
          <w:color w:val="000000"/>
          <w:vertAlign w:val="superscript"/>
        </w:rPr>
        <w:t>2</w:t>
      </w:r>
      <w:r w:rsidRPr="006D54DD">
        <w:rPr>
          <w:color w:val="000000"/>
        </w:rPr>
        <w:t xml:space="preserve"> </w:t>
      </w:r>
    </w:p>
    <w:p w14:paraId="39904A59" w14:textId="77777777" w:rsidR="00FD6514" w:rsidRPr="006D54DD" w:rsidRDefault="00FD6514" w:rsidP="00BC248C">
      <w:pPr>
        <w:autoSpaceDE w:val="0"/>
        <w:autoSpaceDN w:val="0"/>
        <w:adjustRightInd w:val="0"/>
        <w:jc w:val="center"/>
        <w:rPr>
          <w:color w:val="000000"/>
          <w:u w:color="000000"/>
        </w:rPr>
      </w:pPr>
    </w:p>
    <w:p w14:paraId="04A3520F" w14:textId="3D695C54" w:rsidR="001D1187" w:rsidRPr="001D1187" w:rsidRDefault="001A16B8" w:rsidP="001D1187">
      <w:pPr>
        <w:autoSpaceDE w:val="0"/>
        <w:autoSpaceDN w:val="0"/>
        <w:adjustRightInd w:val="0"/>
        <w:jc w:val="center"/>
        <w:rPr>
          <w:color w:val="000000"/>
          <w:u w:color="000000"/>
        </w:rPr>
      </w:pPr>
      <w:r w:rsidRPr="006D54DD">
        <w:rPr>
          <w:color w:val="000000"/>
          <w:u w:color="000000"/>
          <w:vertAlign w:val="superscript"/>
        </w:rPr>
        <w:t xml:space="preserve">1 </w:t>
      </w:r>
      <w:r w:rsidRPr="006D54DD">
        <w:rPr>
          <w:color w:val="000000"/>
          <w:u w:color="000000"/>
        </w:rPr>
        <w:t>University College London Great Ormond Street Institute of Child Health, London, UK  </w:t>
      </w:r>
      <w:r w:rsidR="00A96733" w:rsidRPr="008C69FC">
        <w:rPr>
          <w:rFonts w:eastAsia="Times New Roman"/>
          <w:lang w:eastAsia="da-DK"/>
        </w:rPr>
        <w:br/>
      </w:r>
      <w:r w:rsidR="001D1187" w:rsidRPr="006D54DD">
        <w:rPr>
          <w:color w:val="000000"/>
          <w:u w:color="000000"/>
          <w:vertAlign w:val="superscript"/>
        </w:rPr>
        <w:t>2</w:t>
      </w:r>
      <w:r w:rsidR="001D1187" w:rsidRPr="006D54DD">
        <w:rPr>
          <w:color w:val="000000"/>
          <w:u w:color="000000"/>
        </w:rPr>
        <w:t xml:space="preserve"> Tic Disorder Service, Psychological and Mental Health Services, Great Ormond Street Hospital </w:t>
      </w:r>
    </w:p>
    <w:p w14:paraId="2AD44461" w14:textId="088FB570" w:rsidR="00A96733" w:rsidRPr="008C69FC" w:rsidRDefault="00A96733" w:rsidP="00A96733">
      <w:pPr>
        <w:pBdr>
          <w:bottom w:val="single" w:sz="12" w:space="1" w:color="auto"/>
        </w:pBdr>
        <w:spacing w:line="360" w:lineRule="auto"/>
        <w:jc w:val="center"/>
        <w:rPr>
          <w:rFonts w:eastAsia="Times New Roman"/>
          <w:lang w:eastAsia="da-DK"/>
        </w:rPr>
      </w:pPr>
    </w:p>
    <w:p w14:paraId="2C4FF789" w14:textId="77777777" w:rsidR="00A96733" w:rsidRPr="008C69FC" w:rsidRDefault="00A96733" w:rsidP="00A96733">
      <w:pPr>
        <w:rPr>
          <w:rFonts w:eastAsia="MS Mincho"/>
          <w:lang w:eastAsia="da-DK"/>
        </w:rPr>
      </w:pPr>
    </w:p>
    <w:p w14:paraId="2786CFB1" w14:textId="77777777" w:rsidR="00003419" w:rsidRPr="006D54DD" w:rsidRDefault="00003419" w:rsidP="00A01A3A">
      <w:pPr>
        <w:autoSpaceDE w:val="0"/>
        <w:autoSpaceDN w:val="0"/>
        <w:adjustRightInd w:val="0"/>
        <w:jc w:val="both"/>
        <w:rPr>
          <w:rFonts w:ascii="SegoeUI" w:hAnsi="SegoeUI" w:cs="SegoeUI"/>
          <w:color w:val="000000"/>
          <w:u w:color="000000"/>
        </w:rPr>
      </w:pPr>
      <w:r w:rsidRPr="006D54DD">
        <w:rPr>
          <w:b/>
          <w:bCs/>
          <w:color w:val="000000"/>
          <w:u w:color="000000"/>
        </w:rPr>
        <w:t>Background:</w:t>
      </w:r>
      <w:r w:rsidRPr="006D54DD">
        <w:rPr>
          <w:color w:val="000000"/>
          <w:u w:color="000000"/>
        </w:rPr>
        <w:t> </w:t>
      </w:r>
    </w:p>
    <w:p w14:paraId="79DA8773" w14:textId="36FB6978" w:rsidR="00003419" w:rsidRDefault="00003419" w:rsidP="00A01A3A">
      <w:pPr>
        <w:autoSpaceDE w:val="0"/>
        <w:autoSpaceDN w:val="0"/>
        <w:adjustRightInd w:val="0"/>
        <w:jc w:val="both"/>
        <w:rPr>
          <w:color w:val="000000"/>
        </w:rPr>
      </w:pPr>
      <w:r w:rsidRPr="6B906144">
        <w:rPr>
          <w:color w:val="000000" w:themeColor="text1"/>
        </w:rPr>
        <w:t xml:space="preserve">Functional tic-like </w:t>
      </w:r>
      <w:proofErr w:type="spellStart"/>
      <w:r w:rsidRPr="6B906144">
        <w:rPr>
          <w:color w:val="000000" w:themeColor="text1"/>
        </w:rPr>
        <w:t>behaviours</w:t>
      </w:r>
      <w:proofErr w:type="spellEnd"/>
      <w:r w:rsidRPr="6B906144">
        <w:rPr>
          <w:color w:val="000000" w:themeColor="text1"/>
        </w:rPr>
        <w:t xml:space="preserve"> (FTLBs) are </w:t>
      </w:r>
      <w:proofErr w:type="spellStart"/>
      <w:r w:rsidRPr="6B906144">
        <w:rPr>
          <w:color w:val="000000" w:themeColor="text1"/>
        </w:rPr>
        <w:t>characterised</w:t>
      </w:r>
      <w:proofErr w:type="spellEnd"/>
      <w:r w:rsidRPr="6B906144">
        <w:rPr>
          <w:color w:val="000000" w:themeColor="text1"/>
        </w:rPr>
        <w:t xml:space="preserve"> by multiple complex vocal and motor tics with rapid onset, usually from age 12. </w:t>
      </w:r>
      <w:r w:rsidR="005F7DD3" w:rsidRPr="6B906144">
        <w:rPr>
          <w:color w:val="000000" w:themeColor="text1"/>
        </w:rPr>
        <w:t xml:space="preserve">They </w:t>
      </w:r>
      <w:r w:rsidRPr="6B906144">
        <w:rPr>
          <w:color w:val="000000" w:themeColor="text1"/>
        </w:rPr>
        <w:t>lack the typical rostro</w:t>
      </w:r>
      <w:r w:rsidR="00DE6C53" w:rsidRPr="6B906144">
        <w:rPr>
          <w:color w:val="000000" w:themeColor="text1"/>
        </w:rPr>
        <w:t>-</w:t>
      </w:r>
      <w:r w:rsidRPr="6B906144">
        <w:rPr>
          <w:color w:val="000000" w:themeColor="text1"/>
        </w:rPr>
        <w:t xml:space="preserve">caudal progression, premonitory urge, suppressibility and medication response seen in classic tics </w:t>
      </w:r>
      <w:r w:rsidR="005F7DD3" w:rsidRPr="6B906144">
        <w:rPr>
          <w:color w:val="000000" w:themeColor="text1"/>
        </w:rPr>
        <w:t xml:space="preserve">and are considered a subtype of functional neurological disorder (FND) </w:t>
      </w:r>
      <w:r w:rsidRPr="6B906144">
        <w:rPr>
          <w:color w:val="000000" w:themeColor="text1"/>
        </w:rPr>
        <w:t>(</w:t>
      </w:r>
      <w:proofErr w:type="spellStart"/>
      <w:r w:rsidRPr="6B906144">
        <w:rPr>
          <w:color w:val="000000" w:themeColor="text1"/>
        </w:rPr>
        <w:t>Pringsheim</w:t>
      </w:r>
      <w:proofErr w:type="spellEnd"/>
      <w:r w:rsidRPr="6B906144">
        <w:rPr>
          <w:color w:val="000000" w:themeColor="text1"/>
        </w:rPr>
        <w:t xml:space="preserve"> et al., 202</w:t>
      </w:r>
      <w:r w:rsidR="6A3FAB4E" w:rsidRPr="6B906144">
        <w:rPr>
          <w:color w:val="000000" w:themeColor="text1"/>
        </w:rPr>
        <w:t>3</w:t>
      </w:r>
      <w:r w:rsidRPr="6B906144">
        <w:rPr>
          <w:color w:val="000000" w:themeColor="text1"/>
        </w:rPr>
        <w:t>). FND has been defined as altered sensory or voluntary function aris</w:t>
      </w:r>
      <w:r w:rsidR="009923E4" w:rsidRPr="6B906144">
        <w:rPr>
          <w:color w:val="000000" w:themeColor="text1"/>
        </w:rPr>
        <w:t>ing</w:t>
      </w:r>
      <w:r w:rsidRPr="6B906144">
        <w:rPr>
          <w:color w:val="000000" w:themeColor="text1"/>
        </w:rPr>
        <w:t xml:space="preserve"> from changes to nervous system functioning rather than a clearly identifiable pathophysiologic disease (Yong et al., 2023)</w:t>
      </w:r>
      <w:r w:rsidR="00DE6C53" w:rsidRPr="6B906144">
        <w:rPr>
          <w:color w:val="000000" w:themeColor="text1"/>
        </w:rPr>
        <w:t xml:space="preserve">. FTLBs are heterogeneous in presentation and can significantly impact functioning. </w:t>
      </w:r>
      <w:r w:rsidR="005F7DD3" w:rsidRPr="6B906144">
        <w:rPr>
          <w:color w:val="000000" w:themeColor="text1"/>
        </w:rPr>
        <w:t xml:space="preserve">Existing literature suggests that </w:t>
      </w:r>
      <w:r w:rsidRPr="6B906144">
        <w:rPr>
          <w:color w:val="000000" w:themeColor="text1"/>
        </w:rPr>
        <w:t>32% of young people with FTLBs have comorbid functional symptoms (FS) (Martino et al., 2022). This study aimed to establish demographic characteristics, comorbidities, tic severity and impact on functioning in a FTLB-FS cohort.  </w:t>
      </w:r>
    </w:p>
    <w:p w14:paraId="65B73780" w14:textId="77777777" w:rsidR="005F7DD3" w:rsidRPr="006D54DD" w:rsidRDefault="005F7DD3" w:rsidP="00A01A3A">
      <w:pPr>
        <w:autoSpaceDE w:val="0"/>
        <w:autoSpaceDN w:val="0"/>
        <w:adjustRightInd w:val="0"/>
        <w:jc w:val="both"/>
        <w:rPr>
          <w:rFonts w:ascii="SegoeUI" w:hAnsi="SegoeUI" w:cs="SegoeUI"/>
          <w:color w:val="000000"/>
          <w:u w:color="000000"/>
        </w:rPr>
      </w:pPr>
    </w:p>
    <w:p w14:paraId="4F8B31ED" w14:textId="77777777" w:rsidR="00003419" w:rsidRPr="006D54DD" w:rsidRDefault="00003419" w:rsidP="00A01A3A">
      <w:pPr>
        <w:autoSpaceDE w:val="0"/>
        <w:autoSpaceDN w:val="0"/>
        <w:adjustRightInd w:val="0"/>
        <w:jc w:val="both"/>
        <w:rPr>
          <w:rFonts w:ascii="SegoeUI" w:hAnsi="SegoeUI" w:cs="SegoeUI"/>
          <w:color w:val="000000"/>
          <w:u w:color="000000"/>
        </w:rPr>
      </w:pPr>
      <w:r w:rsidRPr="006D54DD">
        <w:rPr>
          <w:b/>
          <w:bCs/>
          <w:color w:val="000000"/>
          <w:u w:color="000000"/>
        </w:rPr>
        <w:t>Methods:</w:t>
      </w:r>
      <w:r w:rsidRPr="006D54DD">
        <w:rPr>
          <w:color w:val="000000"/>
          <w:u w:color="000000"/>
        </w:rPr>
        <w:t> </w:t>
      </w:r>
    </w:p>
    <w:p w14:paraId="2A072159" w14:textId="6B4EC3DB" w:rsidR="00003419" w:rsidRDefault="00003419" w:rsidP="00A01A3A">
      <w:pPr>
        <w:autoSpaceDE w:val="0"/>
        <w:autoSpaceDN w:val="0"/>
        <w:adjustRightInd w:val="0"/>
        <w:jc w:val="both"/>
        <w:rPr>
          <w:color w:val="000000"/>
          <w:u w:color="000000"/>
        </w:rPr>
      </w:pPr>
      <w:r w:rsidRPr="006D54DD">
        <w:rPr>
          <w:color w:val="000000"/>
          <w:u w:color="000000"/>
        </w:rPr>
        <w:t xml:space="preserve">A retrospective case series of </w:t>
      </w:r>
      <w:r w:rsidR="00DE6C53">
        <w:rPr>
          <w:color w:val="000000"/>
          <w:u w:color="000000"/>
        </w:rPr>
        <w:t>twenty-six</w:t>
      </w:r>
      <w:r w:rsidRPr="006D54DD">
        <w:rPr>
          <w:color w:val="000000"/>
          <w:u w:color="000000"/>
        </w:rPr>
        <w:t xml:space="preserve"> young people with a prior diagnosis or history of additional FS and diagnosed with FTLBs by a specialist tic clinic between October 2021 and December 2022 is described. Demographics (age, gender) and comorbid diagnoses were collected. Tic severity was assessed via the Yale Global Tic Severity Scale (YGTSS). Impact on functioning was assessed using the Children’s Global Assessment Scale (CGAS), school attendance and adjunct use (e.g., wheelchairs, crutches</w:t>
      </w:r>
      <w:r w:rsidR="00DE6C53">
        <w:rPr>
          <w:color w:val="000000"/>
          <w:u w:color="000000"/>
        </w:rPr>
        <w:t>, nasogastric tubes</w:t>
      </w:r>
      <w:r w:rsidRPr="006D54DD">
        <w:rPr>
          <w:color w:val="000000"/>
          <w:u w:color="000000"/>
        </w:rPr>
        <w:t>). Data was extracted from clinical records. </w:t>
      </w:r>
    </w:p>
    <w:p w14:paraId="0C3664DF" w14:textId="77777777" w:rsidR="009923E4" w:rsidRPr="006D54DD" w:rsidRDefault="009923E4" w:rsidP="00A01A3A">
      <w:pPr>
        <w:autoSpaceDE w:val="0"/>
        <w:autoSpaceDN w:val="0"/>
        <w:adjustRightInd w:val="0"/>
        <w:jc w:val="both"/>
        <w:rPr>
          <w:rFonts w:ascii="SegoeUI" w:hAnsi="SegoeUI" w:cs="SegoeUI"/>
          <w:color w:val="000000"/>
          <w:u w:color="000000"/>
        </w:rPr>
      </w:pPr>
    </w:p>
    <w:p w14:paraId="6E971B69" w14:textId="471F9B52" w:rsidR="00003419" w:rsidRDefault="00003419" w:rsidP="00A01A3A">
      <w:pPr>
        <w:autoSpaceDE w:val="0"/>
        <w:autoSpaceDN w:val="0"/>
        <w:adjustRightInd w:val="0"/>
        <w:jc w:val="both"/>
        <w:rPr>
          <w:color w:val="000000"/>
          <w:u w:color="000000"/>
        </w:rPr>
      </w:pPr>
      <w:r w:rsidRPr="006D54DD">
        <w:rPr>
          <w:b/>
          <w:bCs/>
          <w:color w:val="000000"/>
          <w:u w:color="000000"/>
        </w:rPr>
        <w:t>Results</w:t>
      </w:r>
      <w:r w:rsidR="00677A60">
        <w:rPr>
          <w:b/>
          <w:bCs/>
          <w:color w:val="000000"/>
          <w:u w:color="000000"/>
        </w:rPr>
        <w:t>:</w:t>
      </w:r>
    </w:p>
    <w:p w14:paraId="68656BF4" w14:textId="77777777" w:rsidR="00677A60" w:rsidRDefault="00003419" w:rsidP="00A01A3A">
      <w:pPr>
        <w:autoSpaceDE w:val="0"/>
        <w:autoSpaceDN w:val="0"/>
        <w:adjustRightInd w:val="0"/>
        <w:jc w:val="both"/>
        <w:rPr>
          <w:color w:val="000000"/>
          <w:u w:color="000000"/>
        </w:rPr>
      </w:pPr>
      <w:r w:rsidRPr="006D54DD">
        <w:rPr>
          <w:color w:val="000000"/>
          <w:u w:color="000000"/>
        </w:rPr>
        <w:t>The FTLB-FS cohort (n=26) predominantly</w:t>
      </w:r>
      <w:r w:rsidR="00677A60">
        <w:rPr>
          <w:color w:val="000000"/>
          <w:u w:color="000000"/>
        </w:rPr>
        <w:t xml:space="preserve"> </w:t>
      </w:r>
      <w:r w:rsidRPr="006D54DD">
        <w:rPr>
          <w:color w:val="000000"/>
          <w:u w:color="000000"/>
        </w:rPr>
        <w:t>identified as female</w:t>
      </w:r>
      <w:r w:rsidR="00677A60">
        <w:rPr>
          <w:color w:val="000000"/>
          <w:u w:color="000000"/>
        </w:rPr>
        <w:t xml:space="preserve"> </w:t>
      </w:r>
      <w:r w:rsidR="00677A60" w:rsidRPr="006D54DD">
        <w:rPr>
          <w:color w:val="000000"/>
          <w:u w:color="000000"/>
        </w:rPr>
        <w:t>(73%)</w:t>
      </w:r>
      <w:r w:rsidRPr="006D54DD">
        <w:rPr>
          <w:color w:val="000000"/>
          <w:u w:color="000000"/>
        </w:rPr>
        <w:t xml:space="preserve">, with a mean age of 14.58 years (range 11 to 17 years, </w:t>
      </w:r>
      <w:r w:rsidRPr="006D54DD">
        <w:rPr>
          <w:i/>
          <w:iCs/>
          <w:color w:val="000000"/>
          <w:u w:color="000000"/>
        </w:rPr>
        <w:t>SD</w:t>
      </w:r>
      <w:r w:rsidRPr="006D54DD">
        <w:rPr>
          <w:color w:val="000000"/>
          <w:u w:color="000000"/>
        </w:rPr>
        <w:t xml:space="preserve"> = 1.63). </w:t>
      </w:r>
    </w:p>
    <w:p w14:paraId="00B36B3C" w14:textId="77777777" w:rsidR="00677A60" w:rsidRDefault="00677A60" w:rsidP="00A01A3A">
      <w:pPr>
        <w:autoSpaceDE w:val="0"/>
        <w:autoSpaceDN w:val="0"/>
        <w:adjustRightInd w:val="0"/>
        <w:jc w:val="both"/>
        <w:rPr>
          <w:color w:val="000000"/>
          <w:u w:color="000000"/>
        </w:rPr>
      </w:pPr>
    </w:p>
    <w:p w14:paraId="75D7BCFA" w14:textId="15EB589E" w:rsidR="00677A60" w:rsidRDefault="00003419" w:rsidP="00A01A3A">
      <w:pPr>
        <w:autoSpaceDE w:val="0"/>
        <w:autoSpaceDN w:val="0"/>
        <w:adjustRightInd w:val="0"/>
        <w:jc w:val="both"/>
        <w:rPr>
          <w:color w:val="000000"/>
          <w:u w:color="000000"/>
        </w:rPr>
      </w:pPr>
      <w:r w:rsidRPr="00DE6C53">
        <w:rPr>
          <w:color w:val="000000"/>
          <w:u w:color="000000"/>
          <w:lang w:val="en-GB"/>
        </w:rPr>
        <w:t>Everyone</w:t>
      </w:r>
      <w:r w:rsidRPr="006D54DD">
        <w:rPr>
          <w:color w:val="000000"/>
          <w:u w:color="000000"/>
        </w:rPr>
        <w:t xml:space="preserve"> in the sample had at least one co-occurring ND or psychiatric diagnosis; </w:t>
      </w:r>
      <w:proofErr w:type="spellStart"/>
      <w:r w:rsidRPr="006D54DD">
        <w:rPr>
          <w:color w:val="000000"/>
          <w:u w:color="000000"/>
        </w:rPr>
        <w:t>generalised</w:t>
      </w:r>
      <w:proofErr w:type="spellEnd"/>
      <w:r w:rsidRPr="006D54DD">
        <w:rPr>
          <w:color w:val="000000"/>
          <w:u w:color="000000"/>
        </w:rPr>
        <w:t xml:space="preserve"> anxiety disorder (58%), autism spectrum disorder (54%), depression (19%), attention deficit hyperactivity disorder (19%), any specific learning disorder (19%), obsessive compulsive disorder (15%) and post-traumatic stress disorder (12%). </w:t>
      </w:r>
    </w:p>
    <w:p w14:paraId="0AFC2657" w14:textId="77777777" w:rsidR="00677A60" w:rsidRDefault="00677A60" w:rsidP="00A01A3A">
      <w:pPr>
        <w:autoSpaceDE w:val="0"/>
        <w:autoSpaceDN w:val="0"/>
        <w:adjustRightInd w:val="0"/>
        <w:jc w:val="both"/>
        <w:rPr>
          <w:color w:val="000000"/>
          <w:u w:color="000000"/>
        </w:rPr>
      </w:pPr>
    </w:p>
    <w:p w14:paraId="3603814F" w14:textId="4706C074" w:rsidR="00003419" w:rsidRDefault="00003419" w:rsidP="00A01A3A">
      <w:pPr>
        <w:autoSpaceDE w:val="0"/>
        <w:autoSpaceDN w:val="0"/>
        <w:adjustRightInd w:val="0"/>
        <w:jc w:val="both"/>
        <w:rPr>
          <w:color w:val="000000"/>
          <w:u w:color="000000"/>
        </w:rPr>
      </w:pPr>
      <w:r w:rsidRPr="006D54DD">
        <w:rPr>
          <w:color w:val="000000"/>
          <w:u w:color="000000"/>
        </w:rPr>
        <w:t xml:space="preserve">Mean YGTSS was 66.05 (SD = 15.56; Range: 32-89) which is in the moderate to severe range. Mean CGAS score was 41.16 (SD=7.90), suggesting on average moderate to severe functional impairment. Less than half (42%) attended school full-time, with </w:t>
      </w:r>
      <w:r w:rsidRPr="006D54DD">
        <w:rPr>
          <w:color w:val="000000"/>
          <w:u w:color="000000"/>
        </w:rPr>
        <w:lastRenderedPageBreak/>
        <w:t>another 42% attending part-time and 15% not attending school at all. Ten (39%) young people used adjuncts, with 40% using more than one. </w:t>
      </w:r>
    </w:p>
    <w:p w14:paraId="69120126" w14:textId="77777777" w:rsidR="00F60103" w:rsidRDefault="00F60103" w:rsidP="00A01A3A">
      <w:pPr>
        <w:autoSpaceDE w:val="0"/>
        <w:autoSpaceDN w:val="0"/>
        <w:adjustRightInd w:val="0"/>
        <w:jc w:val="both"/>
        <w:rPr>
          <w:color w:val="000000"/>
          <w:u w:color="000000"/>
        </w:rPr>
      </w:pPr>
    </w:p>
    <w:p w14:paraId="0347BEAE" w14:textId="726AB95A" w:rsidR="00677A60" w:rsidRPr="006D54DD" w:rsidRDefault="00677A60" w:rsidP="00A01A3A">
      <w:pPr>
        <w:autoSpaceDE w:val="0"/>
        <w:autoSpaceDN w:val="0"/>
        <w:adjustRightInd w:val="0"/>
        <w:jc w:val="both"/>
        <w:rPr>
          <w:rFonts w:ascii="SegoeUI" w:hAnsi="SegoeUI" w:cs="SegoeUI"/>
          <w:color w:val="000000"/>
          <w:u w:color="000000"/>
        </w:rPr>
      </w:pPr>
      <w:r w:rsidRPr="006D54DD">
        <w:rPr>
          <w:b/>
          <w:bCs/>
          <w:color w:val="000000"/>
          <w:u w:color="000000"/>
        </w:rPr>
        <w:t>Conclusions:</w:t>
      </w:r>
      <w:r w:rsidRPr="006D54DD">
        <w:rPr>
          <w:color w:val="000000"/>
          <w:u w:color="000000"/>
        </w:rPr>
        <w:t> </w:t>
      </w:r>
    </w:p>
    <w:p w14:paraId="3F847869" w14:textId="7922D485" w:rsidR="00003419" w:rsidRPr="006D54DD" w:rsidRDefault="00677A60" w:rsidP="00A01A3A">
      <w:pPr>
        <w:autoSpaceDE w:val="0"/>
        <w:autoSpaceDN w:val="0"/>
        <w:adjustRightInd w:val="0"/>
        <w:jc w:val="both"/>
        <w:rPr>
          <w:rFonts w:ascii="SegoeUI" w:hAnsi="SegoeUI" w:cs="SegoeUI"/>
          <w:color w:val="000000"/>
          <w:u w:color="000000"/>
        </w:rPr>
      </w:pPr>
      <w:r>
        <w:rPr>
          <w:color w:val="000000"/>
          <w:u w:color="000000"/>
        </w:rPr>
        <w:t>P</w:t>
      </w:r>
      <w:r w:rsidR="00003419" w:rsidRPr="006D54DD">
        <w:rPr>
          <w:color w:val="000000"/>
          <w:u w:color="000000"/>
        </w:rPr>
        <w:t>sychiatric or ND comorbidity was the rule not the exception</w:t>
      </w:r>
      <w:r w:rsidR="009A7000">
        <w:rPr>
          <w:color w:val="000000"/>
          <w:u w:color="000000"/>
        </w:rPr>
        <w:t xml:space="preserve"> in this group</w:t>
      </w:r>
      <w:r w:rsidR="00003419" w:rsidRPr="006D54DD">
        <w:rPr>
          <w:color w:val="000000"/>
          <w:u w:color="000000"/>
        </w:rPr>
        <w:t xml:space="preserve">. Prior </w:t>
      </w:r>
      <w:proofErr w:type="spellStart"/>
      <w:r w:rsidR="00003419" w:rsidRPr="006D54DD">
        <w:rPr>
          <w:color w:val="000000"/>
          <w:u w:color="000000"/>
        </w:rPr>
        <w:t>paediatric</w:t>
      </w:r>
      <w:proofErr w:type="spellEnd"/>
      <w:r w:rsidR="00003419" w:rsidRPr="006D54DD">
        <w:rPr>
          <w:color w:val="000000"/>
          <w:u w:color="000000"/>
        </w:rPr>
        <w:t xml:space="preserve"> FND research (Yong et al., 2023) found lower comorbidity rates (e.g.</w:t>
      </w:r>
      <w:r w:rsidR="00DE6C53">
        <w:rPr>
          <w:color w:val="000000"/>
          <w:u w:color="000000"/>
        </w:rPr>
        <w:t>,</w:t>
      </w:r>
      <w:r w:rsidR="00003419" w:rsidRPr="006D54DD">
        <w:rPr>
          <w:color w:val="000000"/>
          <w:u w:color="000000"/>
        </w:rPr>
        <w:t xml:space="preserve"> 8% with ND conditions; 8% with diagnosed anxiety/depressive disorders), though this may be due to methodological differences or the sample not including young people with co-occurring FTLBs</w:t>
      </w:r>
      <w:r w:rsidR="009A7000">
        <w:rPr>
          <w:color w:val="000000"/>
          <w:u w:color="000000"/>
        </w:rPr>
        <w:t xml:space="preserve">, who may be additionally more susceptible to ND </w:t>
      </w:r>
      <w:r w:rsidR="009A7000" w:rsidRPr="00DE6C53">
        <w:rPr>
          <w:color w:val="000000"/>
          <w:u w:color="000000"/>
        </w:rPr>
        <w:t>(</w:t>
      </w:r>
      <w:r w:rsidR="001746B7">
        <w:rPr>
          <w:color w:val="000000"/>
          <w:u w:color="000000"/>
        </w:rPr>
        <w:t xml:space="preserve">Buts </w:t>
      </w:r>
      <w:r w:rsidR="009A7000" w:rsidRPr="00DE6C53">
        <w:rPr>
          <w:color w:val="000000"/>
          <w:u w:color="000000"/>
        </w:rPr>
        <w:t>et al.</w:t>
      </w:r>
      <w:r w:rsidR="00BD6967">
        <w:rPr>
          <w:color w:val="000000"/>
          <w:u w:color="000000"/>
        </w:rPr>
        <w:t>,</w:t>
      </w:r>
      <w:r w:rsidR="009A7000" w:rsidRPr="00DE6C53">
        <w:rPr>
          <w:color w:val="000000"/>
          <w:u w:color="000000"/>
        </w:rPr>
        <w:t xml:space="preserve"> 202</w:t>
      </w:r>
      <w:r w:rsidR="001746B7">
        <w:rPr>
          <w:color w:val="000000"/>
          <w:u w:color="000000"/>
        </w:rPr>
        <w:t>2</w:t>
      </w:r>
      <w:r w:rsidR="00DE6C53" w:rsidRPr="00DE6C53">
        <w:rPr>
          <w:color w:val="000000"/>
          <w:u w:color="000000"/>
        </w:rPr>
        <w:t>)</w:t>
      </w:r>
      <w:r w:rsidR="00003419" w:rsidRPr="00DE6C53">
        <w:rPr>
          <w:color w:val="000000"/>
          <w:u w:color="000000"/>
        </w:rPr>
        <w:t>.</w:t>
      </w:r>
      <w:r w:rsidR="00003419" w:rsidRPr="006D54DD">
        <w:rPr>
          <w:color w:val="000000"/>
          <w:u w:color="000000"/>
        </w:rPr>
        <w:t xml:space="preserve"> Young people with FTLBs and co-occurring FS experience high levels of impairment with a </w:t>
      </w:r>
      <w:r w:rsidR="00DE6C53">
        <w:rPr>
          <w:color w:val="000000"/>
          <w:u w:color="000000"/>
        </w:rPr>
        <w:t xml:space="preserve">sizable </w:t>
      </w:r>
      <w:r w:rsidR="00003419" w:rsidRPr="006D54DD">
        <w:rPr>
          <w:color w:val="000000"/>
          <w:u w:color="000000"/>
        </w:rPr>
        <w:t xml:space="preserve">proportion using adjuncts such as wheelchairs and crutches; along with reduced school attendance, this suggests a significant impact on social and physical functioning, as well as academic attainment. This demonstrates a need for research </w:t>
      </w:r>
      <w:r w:rsidR="00E25B90">
        <w:rPr>
          <w:color w:val="000000"/>
          <w:u w:color="000000"/>
        </w:rPr>
        <w:t xml:space="preserve">to inform </w:t>
      </w:r>
      <w:r w:rsidR="00003419" w:rsidRPr="006D54DD">
        <w:rPr>
          <w:color w:val="000000"/>
          <w:u w:color="000000"/>
        </w:rPr>
        <w:t>interventions that treat FTLB-FS and restore functioning. </w:t>
      </w:r>
    </w:p>
    <w:p w14:paraId="580C1D46" w14:textId="77777777" w:rsidR="00003419" w:rsidRPr="006D54DD" w:rsidRDefault="00003419" w:rsidP="00003419">
      <w:pPr>
        <w:autoSpaceDE w:val="0"/>
        <w:autoSpaceDN w:val="0"/>
        <w:adjustRightInd w:val="0"/>
        <w:rPr>
          <w:rFonts w:ascii="SegoeUI" w:hAnsi="SegoeUI" w:cs="SegoeUI"/>
          <w:color w:val="000000"/>
          <w:u w:color="000000"/>
        </w:rPr>
      </w:pPr>
      <w:r w:rsidRPr="6B906144">
        <w:rPr>
          <w:color w:val="000000" w:themeColor="text1"/>
        </w:rPr>
        <w:t> </w:t>
      </w:r>
    </w:p>
    <w:p w14:paraId="6E78A4EC" w14:textId="77777777" w:rsidR="00C57A8C" w:rsidRDefault="00C57A8C" w:rsidP="7071E8BF">
      <w:pPr>
        <w:rPr>
          <w:rFonts w:eastAsia="Times New Roman"/>
          <w:b/>
          <w:bCs/>
          <w:color w:val="000000" w:themeColor="text1"/>
        </w:rPr>
      </w:pPr>
    </w:p>
    <w:p w14:paraId="454CC000" w14:textId="27E3EFF0" w:rsidR="6741B69E" w:rsidRDefault="6741B69E" w:rsidP="7071E8BF">
      <w:pPr>
        <w:rPr>
          <w:rFonts w:eastAsia="Times New Roman"/>
          <w:b/>
          <w:bCs/>
          <w:color w:val="000000" w:themeColor="text1"/>
        </w:rPr>
      </w:pPr>
      <w:r w:rsidRPr="7071E8BF">
        <w:rPr>
          <w:rFonts w:eastAsia="Times New Roman"/>
          <w:b/>
          <w:bCs/>
          <w:color w:val="000000" w:themeColor="text1"/>
        </w:rPr>
        <w:t>References:</w:t>
      </w:r>
    </w:p>
    <w:p w14:paraId="050F986D" w14:textId="77777777" w:rsidR="00FB0A2D" w:rsidRPr="00FB0A2D" w:rsidRDefault="00FB0A2D" w:rsidP="00FB0A2D">
      <w:pPr>
        <w:ind w:left="708" w:hanging="708"/>
        <w:rPr>
          <w:rFonts w:eastAsia="Times New Roman"/>
          <w:color w:val="222222"/>
        </w:rPr>
      </w:pPr>
      <w:r w:rsidRPr="00FB0A2D">
        <w:rPr>
          <w:color w:val="222222"/>
          <w:shd w:val="clear" w:color="auto" w:fill="FFFFFF"/>
        </w:rPr>
        <w:t xml:space="preserve">Buts, S., Duncan, M., Owen, T., Martino, D., </w:t>
      </w:r>
      <w:proofErr w:type="spellStart"/>
      <w:r w:rsidRPr="00FB0A2D">
        <w:rPr>
          <w:color w:val="222222"/>
          <w:shd w:val="clear" w:color="auto" w:fill="FFFFFF"/>
        </w:rPr>
        <w:t>Pringsheim</w:t>
      </w:r>
      <w:proofErr w:type="spellEnd"/>
      <w:r w:rsidRPr="00FB0A2D">
        <w:rPr>
          <w:color w:val="222222"/>
          <w:shd w:val="clear" w:color="auto" w:fill="FFFFFF"/>
        </w:rPr>
        <w:t xml:space="preserve">, T., Byrne, S., ... &amp; </w:t>
      </w:r>
      <w:proofErr w:type="spellStart"/>
      <w:r w:rsidRPr="00FB0A2D">
        <w:rPr>
          <w:color w:val="222222"/>
          <w:shd w:val="clear" w:color="auto" w:fill="FFFFFF"/>
        </w:rPr>
        <w:t>Hedderly</w:t>
      </w:r>
      <w:proofErr w:type="spellEnd"/>
      <w:r w:rsidRPr="00FB0A2D">
        <w:rPr>
          <w:color w:val="222222"/>
          <w:shd w:val="clear" w:color="auto" w:fill="FFFFFF"/>
        </w:rPr>
        <w:t xml:space="preserve">, T. (2022). </w:t>
      </w:r>
      <w:proofErr w:type="spellStart"/>
      <w:r w:rsidRPr="00FB0A2D">
        <w:rPr>
          <w:color w:val="222222"/>
          <w:shd w:val="clear" w:color="auto" w:fill="FFFFFF"/>
        </w:rPr>
        <w:t>Paediatric</w:t>
      </w:r>
      <w:proofErr w:type="spellEnd"/>
      <w:r w:rsidRPr="00FB0A2D">
        <w:rPr>
          <w:color w:val="222222"/>
          <w:shd w:val="clear" w:color="auto" w:fill="FFFFFF"/>
        </w:rPr>
        <w:t xml:space="preserve"> tic-like presentations during the COVID-19 pandemic.</w:t>
      </w:r>
      <w:r w:rsidRPr="00FB0A2D">
        <w:rPr>
          <w:rStyle w:val="apple-converted-space"/>
          <w:color w:val="222222"/>
          <w:shd w:val="clear" w:color="auto" w:fill="FFFFFF"/>
        </w:rPr>
        <w:t> </w:t>
      </w:r>
      <w:r w:rsidRPr="00FB0A2D">
        <w:rPr>
          <w:i/>
          <w:iCs/>
          <w:color w:val="222222"/>
        </w:rPr>
        <w:t>Archives of disease in childhood</w:t>
      </w:r>
      <w:r w:rsidRPr="00FB0A2D">
        <w:rPr>
          <w:color w:val="222222"/>
          <w:shd w:val="clear" w:color="auto" w:fill="FFFFFF"/>
        </w:rPr>
        <w:t>,</w:t>
      </w:r>
      <w:r w:rsidRPr="00FB0A2D">
        <w:rPr>
          <w:rStyle w:val="apple-converted-space"/>
          <w:color w:val="222222"/>
          <w:shd w:val="clear" w:color="auto" w:fill="FFFFFF"/>
        </w:rPr>
        <w:t> </w:t>
      </w:r>
      <w:r w:rsidRPr="00FB0A2D">
        <w:rPr>
          <w:i/>
          <w:iCs/>
          <w:color w:val="222222"/>
        </w:rPr>
        <w:t>107</w:t>
      </w:r>
      <w:r w:rsidRPr="00FB0A2D">
        <w:rPr>
          <w:color w:val="222222"/>
          <w:shd w:val="clear" w:color="auto" w:fill="FFFFFF"/>
        </w:rPr>
        <w:t>(3), e17-e17.</w:t>
      </w:r>
    </w:p>
    <w:p w14:paraId="086DC451" w14:textId="50FB51A4" w:rsidR="7071E8BF" w:rsidRDefault="7071E8BF" w:rsidP="7071E8BF">
      <w:pPr>
        <w:rPr>
          <w:rFonts w:eastAsia="Times New Roman"/>
          <w:b/>
          <w:bCs/>
          <w:color w:val="000000" w:themeColor="text1"/>
        </w:rPr>
      </w:pPr>
    </w:p>
    <w:p w14:paraId="2AF797F2" w14:textId="607C76CA" w:rsidR="3B18124E" w:rsidRDefault="5B715C01" w:rsidP="0C7AEB48">
      <w:pPr>
        <w:ind w:left="708" w:hanging="708"/>
        <w:rPr>
          <w:rFonts w:eastAsia="Times New Roman"/>
          <w:color w:val="222222"/>
        </w:rPr>
      </w:pPr>
      <w:r w:rsidRPr="0C7AEB48">
        <w:rPr>
          <w:rFonts w:eastAsia="Times New Roman"/>
          <w:color w:val="222222"/>
        </w:rPr>
        <w:t xml:space="preserve">Martino, D., </w:t>
      </w:r>
      <w:proofErr w:type="spellStart"/>
      <w:r w:rsidRPr="0C7AEB48">
        <w:rPr>
          <w:rFonts w:eastAsia="Times New Roman"/>
          <w:color w:val="222222"/>
        </w:rPr>
        <w:t>Hedderly</w:t>
      </w:r>
      <w:proofErr w:type="spellEnd"/>
      <w:r w:rsidRPr="0C7AEB48">
        <w:rPr>
          <w:rFonts w:eastAsia="Times New Roman"/>
          <w:color w:val="222222"/>
        </w:rPr>
        <w:t>, T., Murphy, T., Müller‐</w:t>
      </w:r>
      <w:proofErr w:type="spellStart"/>
      <w:r w:rsidRPr="0C7AEB48">
        <w:rPr>
          <w:rFonts w:eastAsia="Times New Roman"/>
          <w:color w:val="222222"/>
        </w:rPr>
        <w:t>Vahl</w:t>
      </w:r>
      <w:proofErr w:type="spellEnd"/>
      <w:r w:rsidRPr="0C7AEB48">
        <w:rPr>
          <w:rFonts w:eastAsia="Times New Roman"/>
          <w:color w:val="222222"/>
        </w:rPr>
        <w:t xml:space="preserve">, K., Dale, R. C., Gilbert, D. L., ... &amp; </w:t>
      </w:r>
      <w:proofErr w:type="spellStart"/>
      <w:r w:rsidRPr="0C7AEB48">
        <w:rPr>
          <w:rFonts w:eastAsia="Times New Roman"/>
          <w:color w:val="222222"/>
        </w:rPr>
        <w:t>Pringsheim</w:t>
      </w:r>
      <w:proofErr w:type="spellEnd"/>
      <w:r w:rsidRPr="0C7AEB48">
        <w:rPr>
          <w:rFonts w:eastAsia="Times New Roman"/>
          <w:color w:val="222222"/>
        </w:rPr>
        <w:t xml:space="preserve">, T. M. (2022). The spectrum of functional tic‐like </w:t>
      </w:r>
      <w:proofErr w:type="spellStart"/>
      <w:r w:rsidRPr="0C7AEB48">
        <w:rPr>
          <w:rFonts w:eastAsia="Times New Roman"/>
          <w:color w:val="222222"/>
        </w:rPr>
        <w:t>behaviours</w:t>
      </w:r>
      <w:proofErr w:type="spellEnd"/>
      <w:r w:rsidRPr="0C7AEB48">
        <w:rPr>
          <w:rFonts w:eastAsia="Times New Roman"/>
          <w:color w:val="222222"/>
        </w:rPr>
        <w:t xml:space="preserve">: Data from an international registry. </w:t>
      </w:r>
      <w:r w:rsidRPr="0C7AEB48">
        <w:rPr>
          <w:rFonts w:eastAsia="Times New Roman"/>
          <w:i/>
          <w:iCs/>
          <w:color w:val="222222"/>
        </w:rPr>
        <w:t>European Journal of Neurology</w:t>
      </w:r>
      <w:r w:rsidRPr="0C7AEB48">
        <w:rPr>
          <w:rFonts w:eastAsia="Times New Roman"/>
          <w:color w:val="222222"/>
        </w:rPr>
        <w:t>.</w:t>
      </w:r>
    </w:p>
    <w:p w14:paraId="56AF3C12" w14:textId="6D2434C2" w:rsidR="3B18124E" w:rsidRDefault="3B18124E" w:rsidP="0C7AEB48">
      <w:pPr>
        <w:ind w:left="708" w:hanging="708"/>
        <w:rPr>
          <w:rFonts w:eastAsia="Times New Roman"/>
          <w:color w:val="222222"/>
        </w:rPr>
      </w:pPr>
    </w:p>
    <w:p w14:paraId="4EAD5C0E" w14:textId="37F36DD2" w:rsidR="3B18124E" w:rsidRDefault="3B18124E" w:rsidP="0C7AEB48">
      <w:pPr>
        <w:ind w:left="708" w:hanging="708"/>
        <w:rPr>
          <w:rFonts w:eastAsia="Times New Roman"/>
          <w:color w:val="222222"/>
        </w:rPr>
      </w:pPr>
      <w:proofErr w:type="spellStart"/>
      <w:r w:rsidRPr="0C7AEB48">
        <w:rPr>
          <w:rFonts w:eastAsia="Times New Roman"/>
          <w:color w:val="222222"/>
        </w:rPr>
        <w:t>Pringsheim</w:t>
      </w:r>
      <w:proofErr w:type="spellEnd"/>
      <w:r w:rsidRPr="0C7AEB48">
        <w:rPr>
          <w:rFonts w:eastAsia="Times New Roman"/>
          <w:color w:val="222222"/>
        </w:rPr>
        <w:t xml:space="preserve">, T., </w:t>
      </w:r>
      <w:proofErr w:type="spellStart"/>
      <w:r w:rsidRPr="0C7AEB48">
        <w:rPr>
          <w:rFonts w:eastAsia="Times New Roman"/>
          <w:color w:val="222222"/>
        </w:rPr>
        <w:t>Ganos</w:t>
      </w:r>
      <w:proofErr w:type="spellEnd"/>
      <w:r w:rsidRPr="0C7AEB48">
        <w:rPr>
          <w:rFonts w:eastAsia="Times New Roman"/>
          <w:color w:val="222222"/>
        </w:rPr>
        <w:t xml:space="preserve">, C., </w:t>
      </w:r>
      <w:proofErr w:type="spellStart"/>
      <w:r w:rsidRPr="0C7AEB48">
        <w:rPr>
          <w:rFonts w:eastAsia="Times New Roman"/>
          <w:color w:val="222222"/>
        </w:rPr>
        <w:t>Nilles</w:t>
      </w:r>
      <w:proofErr w:type="spellEnd"/>
      <w:r w:rsidRPr="0C7AEB48">
        <w:rPr>
          <w:rFonts w:eastAsia="Times New Roman"/>
          <w:color w:val="222222"/>
        </w:rPr>
        <w:t xml:space="preserve">, C., </w:t>
      </w:r>
      <w:proofErr w:type="spellStart"/>
      <w:r w:rsidRPr="0C7AEB48">
        <w:rPr>
          <w:rFonts w:eastAsia="Times New Roman"/>
          <w:color w:val="222222"/>
        </w:rPr>
        <w:t>Cavanna</w:t>
      </w:r>
      <w:proofErr w:type="spellEnd"/>
      <w:r w:rsidRPr="0C7AEB48">
        <w:rPr>
          <w:rFonts w:eastAsia="Times New Roman"/>
          <w:color w:val="222222"/>
        </w:rPr>
        <w:t xml:space="preserve">, A. E., Gilbert, D. L., Greenberg, E., ... &amp; Martino, D. (2023). European Society for the Study of Tourette Syndrome 2022 criteria for clinical diagnosis of functional tic‐like </w:t>
      </w:r>
      <w:proofErr w:type="spellStart"/>
      <w:r w:rsidRPr="0C7AEB48">
        <w:rPr>
          <w:rFonts w:eastAsia="Times New Roman"/>
          <w:color w:val="222222"/>
        </w:rPr>
        <w:t>behaviours</w:t>
      </w:r>
      <w:proofErr w:type="spellEnd"/>
      <w:r w:rsidRPr="0C7AEB48">
        <w:rPr>
          <w:rFonts w:eastAsia="Times New Roman"/>
          <w:color w:val="222222"/>
        </w:rPr>
        <w:t xml:space="preserve">: International consensus from experts in tic disorders. </w:t>
      </w:r>
      <w:r w:rsidRPr="0C7AEB48">
        <w:rPr>
          <w:rFonts w:eastAsia="Times New Roman"/>
          <w:i/>
          <w:iCs/>
          <w:color w:val="222222"/>
        </w:rPr>
        <w:t>European Journal of Neurology</w:t>
      </w:r>
      <w:r w:rsidRPr="0C7AEB48">
        <w:rPr>
          <w:rFonts w:eastAsia="Times New Roman"/>
          <w:color w:val="222222"/>
        </w:rPr>
        <w:t>.</w:t>
      </w:r>
    </w:p>
    <w:p w14:paraId="0BDF35E3" w14:textId="41626DAE" w:rsidR="0C7AEB48" w:rsidRDefault="0C7AEB48" w:rsidP="0C7AEB48">
      <w:pPr>
        <w:ind w:left="708" w:hanging="708"/>
        <w:rPr>
          <w:rFonts w:eastAsia="Times New Roman"/>
          <w:color w:val="222222"/>
        </w:rPr>
      </w:pPr>
    </w:p>
    <w:p w14:paraId="69071892" w14:textId="25AC206D" w:rsidR="6741B69E" w:rsidRDefault="6741B69E" w:rsidP="0C7AEB48">
      <w:pPr>
        <w:ind w:left="708" w:hanging="708"/>
        <w:rPr>
          <w:rFonts w:eastAsia="Times New Roman"/>
          <w:color w:val="222222"/>
        </w:rPr>
      </w:pPr>
      <w:r w:rsidRPr="7071E8BF">
        <w:rPr>
          <w:rFonts w:eastAsia="Times New Roman"/>
          <w:color w:val="222222"/>
        </w:rPr>
        <w:t xml:space="preserve">Yong, K., Chin, R. F., Shetty, J., Hogg, K., Burgess, K., Lindsay, M., ... &amp; </w:t>
      </w:r>
      <w:proofErr w:type="spellStart"/>
      <w:r w:rsidRPr="7071E8BF">
        <w:rPr>
          <w:rFonts w:eastAsia="Times New Roman"/>
          <w:color w:val="222222"/>
        </w:rPr>
        <w:t>Pilley</w:t>
      </w:r>
      <w:proofErr w:type="spellEnd"/>
      <w:r w:rsidRPr="7071E8BF">
        <w:rPr>
          <w:rFonts w:eastAsia="Times New Roman"/>
          <w:color w:val="222222"/>
        </w:rPr>
        <w:t xml:space="preserve">, E. (2023). Functional neurological disorder in children and young people: Incidence, clinical features, and prognosis. </w:t>
      </w:r>
      <w:r w:rsidRPr="7071E8BF">
        <w:rPr>
          <w:rFonts w:eastAsia="Times New Roman"/>
          <w:i/>
          <w:iCs/>
          <w:color w:val="222222"/>
        </w:rPr>
        <w:t>Developmental Medicine &amp; Child Neurology</w:t>
      </w:r>
      <w:r w:rsidRPr="7071E8BF">
        <w:rPr>
          <w:rFonts w:eastAsia="Times New Roman"/>
          <w:color w:val="222222"/>
        </w:rPr>
        <w:t>.</w:t>
      </w:r>
    </w:p>
    <w:p w14:paraId="72225405" w14:textId="5597438A" w:rsidR="7071E8BF" w:rsidRDefault="7071E8BF" w:rsidP="7071E8BF">
      <w:pPr>
        <w:ind w:left="708" w:hanging="708"/>
        <w:rPr>
          <w:rFonts w:eastAsia="Times New Roman"/>
          <w:color w:val="222222"/>
        </w:rPr>
      </w:pPr>
    </w:p>
    <w:p w14:paraId="3A269BF9" w14:textId="537F7358" w:rsidR="7071E8BF" w:rsidRDefault="7071E8BF" w:rsidP="7071E8BF">
      <w:pPr>
        <w:rPr>
          <w:rFonts w:eastAsia="Times New Roman"/>
          <w:color w:val="000000" w:themeColor="text1"/>
        </w:rPr>
      </w:pPr>
    </w:p>
    <w:p w14:paraId="1E0E5DF3" w14:textId="2836F25E" w:rsidR="006C39FE" w:rsidRDefault="006C39FE" w:rsidP="00A96733">
      <w:pPr>
        <w:rPr>
          <w:rFonts w:eastAsia="Times New Roman"/>
          <w:b/>
          <w:color w:val="FF0000"/>
          <w:lang w:eastAsia="da-DK"/>
        </w:rPr>
      </w:pPr>
    </w:p>
    <w:p w14:paraId="5EFCD7BD" w14:textId="24ED5477" w:rsidR="006C39FE" w:rsidRDefault="006C39FE" w:rsidP="00A96733">
      <w:pPr>
        <w:rPr>
          <w:rFonts w:eastAsia="Times New Roman"/>
          <w:b/>
          <w:color w:val="FF0000"/>
          <w:lang w:eastAsia="da-DK"/>
        </w:rPr>
      </w:pPr>
    </w:p>
    <w:p w14:paraId="3FCE14CC" w14:textId="6000BF75" w:rsidR="006C39FE" w:rsidRDefault="006C39FE" w:rsidP="00A96733">
      <w:pPr>
        <w:rPr>
          <w:rFonts w:eastAsia="Times New Roman"/>
          <w:b/>
          <w:color w:val="FF0000"/>
          <w:lang w:eastAsia="da-DK"/>
        </w:rPr>
      </w:pPr>
    </w:p>
    <w:p w14:paraId="17BDD42E" w14:textId="6881B908" w:rsidR="006C39FE" w:rsidRDefault="006C39FE" w:rsidP="00A96733">
      <w:pPr>
        <w:rPr>
          <w:rFonts w:eastAsia="Times New Roman"/>
          <w:b/>
          <w:color w:val="FF0000"/>
          <w:lang w:eastAsia="da-DK"/>
        </w:rPr>
      </w:pPr>
    </w:p>
    <w:p w14:paraId="53A45D51" w14:textId="639CDE77" w:rsidR="006C39FE" w:rsidRDefault="006C39FE" w:rsidP="00A96733">
      <w:pPr>
        <w:rPr>
          <w:rFonts w:eastAsia="Times New Roman"/>
          <w:b/>
          <w:color w:val="FF0000"/>
          <w:lang w:eastAsia="da-DK"/>
        </w:rPr>
      </w:pPr>
    </w:p>
    <w:p w14:paraId="140F669B" w14:textId="77777777" w:rsidR="006C39FE" w:rsidRDefault="006C39FE" w:rsidP="00A96733">
      <w:pPr>
        <w:rPr>
          <w:rFonts w:eastAsia="Times New Roman"/>
          <w:b/>
          <w:color w:val="FF0000"/>
          <w:lang w:eastAsia="da-DK"/>
        </w:rPr>
      </w:pP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CED8" w14:textId="77777777" w:rsidR="00D96C10" w:rsidRDefault="00D96C10">
      <w:r>
        <w:separator/>
      </w:r>
    </w:p>
  </w:endnote>
  <w:endnote w:type="continuationSeparator" w:id="0">
    <w:p w14:paraId="6428FA6F" w14:textId="77777777" w:rsidR="00D96C10" w:rsidRDefault="00D9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UI">
    <w:altName w:val="Segoe U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Footer"/>
          <w:jc w:val="center"/>
        </w:pPr>
      </w:p>
      <w:p w14:paraId="18BFC470" w14:textId="696EDC7B" w:rsidR="00777248" w:rsidRDefault="00777248">
        <w:pPr>
          <w:pStyle w:val="Footer"/>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81612" w14:textId="77777777" w:rsidR="00D96C10" w:rsidRDefault="00D96C10">
      <w:r>
        <w:separator/>
      </w:r>
    </w:p>
  </w:footnote>
  <w:footnote w:type="continuationSeparator" w:id="0">
    <w:p w14:paraId="46EA8B95" w14:textId="77777777" w:rsidR="00D96C10" w:rsidRDefault="00D96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Header"/>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Header"/>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95735519">
    <w:abstractNumId w:val="45"/>
  </w:num>
  <w:num w:numId="2" w16cid:durableId="939293109">
    <w:abstractNumId w:val="28"/>
  </w:num>
  <w:num w:numId="3" w16cid:durableId="2092698652">
    <w:abstractNumId w:val="41"/>
  </w:num>
  <w:num w:numId="4" w16cid:durableId="1120799994">
    <w:abstractNumId w:val="22"/>
  </w:num>
  <w:num w:numId="5" w16cid:durableId="1056393626">
    <w:abstractNumId w:val="16"/>
  </w:num>
  <w:num w:numId="6" w16cid:durableId="366108424">
    <w:abstractNumId w:val="38"/>
  </w:num>
  <w:num w:numId="7" w16cid:durableId="568004825">
    <w:abstractNumId w:val="28"/>
    <w:lvlOverride w:ilvl="0">
      <w:startOverride w:val="2"/>
    </w:lvlOverride>
  </w:num>
  <w:num w:numId="8" w16cid:durableId="1240137770">
    <w:abstractNumId w:val="28"/>
    <w:lvlOverride w:ilvl="0">
      <w:startOverride w:val="3"/>
    </w:lvlOverride>
  </w:num>
  <w:num w:numId="9" w16cid:durableId="1838418311">
    <w:abstractNumId w:val="4"/>
  </w:num>
  <w:num w:numId="10" w16cid:durableId="1205020576">
    <w:abstractNumId w:val="32"/>
  </w:num>
  <w:num w:numId="11" w16cid:durableId="1050805071">
    <w:abstractNumId w:val="14"/>
  </w:num>
  <w:num w:numId="12" w16cid:durableId="1174563521">
    <w:abstractNumId w:val="42"/>
  </w:num>
  <w:num w:numId="13" w16cid:durableId="1052271628">
    <w:abstractNumId w:val="25"/>
  </w:num>
  <w:num w:numId="14" w16cid:durableId="724065618">
    <w:abstractNumId w:val="24"/>
  </w:num>
  <w:num w:numId="15" w16cid:durableId="494145950">
    <w:abstractNumId w:val="1"/>
  </w:num>
  <w:num w:numId="16" w16cid:durableId="1272469410">
    <w:abstractNumId w:val="39"/>
  </w:num>
  <w:num w:numId="17" w16cid:durableId="211158348">
    <w:abstractNumId w:val="34"/>
  </w:num>
  <w:num w:numId="18" w16cid:durableId="492457530">
    <w:abstractNumId w:val="2"/>
  </w:num>
  <w:num w:numId="19" w16cid:durableId="1748645549">
    <w:abstractNumId w:val="7"/>
  </w:num>
  <w:num w:numId="20" w16cid:durableId="1943341562">
    <w:abstractNumId w:val="37"/>
  </w:num>
  <w:num w:numId="21" w16cid:durableId="878200724">
    <w:abstractNumId w:val="9"/>
  </w:num>
  <w:num w:numId="22" w16cid:durableId="304166356">
    <w:abstractNumId w:val="19"/>
  </w:num>
  <w:num w:numId="23" w16cid:durableId="572473404">
    <w:abstractNumId w:val="3"/>
  </w:num>
  <w:num w:numId="24" w16cid:durableId="1558740947">
    <w:abstractNumId w:val="23"/>
  </w:num>
  <w:num w:numId="25" w16cid:durableId="1243178365">
    <w:abstractNumId w:val="20"/>
  </w:num>
  <w:num w:numId="26" w16cid:durableId="697198015">
    <w:abstractNumId w:val="43"/>
  </w:num>
  <w:num w:numId="27" w16cid:durableId="1102068126">
    <w:abstractNumId w:val="44"/>
  </w:num>
  <w:num w:numId="28" w16cid:durableId="1368026180">
    <w:abstractNumId w:val="26"/>
  </w:num>
  <w:num w:numId="29" w16cid:durableId="2067339667">
    <w:abstractNumId w:val="0"/>
  </w:num>
  <w:num w:numId="30" w16cid:durableId="193352888">
    <w:abstractNumId w:val="17"/>
  </w:num>
  <w:num w:numId="31" w16cid:durableId="1279069482">
    <w:abstractNumId w:val="8"/>
  </w:num>
  <w:num w:numId="32" w16cid:durableId="380325362">
    <w:abstractNumId w:val="11"/>
  </w:num>
  <w:num w:numId="33" w16cid:durableId="787284155">
    <w:abstractNumId w:val="36"/>
  </w:num>
  <w:num w:numId="34" w16cid:durableId="1569076509">
    <w:abstractNumId w:val="30"/>
  </w:num>
  <w:num w:numId="35" w16cid:durableId="35469345">
    <w:abstractNumId w:val="29"/>
  </w:num>
  <w:num w:numId="36" w16cid:durableId="1346663883">
    <w:abstractNumId w:val="40"/>
  </w:num>
  <w:num w:numId="37" w16cid:durableId="1043480348">
    <w:abstractNumId w:val="5"/>
  </w:num>
  <w:num w:numId="38" w16cid:durableId="755050546">
    <w:abstractNumId w:val="13"/>
  </w:num>
  <w:num w:numId="39" w16cid:durableId="1779913390">
    <w:abstractNumId w:val="15"/>
  </w:num>
  <w:num w:numId="40" w16cid:durableId="510729819">
    <w:abstractNumId w:val="21"/>
  </w:num>
  <w:num w:numId="41" w16cid:durableId="1198469209">
    <w:abstractNumId w:val="18"/>
  </w:num>
  <w:num w:numId="42" w16cid:durableId="1027027275">
    <w:abstractNumId w:val="35"/>
  </w:num>
  <w:num w:numId="43" w16cid:durableId="216400536">
    <w:abstractNumId w:val="6"/>
  </w:num>
  <w:num w:numId="44" w16cid:durableId="120074048">
    <w:abstractNumId w:val="33"/>
  </w:num>
  <w:num w:numId="45" w16cid:durableId="190149101">
    <w:abstractNumId w:val="31"/>
  </w:num>
  <w:num w:numId="46" w16cid:durableId="236330075">
    <w:abstractNumId w:val="27"/>
  </w:num>
  <w:num w:numId="47" w16cid:durableId="68230264">
    <w:abstractNumId w:val="12"/>
  </w:num>
  <w:num w:numId="48" w16cid:durableId="1376394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ytjAxNzA1MDQ2MjJR0lEKTi0uzszPAykwrAUAY0QWoSwAAAA="/>
  </w:docVars>
  <w:rsids>
    <w:rsidRoot w:val="00642156"/>
    <w:rsid w:val="00003419"/>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04E6D"/>
    <w:rsid w:val="00110C84"/>
    <w:rsid w:val="0012114A"/>
    <w:rsid w:val="0012314A"/>
    <w:rsid w:val="0014256E"/>
    <w:rsid w:val="001437CF"/>
    <w:rsid w:val="00156C84"/>
    <w:rsid w:val="001746B7"/>
    <w:rsid w:val="00187002"/>
    <w:rsid w:val="00193093"/>
    <w:rsid w:val="001A16B8"/>
    <w:rsid w:val="001A2E3F"/>
    <w:rsid w:val="001B49EC"/>
    <w:rsid w:val="001B567C"/>
    <w:rsid w:val="001C11CD"/>
    <w:rsid w:val="001D1187"/>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F3512"/>
    <w:rsid w:val="003F5BDB"/>
    <w:rsid w:val="003F6BD3"/>
    <w:rsid w:val="004031FD"/>
    <w:rsid w:val="00440E12"/>
    <w:rsid w:val="00446966"/>
    <w:rsid w:val="004A2B4B"/>
    <w:rsid w:val="004D3915"/>
    <w:rsid w:val="004E4DA9"/>
    <w:rsid w:val="00515558"/>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5F7DD3"/>
    <w:rsid w:val="006076B6"/>
    <w:rsid w:val="00611428"/>
    <w:rsid w:val="00615090"/>
    <w:rsid w:val="00632B8C"/>
    <w:rsid w:val="006357B0"/>
    <w:rsid w:val="00642156"/>
    <w:rsid w:val="006477FF"/>
    <w:rsid w:val="006652F5"/>
    <w:rsid w:val="00665EB9"/>
    <w:rsid w:val="00674571"/>
    <w:rsid w:val="00677A60"/>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06E8B"/>
    <w:rsid w:val="00816227"/>
    <w:rsid w:val="00817B30"/>
    <w:rsid w:val="0083797A"/>
    <w:rsid w:val="00851661"/>
    <w:rsid w:val="00863537"/>
    <w:rsid w:val="008641B5"/>
    <w:rsid w:val="00890048"/>
    <w:rsid w:val="008A4877"/>
    <w:rsid w:val="008A69C9"/>
    <w:rsid w:val="009027EE"/>
    <w:rsid w:val="00914391"/>
    <w:rsid w:val="00933C20"/>
    <w:rsid w:val="00937E61"/>
    <w:rsid w:val="0096171B"/>
    <w:rsid w:val="00975667"/>
    <w:rsid w:val="00986E29"/>
    <w:rsid w:val="009923E4"/>
    <w:rsid w:val="009A7000"/>
    <w:rsid w:val="009F1A70"/>
    <w:rsid w:val="009F56C3"/>
    <w:rsid w:val="00A01A3A"/>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C248C"/>
    <w:rsid w:val="00BD6967"/>
    <w:rsid w:val="00BF27F5"/>
    <w:rsid w:val="00C04600"/>
    <w:rsid w:val="00C1559C"/>
    <w:rsid w:val="00C3177D"/>
    <w:rsid w:val="00C57A8C"/>
    <w:rsid w:val="00C67540"/>
    <w:rsid w:val="00C90DE8"/>
    <w:rsid w:val="00C924E1"/>
    <w:rsid w:val="00CB47DF"/>
    <w:rsid w:val="00CC2D89"/>
    <w:rsid w:val="00CC4876"/>
    <w:rsid w:val="00CC7955"/>
    <w:rsid w:val="00CD49AD"/>
    <w:rsid w:val="00CE2FD9"/>
    <w:rsid w:val="00CF428A"/>
    <w:rsid w:val="00D2330C"/>
    <w:rsid w:val="00D42349"/>
    <w:rsid w:val="00D502AF"/>
    <w:rsid w:val="00D56A96"/>
    <w:rsid w:val="00D66AE0"/>
    <w:rsid w:val="00D80E42"/>
    <w:rsid w:val="00D96C10"/>
    <w:rsid w:val="00DA465C"/>
    <w:rsid w:val="00DB31D4"/>
    <w:rsid w:val="00DB517D"/>
    <w:rsid w:val="00DC667B"/>
    <w:rsid w:val="00DD31F8"/>
    <w:rsid w:val="00DD7704"/>
    <w:rsid w:val="00DE5000"/>
    <w:rsid w:val="00DE6C53"/>
    <w:rsid w:val="00DF5871"/>
    <w:rsid w:val="00E03CAF"/>
    <w:rsid w:val="00E071DB"/>
    <w:rsid w:val="00E25B90"/>
    <w:rsid w:val="00E268A0"/>
    <w:rsid w:val="00E320DE"/>
    <w:rsid w:val="00E45778"/>
    <w:rsid w:val="00E813B4"/>
    <w:rsid w:val="00E8329C"/>
    <w:rsid w:val="00E87F5D"/>
    <w:rsid w:val="00E93B9B"/>
    <w:rsid w:val="00E9458D"/>
    <w:rsid w:val="00E96471"/>
    <w:rsid w:val="00ED1733"/>
    <w:rsid w:val="00EE6E1C"/>
    <w:rsid w:val="00EF40D5"/>
    <w:rsid w:val="00F0512D"/>
    <w:rsid w:val="00F213C2"/>
    <w:rsid w:val="00F22B98"/>
    <w:rsid w:val="00F60103"/>
    <w:rsid w:val="00F74168"/>
    <w:rsid w:val="00F74C07"/>
    <w:rsid w:val="00F83DB9"/>
    <w:rsid w:val="00F84931"/>
    <w:rsid w:val="00F97E96"/>
    <w:rsid w:val="00FA281D"/>
    <w:rsid w:val="00FB0A2D"/>
    <w:rsid w:val="00FB56AF"/>
    <w:rsid w:val="00FC6C40"/>
    <w:rsid w:val="00FD0C95"/>
    <w:rsid w:val="00FD6514"/>
    <w:rsid w:val="00FE0D61"/>
    <w:rsid w:val="00FE4F49"/>
    <w:rsid w:val="00FE57A5"/>
    <w:rsid w:val="00FF7E81"/>
    <w:rsid w:val="04E82876"/>
    <w:rsid w:val="05777901"/>
    <w:rsid w:val="070BB555"/>
    <w:rsid w:val="0C7AEB48"/>
    <w:rsid w:val="15FC0224"/>
    <w:rsid w:val="1A48128A"/>
    <w:rsid w:val="2D388213"/>
    <w:rsid w:val="3A1769C2"/>
    <w:rsid w:val="3B18124E"/>
    <w:rsid w:val="3BB33A23"/>
    <w:rsid w:val="43D70E10"/>
    <w:rsid w:val="4441EB8A"/>
    <w:rsid w:val="4B3F93E6"/>
    <w:rsid w:val="5192898E"/>
    <w:rsid w:val="52DC97AC"/>
    <w:rsid w:val="5896A61E"/>
    <w:rsid w:val="5B715C01"/>
    <w:rsid w:val="5DEB4E4B"/>
    <w:rsid w:val="6741B69E"/>
    <w:rsid w:val="6A3FAB4E"/>
    <w:rsid w:val="6B906144"/>
    <w:rsid w:val="6D2EC357"/>
    <w:rsid w:val="70289067"/>
    <w:rsid w:val="7071E8BF"/>
    <w:rsid w:val="70D69222"/>
    <w:rsid w:val="7408B968"/>
    <w:rsid w:val="74FE2925"/>
    <w:rsid w:val="7A6F4FCC"/>
    <w:rsid w:val="7C0B7037"/>
    <w:rsid w:val="7D1724AD"/>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Paragraph">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CommentReference">
    <w:name w:val="annotation reference"/>
    <w:basedOn w:val="DefaultParagraphFont"/>
    <w:uiPriority w:val="99"/>
    <w:semiHidden/>
    <w:unhideWhenUsed/>
    <w:rsid w:val="00FB56AF"/>
    <w:rPr>
      <w:sz w:val="18"/>
      <w:szCs w:val="18"/>
    </w:rPr>
  </w:style>
  <w:style w:type="paragraph" w:styleId="CommentText">
    <w:name w:val="annotation text"/>
    <w:basedOn w:val="Normal"/>
    <w:link w:val="CommentTextChar"/>
    <w:uiPriority w:val="99"/>
    <w:unhideWhenUsed/>
    <w:rsid w:val="00FB56AF"/>
  </w:style>
  <w:style w:type="character" w:customStyle="1" w:styleId="CommentTextChar">
    <w:name w:val="Comment Text Char"/>
    <w:basedOn w:val="DefaultParagraphFont"/>
    <w:link w:val="CommentText"/>
    <w:uiPriority w:val="99"/>
    <w:rsid w:val="00FB56AF"/>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FB56AF"/>
    <w:rPr>
      <w:b/>
      <w:bCs/>
      <w:sz w:val="20"/>
      <w:szCs w:val="20"/>
    </w:rPr>
  </w:style>
  <w:style w:type="character" w:customStyle="1" w:styleId="CommentSubjectChar">
    <w:name w:val="Comment Subject Char"/>
    <w:basedOn w:val="CommentTextChar"/>
    <w:link w:val="CommentSubject"/>
    <w:uiPriority w:val="99"/>
    <w:semiHidden/>
    <w:rsid w:val="00FB56AF"/>
    <w:rPr>
      <w:b/>
      <w:bCs/>
      <w:sz w:val="24"/>
      <w:szCs w:val="24"/>
      <w:lang w:val="en-US" w:eastAsia="en-US"/>
    </w:rPr>
  </w:style>
  <w:style w:type="paragraph" w:styleId="BalloonText">
    <w:name w:val="Balloon Text"/>
    <w:basedOn w:val="Normal"/>
    <w:link w:val="BalloonTextChar"/>
    <w:uiPriority w:val="99"/>
    <w:semiHidden/>
    <w:unhideWhenUsed/>
    <w:rsid w:val="00FB56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6AF"/>
    <w:rPr>
      <w:rFonts w:ascii="Lucida Grande" w:hAnsi="Lucida Grande" w:cs="Lucida Grande"/>
      <w:sz w:val="18"/>
      <w:szCs w:val="18"/>
      <w:lang w:val="en-US" w:eastAsia="en-US"/>
    </w:rPr>
  </w:style>
  <w:style w:type="paragraph" w:styleId="Revision">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Header">
    <w:name w:val="header"/>
    <w:basedOn w:val="Normal"/>
    <w:link w:val="HeaderChar"/>
    <w:uiPriority w:val="99"/>
    <w:unhideWhenUsed/>
    <w:rsid w:val="0058262D"/>
    <w:pPr>
      <w:tabs>
        <w:tab w:val="center" w:pos="4513"/>
        <w:tab w:val="right" w:pos="9026"/>
      </w:tabs>
    </w:pPr>
  </w:style>
  <w:style w:type="character" w:customStyle="1" w:styleId="HeaderChar">
    <w:name w:val="Header Char"/>
    <w:basedOn w:val="DefaultParagraphFont"/>
    <w:link w:val="Header"/>
    <w:uiPriority w:val="99"/>
    <w:rsid w:val="0058262D"/>
    <w:rPr>
      <w:sz w:val="24"/>
      <w:szCs w:val="24"/>
      <w:lang w:val="en-US" w:eastAsia="en-US"/>
    </w:rPr>
  </w:style>
  <w:style w:type="paragraph" w:styleId="Footer">
    <w:name w:val="footer"/>
    <w:basedOn w:val="Normal"/>
    <w:link w:val="FooterChar"/>
    <w:uiPriority w:val="99"/>
    <w:unhideWhenUsed/>
    <w:rsid w:val="0058262D"/>
    <w:pPr>
      <w:tabs>
        <w:tab w:val="center" w:pos="4513"/>
        <w:tab w:val="right" w:pos="9026"/>
      </w:tabs>
    </w:pPr>
  </w:style>
  <w:style w:type="character" w:customStyle="1" w:styleId="FooterChar">
    <w:name w:val="Footer Char"/>
    <w:basedOn w:val="DefaultParagraphFont"/>
    <w:link w:val="Footer"/>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UnresolvedMention">
    <w:name w:val="Unresolved Mention"/>
    <w:basedOn w:val="DefaultParagraphFont"/>
    <w:uiPriority w:val="99"/>
    <w:semiHidden/>
    <w:unhideWhenUsed/>
    <w:rsid w:val="006C64D5"/>
    <w:rPr>
      <w:color w:val="808080"/>
      <w:shd w:val="clear" w:color="auto" w:fill="E6E6E6"/>
    </w:rPr>
  </w:style>
  <w:style w:type="table" w:styleId="TableGrid">
    <w:name w:val="Table Grid"/>
    <w:basedOn w:val="Table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7071E8BF"/>
  </w:style>
  <w:style w:type="paragraph" w:customStyle="1" w:styleId="paragraph">
    <w:name w:val="paragraph"/>
    <w:basedOn w:val="Normal"/>
    <w:uiPriority w:val="1"/>
    <w:rsid w:val="7071E8BF"/>
    <w:pPr>
      <w:spacing w:beforeAutospacing="1" w:afterAutospacing="1"/>
    </w:pPr>
    <w:rPr>
      <w:rFonts w:eastAsia="Times New Roman"/>
      <w:lang w:eastAsia="en-GB"/>
    </w:rPr>
  </w:style>
  <w:style w:type="character" w:customStyle="1" w:styleId="apple-converted-space">
    <w:name w:val="apple-converted-space"/>
    <w:basedOn w:val="DefaultParagraphFont"/>
    <w:rsid w:val="00FB0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713</Words>
  <Characters>4066</Characters>
  <Application>Microsoft Office Word</Application>
  <DocSecurity>0</DocSecurity>
  <Lines>33</Lines>
  <Paragraphs>9</Paragraphs>
  <ScaleCrop>false</ScaleCrop>
  <Company>Kennedy Centret</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Abbie Nicole Smith</cp:lastModifiedBy>
  <cp:revision>7</cp:revision>
  <cp:lastPrinted>2018-06-03T09:54:00Z</cp:lastPrinted>
  <dcterms:created xsi:type="dcterms:W3CDTF">2023-04-06T16:26:00Z</dcterms:created>
  <dcterms:modified xsi:type="dcterms:W3CDTF">2023-04-07T09:26:00Z</dcterms:modified>
</cp:coreProperties>
</file>