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58A" w14:textId="77777777" w:rsidR="005D0376" w:rsidRPr="000A2A6B" w:rsidRDefault="005D0376" w:rsidP="005D0376">
      <w:pPr>
        <w:jc w:val="center"/>
        <w:rPr>
          <w:b/>
          <w:bCs/>
          <w:sz w:val="27"/>
          <w:szCs w:val="27"/>
          <w:lang w:val="en-GB"/>
        </w:rPr>
      </w:pPr>
      <w:r w:rsidRPr="000A2A6B">
        <w:rPr>
          <w:b/>
          <w:bCs/>
          <w:sz w:val="27"/>
          <w:szCs w:val="27"/>
          <w:lang w:val="en-GB"/>
        </w:rPr>
        <w:t xml:space="preserve">Non-just-right experiences are more closely related to OCD than tics in Tourette patients </w:t>
      </w:r>
    </w:p>
    <w:p w14:paraId="75480C09" w14:textId="68B4DB05" w:rsidR="00E64A0E" w:rsidRPr="00E64A0E" w:rsidRDefault="00E64A0E" w:rsidP="000A2A6B">
      <w:pPr>
        <w:jc w:val="center"/>
        <w:rPr>
          <w:vertAlign w:val="superscript"/>
          <w:lang w:val="en-GB"/>
        </w:rPr>
      </w:pPr>
      <w:r w:rsidRPr="00E64A0E">
        <w:rPr>
          <w:u w:val="single"/>
          <w:lang w:val="en-GB"/>
        </w:rPr>
        <w:t>Valerie Brandt, Ph.D.*</w:t>
      </w:r>
      <w:r w:rsidRPr="00E64A0E">
        <w:rPr>
          <w:u w:val="single"/>
          <w:vertAlign w:val="superscript"/>
          <w:lang w:val="en-GB"/>
        </w:rPr>
        <w:t>1,2</w:t>
      </w:r>
      <w:r w:rsidRPr="00E64A0E">
        <w:rPr>
          <w:u w:val="single"/>
          <w:lang w:val="en-GB"/>
        </w:rPr>
        <w:t>, Jan-Hendrik Otte, M.D.</w:t>
      </w:r>
      <w:r w:rsidRPr="00E64A0E">
        <w:rPr>
          <w:vertAlign w:val="superscript"/>
          <w:lang w:val="en-GB"/>
        </w:rPr>
        <w:t>1</w:t>
      </w:r>
      <w:r w:rsidRPr="00E64A0E">
        <w:rPr>
          <w:lang w:val="en-GB"/>
        </w:rPr>
        <w:t>, Carolin Fremer, MSc</w:t>
      </w:r>
      <w:r w:rsidRPr="00E64A0E">
        <w:rPr>
          <w:vertAlign w:val="superscript"/>
          <w:lang w:val="en-GB"/>
        </w:rPr>
        <w:t>1</w:t>
      </w:r>
      <w:r w:rsidRPr="00E64A0E">
        <w:rPr>
          <w:lang w:val="en-GB"/>
        </w:rPr>
        <w:t>, Ewgeni Jakubovski, Ph.D.</w:t>
      </w:r>
      <w:r w:rsidRPr="00E64A0E">
        <w:rPr>
          <w:vertAlign w:val="superscript"/>
          <w:lang w:val="en-GB"/>
        </w:rPr>
        <w:t>1</w:t>
      </w:r>
      <w:r w:rsidRPr="00E64A0E">
        <w:rPr>
          <w:lang w:val="en-GB"/>
        </w:rPr>
        <w:t>, Kirsten Müller-Vahl, M.D.</w:t>
      </w:r>
      <w:r w:rsidRPr="00E64A0E">
        <w:rPr>
          <w:vertAlign w:val="superscript"/>
          <w:lang w:val="en-GB"/>
        </w:rPr>
        <w:t>1</w:t>
      </w:r>
    </w:p>
    <w:p w14:paraId="48FECB77" w14:textId="115E3995" w:rsidR="00E64A0E" w:rsidRPr="00E64A0E" w:rsidRDefault="00E64A0E" w:rsidP="000A2A6B">
      <w:pPr>
        <w:spacing w:line="360" w:lineRule="auto"/>
        <w:jc w:val="center"/>
        <w:rPr>
          <w:lang w:val="en-GB"/>
        </w:rPr>
      </w:pPr>
      <w:r w:rsidRPr="00E64A0E">
        <w:rPr>
          <w:lang w:val="en-GB"/>
        </w:rPr>
        <w:t>Poster presentation: Catharina Cramer, MSc</w:t>
      </w:r>
      <w:r w:rsidRPr="00E64A0E">
        <w:rPr>
          <w:vertAlign w:val="superscript"/>
          <w:lang w:val="en-GB"/>
        </w:rPr>
        <w:t>1</w:t>
      </w:r>
    </w:p>
    <w:p w14:paraId="71D070FD" w14:textId="32859296" w:rsidR="00E64A0E" w:rsidRPr="00E64A0E" w:rsidRDefault="00E64A0E" w:rsidP="000A2A6B">
      <w:pPr>
        <w:spacing w:line="360" w:lineRule="auto"/>
        <w:jc w:val="center"/>
      </w:pPr>
      <w:r w:rsidRPr="00E64A0E">
        <w:rPr>
          <w:vertAlign w:val="superscript"/>
        </w:rPr>
        <w:t>1</w:t>
      </w:r>
      <w:r w:rsidRPr="00E64A0E">
        <w:t xml:space="preserve"> </w:t>
      </w:r>
      <w:r w:rsidRPr="00E64A0E">
        <w:rPr>
          <w:lang w:val="en-GB"/>
        </w:rPr>
        <w:t>Clinic of Psychiatry, Social Psychiatry and Psychotherapy, Hannover Medical School, Hanover, Germany</w:t>
      </w:r>
    </w:p>
    <w:p w14:paraId="5D2B3F16" w14:textId="77777777" w:rsidR="000A2A6B" w:rsidRDefault="00E64A0E" w:rsidP="000A2A6B">
      <w:pPr>
        <w:spacing w:line="360" w:lineRule="auto"/>
        <w:jc w:val="center"/>
      </w:pPr>
      <w:r w:rsidRPr="00E64A0E">
        <w:rPr>
          <w:vertAlign w:val="superscript"/>
        </w:rPr>
        <w:t xml:space="preserve">2 </w:t>
      </w:r>
      <w:r w:rsidRPr="00E64A0E">
        <w:t>School of Psychology, Centre for Innovation in Mental health, University of Southampton, Southampton, UK</w:t>
      </w:r>
    </w:p>
    <w:p w14:paraId="45125792" w14:textId="77777777" w:rsidR="000A2A6B" w:rsidRDefault="000A2A6B" w:rsidP="000A2A6B">
      <w:pPr>
        <w:jc w:val="center"/>
      </w:pPr>
      <w:bookmarkStart w:id="0" w:name="_GoBack"/>
      <w:bookmarkEnd w:id="0"/>
    </w:p>
    <w:p w14:paraId="12D80263" w14:textId="55B37C31" w:rsidR="00A96733" w:rsidRPr="000A2A6B" w:rsidRDefault="00A96733" w:rsidP="000A2A6B">
      <w:r w:rsidRPr="000A2A6B">
        <w:rPr>
          <w:b/>
        </w:rPr>
        <w:t>Background</w:t>
      </w:r>
    </w:p>
    <w:p w14:paraId="03E04B9D" w14:textId="27A268D6" w:rsidR="00A96733" w:rsidRPr="000A2A6B" w:rsidRDefault="00B44EBD" w:rsidP="000A2A6B">
      <w:pPr>
        <w:rPr>
          <w:rFonts w:eastAsia="MS Mincho"/>
          <w:lang w:val="fr-FR" w:eastAsia="da-DK"/>
        </w:rPr>
      </w:pPr>
      <w:r>
        <w:rPr>
          <w:rFonts w:eastAsia="MS Mincho"/>
          <w:lang w:eastAsia="da-DK"/>
        </w:rPr>
        <w:t>Most</w:t>
      </w:r>
      <w:r w:rsidR="005D0376" w:rsidRPr="000A2A6B">
        <w:rPr>
          <w:rFonts w:eastAsia="MS Mincho"/>
          <w:lang w:eastAsia="da-DK"/>
        </w:rPr>
        <w:t xml:space="preserve"> </w:t>
      </w:r>
      <w:r w:rsidR="00DD01EC" w:rsidRPr="000A2A6B">
        <w:rPr>
          <w:rFonts w:eastAsia="MS Mincho"/>
          <w:lang w:eastAsia="da-DK"/>
        </w:rPr>
        <w:t xml:space="preserve">adult </w:t>
      </w:r>
      <w:r w:rsidR="005D0376" w:rsidRPr="000A2A6B">
        <w:rPr>
          <w:rFonts w:eastAsia="MS Mincho"/>
          <w:lang w:eastAsia="da-DK"/>
        </w:rPr>
        <w:t>patients diagn</w:t>
      </w:r>
      <w:r w:rsidR="000A2A6B">
        <w:rPr>
          <w:rFonts w:eastAsia="MS Mincho"/>
          <w:lang w:eastAsia="da-DK"/>
        </w:rPr>
        <w:t>osed with Tourette syndrome report to</w:t>
      </w:r>
      <w:r w:rsidR="005D0376" w:rsidRPr="000A2A6B">
        <w:rPr>
          <w:rFonts w:eastAsia="MS Mincho"/>
          <w:lang w:eastAsia="da-DK"/>
        </w:rPr>
        <w:t xml:space="preserve"> perc</w:t>
      </w:r>
      <w:r>
        <w:rPr>
          <w:rFonts w:eastAsia="MS Mincho"/>
          <w:lang w:eastAsia="da-DK"/>
        </w:rPr>
        <w:t>eive</w:t>
      </w:r>
      <w:r w:rsidR="000A2A6B">
        <w:rPr>
          <w:rFonts w:eastAsia="MS Mincho"/>
          <w:lang w:eastAsia="da-DK"/>
        </w:rPr>
        <w:t xml:space="preserve"> premonitory urge</w:t>
      </w:r>
      <w:r>
        <w:rPr>
          <w:rFonts w:eastAsia="MS Mincho"/>
          <w:lang w:eastAsia="da-DK"/>
        </w:rPr>
        <w:t>s</w:t>
      </w:r>
      <w:r w:rsidR="000A2A6B">
        <w:rPr>
          <w:rFonts w:eastAsia="MS Mincho"/>
          <w:lang w:eastAsia="da-DK"/>
        </w:rPr>
        <w:t xml:space="preserve"> before</w:t>
      </w:r>
      <w:r w:rsidR="005D0376" w:rsidRPr="000A2A6B">
        <w:rPr>
          <w:rFonts w:eastAsia="MS Mincho"/>
          <w:lang w:eastAsia="da-DK"/>
        </w:rPr>
        <w:t xml:space="preserve"> tic</w:t>
      </w:r>
      <w:r w:rsidR="000A2A6B">
        <w:rPr>
          <w:rFonts w:eastAsia="MS Mincho"/>
          <w:lang w:eastAsia="da-DK"/>
        </w:rPr>
        <w:t>s occur</w:t>
      </w:r>
      <w:r w:rsidR="005D0376" w:rsidRPr="000A2A6B">
        <w:rPr>
          <w:rFonts w:eastAsia="MS Mincho"/>
          <w:lang w:eastAsia="da-DK"/>
        </w:rPr>
        <w:t xml:space="preserve">. </w:t>
      </w:r>
      <w:r w:rsidR="00DD01EC" w:rsidRPr="000A2A6B">
        <w:rPr>
          <w:rFonts w:eastAsia="MS Mincho"/>
          <w:lang w:eastAsia="da-DK"/>
        </w:rPr>
        <w:t>Likewise</w:t>
      </w:r>
      <w:r w:rsidR="005D0376" w:rsidRPr="000A2A6B">
        <w:rPr>
          <w:rFonts w:eastAsia="MS Mincho"/>
          <w:lang w:eastAsia="da-DK"/>
        </w:rPr>
        <w:t>, patients wit</w:t>
      </w:r>
      <w:r>
        <w:rPr>
          <w:rFonts w:eastAsia="MS Mincho"/>
          <w:lang w:eastAsia="da-DK"/>
        </w:rPr>
        <w:t xml:space="preserve">h obsessive-compulsive behavior or </w:t>
      </w:r>
      <w:r w:rsidR="005D0376" w:rsidRPr="000A2A6B">
        <w:rPr>
          <w:rFonts w:eastAsia="MS Mincho"/>
          <w:lang w:eastAsia="da-DK"/>
        </w:rPr>
        <w:t xml:space="preserve">disorder (OCB/OCD) report non-just-right experiences </w:t>
      </w:r>
      <w:r w:rsidR="00DD01EC" w:rsidRPr="000A2A6B">
        <w:rPr>
          <w:rFonts w:eastAsia="MS Mincho"/>
          <w:lang w:eastAsia="da-DK"/>
        </w:rPr>
        <w:t>before performing corresponding behavior</w:t>
      </w:r>
      <w:r w:rsidR="005D0376" w:rsidRPr="000A2A6B">
        <w:rPr>
          <w:rFonts w:eastAsia="MS Mincho"/>
          <w:lang w:eastAsia="da-DK"/>
        </w:rPr>
        <w:t xml:space="preserve">. OCB/OCD </w:t>
      </w:r>
      <w:r w:rsidR="00DD01EC" w:rsidRPr="000A2A6B">
        <w:rPr>
          <w:rFonts w:eastAsia="MS Mincho"/>
          <w:lang w:eastAsia="da-DK"/>
        </w:rPr>
        <w:t>is known</w:t>
      </w:r>
      <w:r w:rsidR="005D0376" w:rsidRPr="000A2A6B">
        <w:rPr>
          <w:rFonts w:eastAsia="MS Mincho"/>
          <w:lang w:eastAsia="da-DK"/>
        </w:rPr>
        <w:t xml:space="preserve"> to</w:t>
      </w:r>
      <w:r>
        <w:rPr>
          <w:rFonts w:eastAsia="MS Mincho"/>
          <w:lang w:eastAsia="da-DK"/>
        </w:rPr>
        <w:t xml:space="preserve"> be a frequent comorbidity to Tourette syndrome</w:t>
      </w:r>
      <w:r w:rsidR="005D0376" w:rsidRPr="000A2A6B">
        <w:rPr>
          <w:rFonts w:eastAsia="MS Mincho"/>
          <w:lang w:eastAsia="da-DK"/>
        </w:rPr>
        <w:t xml:space="preserve">. </w:t>
      </w:r>
      <w:r w:rsidR="00DD01EC" w:rsidRPr="000A2A6B">
        <w:rPr>
          <w:rFonts w:eastAsia="MS Mincho"/>
          <w:lang w:eastAsia="da-DK"/>
        </w:rPr>
        <w:t xml:space="preserve">Some not-just-right experiences have been associated to premonitory urges. Our aim is to assess </w:t>
      </w:r>
      <w:r w:rsidR="00DD01EC" w:rsidRPr="000A2A6B">
        <w:rPr>
          <w:lang w:val="en-GB"/>
        </w:rPr>
        <w:t xml:space="preserve">whether non-just-right experiences </w:t>
      </w:r>
      <w:r w:rsidR="00726AD4" w:rsidRPr="000A2A6B">
        <w:rPr>
          <w:lang w:val="en-GB"/>
        </w:rPr>
        <w:t xml:space="preserve">(NJRE) </w:t>
      </w:r>
      <w:r w:rsidR="00DD01EC" w:rsidRPr="000A2A6B">
        <w:rPr>
          <w:lang w:val="en-GB"/>
        </w:rPr>
        <w:t>are more closely related to tics and tic-associated premonitory urges or whether they are more closely associated with OCB</w:t>
      </w:r>
      <w:r w:rsidR="00726AD4">
        <w:rPr>
          <w:lang w:val="en-GB"/>
        </w:rPr>
        <w:t>/OCD</w:t>
      </w:r>
      <w:r w:rsidR="00DD01EC" w:rsidRPr="000A2A6B">
        <w:rPr>
          <w:lang w:val="en-GB"/>
        </w:rPr>
        <w:t>.</w:t>
      </w:r>
    </w:p>
    <w:p w14:paraId="4EC169A0" w14:textId="4F7561B2" w:rsidR="00A96733" w:rsidRPr="000A2A6B" w:rsidRDefault="000A2A6B" w:rsidP="000A2A6B">
      <w:pPr>
        <w:rPr>
          <w:b/>
        </w:rPr>
      </w:pPr>
      <w:r w:rsidRPr="000A2A6B">
        <w:rPr>
          <w:b/>
        </w:rPr>
        <w:t>Methods</w:t>
      </w:r>
    </w:p>
    <w:p w14:paraId="6CFE03AD" w14:textId="776E4547" w:rsidR="00A96733" w:rsidRPr="000A2A6B" w:rsidRDefault="00DD01EC" w:rsidP="000A2A6B">
      <w:pPr>
        <w:rPr>
          <w:b/>
          <w:bCs/>
          <w:lang w:val="en-GB"/>
        </w:rPr>
      </w:pPr>
      <w:r w:rsidRPr="000A2A6B">
        <w:rPr>
          <w:rFonts w:eastAsia="MS Mincho"/>
          <w:lang w:eastAsia="da-DK"/>
        </w:rPr>
        <w:t>We assessed N = 111 patients</w:t>
      </w:r>
      <w:r w:rsidR="00E64A0E" w:rsidRPr="000A2A6B">
        <w:rPr>
          <w:rFonts w:eastAsia="MS Mincho"/>
          <w:lang w:eastAsia="da-DK"/>
        </w:rPr>
        <w:t xml:space="preserve"> at the</w:t>
      </w:r>
      <w:r w:rsidRPr="000A2A6B">
        <w:rPr>
          <w:rFonts w:eastAsia="MS Mincho"/>
          <w:lang w:eastAsia="da-DK"/>
        </w:rPr>
        <w:t xml:space="preserve"> </w:t>
      </w:r>
      <w:r w:rsidR="000A2A6B">
        <w:rPr>
          <w:rFonts w:eastAsia="MS Mincho"/>
          <w:lang w:eastAsia="da-DK"/>
        </w:rPr>
        <w:t xml:space="preserve">Tourette </w:t>
      </w:r>
      <w:r w:rsidR="00E64A0E" w:rsidRPr="000A2A6B">
        <w:rPr>
          <w:lang w:val="en-GB"/>
        </w:rPr>
        <w:t xml:space="preserve">specialty clinic at the Hannover Medical School </w:t>
      </w:r>
      <w:r w:rsidRPr="000A2A6B">
        <w:rPr>
          <w:rFonts w:eastAsia="MS Mincho"/>
          <w:lang w:eastAsia="da-DK"/>
        </w:rPr>
        <w:t xml:space="preserve">(mean age = 34.77 +/- 12.93; N = 37 female) with </w:t>
      </w:r>
      <w:r w:rsidRPr="000A2A6B">
        <w:rPr>
          <w:lang w:val="en-GB"/>
        </w:rPr>
        <w:t>a confirmed diagnosis of Tourette syndrome</w:t>
      </w:r>
      <w:r w:rsidR="000A2A6B">
        <w:rPr>
          <w:lang w:val="en-GB"/>
        </w:rPr>
        <w:t>. They</w:t>
      </w:r>
      <w:r w:rsidRPr="000A2A6B">
        <w:rPr>
          <w:lang w:val="en-GB"/>
        </w:rPr>
        <w:t xml:space="preserve"> completed the premonitory urges for tic disorders scale (PUTS), the revised non-just-right experiences scale, and questionnaires regarding their tic severity, and comorbid OCB</w:t>
      </w:r>
      <w:r w:rsidR="00726AD4">
        <w:rPr>
          <w:lang w:val="en-GB"/>
        </w:rPr>
        <w:t>/OCD</w:t>
      </w:r>
      <w:r w:rsidRPr="000A2A6B">
        <w:rPr>
          <w:lang w:val="en-GB"/>
        </w:rPr>
        <w:t>. A multi-trait-multi-methods matrix was calculated to examine associations amongst scales measuring tic-related and OCB-related phenomena.</w:t>
      </w:r>
    </w:p>
    <w:p w14:paraId="67DFFAE8" w14:textId="5172EF27" w:rsidR="00A96733" w:rsidRPr="000A2A6B" w:rsidRDefault="00A96733" w:rsidP="000A2A6B">
      <w:pPr>
        <w:rPr>
          <w:b/>
        </w:rPr>
      </w:pPr>
      <w:r w:rsidRPr="000A2A6B">
        <w:rPr>
          <w:b/>
        </w:rPr>
        <w:t>Results and Conclus</w:t>
      </w:r>
      <w:r w:rsidR="000A2A6B" w:rsidRPr="000A2A6B">
        <w:rPr>
          <w:b/>
        </w:rPr>
        <w:t>ions</w:t>
      </w:r>
    </w:p>
    <w:p w14:paraId="624CEEDC" w14:textId="6FEBFBBF" w:rsidR="00A77507" w:rsidRPr="000A2A6B" w:rsidRDefault="000A2A6B" w:rsidP="000A2A6B">
      <w:pPr>
        <w:rPr>
          <w:lang w:val="en-GB"/>
        </w:rPr>
      </w:pPr>
      <w:r w:rsidRPr="000A2A6B">
        <w:rPr>
          <w:lang w:val="en-GB"/>
        </w:rPr>
        <w:t>The premonitory urges measured with PUTS</w:t>
      </w:r>
      <w:r w:rsidR="00A77507" w:rsidRPr="000A2A6B">
        <w:rPr>
          <w:lang w:val="en-GB"/>
        </w:rPr>
        <w:t xml:space="preserve"> correlated overall higher with tic questionnaires th</w:t>
      </w:r>
      <w:r w:rsidRPr="000A2A6B">
        <w:rPr>
          <w:lang w:val="en-GB"/>
        </w:rPr>
        <w:t xml:space="preserve">an with OCD/OCB questionnaires. </w:t>
      </w:r>
      <w:r w:rsidR="00A77507" w:rsidRPr="000A2A6B">
        <w:rPr>
          <w:lang w:val="en-GB"/>
        </w:rPr>
        <w:t>NJRE correlated higher with OCB than with tic severity.</w:t>
      </w:r>
      <w:r w:rsidR="00E64A0E" w:rsidRPr="000A2A6B">
        <w:rPr>
          <w:lang w:val="en-GB"/>
        </w:rPr>
        <w:t xml:space="preserve"> </w:t>
      </w:r>
      <w:r w:rsidR="00A77507" w:rsidRPr="000A2A6B">
        <w:rPr>
          <w:lang w:val="en-GB"/>
        </w:rPr>
        <w:t>The</w:t>
      </w:r>
      <w:r w:rsidR="00E64A0E" w:rsidRPr="000A2A6B">
        <w:rPr>
          <w:lang w:val="en-GB"/>
        </w:rPr>
        <w:t>se</w:t>
      </w:r>
      <w:r w:rsidR="00A77507" w:rsidRPr="000A2A6B">
        <w:rPr>
          <w:lang w:val="en-GB"/>
        </w:rPr>
        <w:t xml:space="preserve"> results indicate that </w:t>
      </w:r>
      <w:r w:rsidR="00E64A0E" w:rsidRPr="000A2A6B">
        <w:rPr>
          <w:lang w:val="en-GB"/>
        </w:rPr>
        <w:t xml:space="preserve">even though some Tourette syndrome patients report </w:t>
      </w:r>
      <w:r w:rsidR="00726AD4" w:rsidRPr="000A2A6B">
        <w:rPr>
          <w:lang w:val="en-GB"/>
        </w:rPr>
        <w:t>NJRE</w:t>
      </w:r>
      <w:r w:rsidR="00E64A0E" w:rsidRPr="000A2A6B">
        <w:rPr>
          <w:lang w:val="en-GB"/>
        </w:rPr>
        <w:t xml:space="preserve">, these </w:t>
      </w:r>
      <w:r w:rsidR="00A77507" w:rsidRPr="000A2A6B">
        <w:rPr>
          <w:lang w:val="en-GB"/>
        </w:rPr>
        <w:t>are more closely associated with comorbid OCB</w:t>
      </w:r>
      <w:r w:rsidR="00726AD4">
        <w:rPr>
          <w:lang w:val="en-GB"/>
        </w:rPr>
        <w:t>/OCD</w:t>
      </w:r>
      <w:r w:rsidR="00A77507" w:rsidRPr="000A2A6B">
        <w:rPr>
          <w:lang w:val="en-GB"/>
        </w:rPr>
        <w:t xml:space="preserve"> than with tics.</w:t>
      </w:r>
      <w:r w:rsidR="00E64A0E" w:rsidRPr="000A2A6B">
        <w:rPr>
          <w:lang w:val="en-GB"/>
        </w:rPr>
        <w:t xml:space="preserve"> </w:t>
      </w:r>
    </w:p>
    <w:p w14:paraId="1975A9A3" w14:textId="55C493E5" w:rsidR="005D0376" w:rsidRPr="00A77507" w:rsidRDefault="005D0376" w:rsidP="00A96733">
      <w:pPr>
        <w:rPr>
          <w:rFonts w:eastAsia="MS Mincho"/>
          <w:lang w:val="en-GB" w:eastAsia="da-DK"/>
        </w:rPr>
      </w:pPr>
    </w:p>
    <w:p w14:paraId="27696DAF" w14:textId="77777777" w:rsidR="005D0376" w:rsidRDefault="005D0376" w:rsidP="005D0376">
      <w:pPr>
        <w:spacing w:line="360" w:lineRule="auto"/>
        <w:rPr>
          <w:rFonts w:ascii="Times" w:hAnsi="Times"/>
          <w:i/>
          <w:iCs/>
          <w:lang w:val="en-GB"/>
        </w:rPr>
      </w:pPr>
    </w:p>
    <w:p w14:paraId="00DCBD4B" w14:textId="77777777" w:rsidR="00A96733" w:rsidRPr="008C69FC" w:rsidRDefault="00A96733" w:rsidP="00A96733">
      <w:pPr>
        <w:spacing w:line="360" w:lineRule="auto"/>
        <w:jc w:val="center"/>
        <w:rPr>
          <w:rFonts w:eastAsia="Times New Roman"/>
          <w:lang w:eastAsia="da-DK"/>
        </w:rPr>
      </w:pPr>
    </w:p>
    <w:p w14:paraId="2F56A902" w14:textId="43AC822E" w:rsidR="00A96733" w:rsidRDefault="00A96733" w:rsidP="00A96733">
      <w:pPr>
        <w:rPr>
          <w:rFonts w:eastAsia="Times New Roman"/>
          <w:b/>
          <w:color w:val="FF0000"/>
          <w:lang w:eastAsia="da-DK"/>
        </w:rPr>
      </w:pPr>
    </w:p>
    <w:p w14:paraId="4C0AF4F4" w14:textId="5B64111A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28F0F1D5" w14:textId="3E7A349F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1419319" w14:textId="7BB5100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34D6C0" w14:textId="421F677B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49D1AA88" w14:textId="0B87FCE0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AFCCC34" w14:textId="4F32D4E2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FCE14CC" w14:textId="0164E4BE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7BDD42E" w14:textId="6881B908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C1680C1" w14:textId="3A66D0B8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2A1F5" w14:textId="77777777" w:rsidR="007B5FD5" w:rsidRDefault="007B5FD5">
      <w:r>
        <w:separator/>
      </w:r>
    </w:p>
  </w:endnote>
  <w:endnote w:type="continuationSeparator" w:id="0">
    <w:p w14:paraId="0F729D64" w14:textId="77777777" w:rsidR="007B5FD5" w:rsidRDefault="007B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uzeile"/>
          <w:jc w:val="center"/>
        </w:pPr>
      </w:p>
      <w:p w14:paraId="18BFC470" w14:textId="6797DC72" w:rsidR="00777248" w:rsidRDefault="00777248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C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CE668" w14:textId="77777777" w:rsidR="007B5FD5" w:rsidRDefault="007B5FD5">
      <w:r>
        <w:separator/>
      </w:r>
    </w:p>
  </w:footnote>
  <w:footnote w:type="continuationSeparator" w:id="0">
    <w:p w14:paraId="4C04BAEC" w14:textId="77777777" w:rsidR="007B5FD5" w:rsidRDefault="007B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B97D5" w14:textId="209B4A2B" w:rsidR="00777248" w:rsidRDefault="00D2330C" w:rsidP="006357B0">
    <w:pPr>
      <w:pStyle w:val="Kopfzeile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val="de-DE" w:eastAsia="de-DE"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Kopfzeile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en-GB" w:vendorID="64" w:dllVersion="131078" w:nlCheck="1" w:checkStyle="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A2A6B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A31F9"/>
    <w:rsid w:val="002C25EC"/>
    <w:rsid w:val="002C3474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F5BDB"/>
    <w:rsid w:val="003F6BD3"/>
    <w:rsid w:val="004031FD"/>
    <w:rsid w:val="00440E12"/>
    <w:rsid w:val="00446966"/>
    <w:rsid w:val="004A2B4B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0376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26AD4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D05F3"/>
    <w:rsid w:val="007F0D68"/>
    <w:rsid w:val="00816227"/>
    <w:rsid w:val="00817B30"/>
    <w:rsid w:val="0083797A"/>
    <w:rsid w:val="00851661"/>
    <w:rsid w:val="00863537"/>
    <w:rsid w:val="008641B5"/>
    <w:rsid w:val="00890048"/>
    <w:rsid w:val="008A4877"/>
    <w:rsid w:val="008A69C9"/>
    <w:rsid w:val="009027EE"/>
    <w:rsid w:val="00914391"/>
    <w:rsid w:val="00933C20"/>
    <w:rsid w:val="00937E61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77507"/>
    <w:rsid w:val="00A96733"/>
    <w:rsid w:val="00AB7A5C"/>
    <w:rsid w:val="00AD5BDE"/>
    <w:rsid w:val="00AF0F53"/>
    <w:rsid w:val="00B02D44"/>
    <w:rsid w:val="00B07846"/>
    <w:rsid w:val="00B26C2E"/>
    <w:rsid w:val="00B42A75"/>
    <w:rsid w:val="00B44EBD"/>
    <w:rsid w:val="00B4745E"/>
    <w:rsid w:val="00B47910"/>
    <w:rsid w:val="00B47AB4"/>
    <w:rsid w:val="00B66333"/>
    <w:rsid w:val="00B842E7"/>
    <w:rsid w:val="00BB21C2"/>
    <w:rsid w:val="00BF27F5"/>
    <w:rsid w:val="00C04600"/>
    <w:rsid w:val="00C1559C"/>
    <w:rsid w:val="00C3177D"/>
    <w:rsid w:val="00C67540"/>
    <w:rsid w:val="00C84115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47C71"/>
    <w:rsid w:val="00D502AF"/>
    <w:rsid w:val="00D56A96"/>
    <w:rsid w:val="00D8505B"/>
    <w:rsid w:val="00DA465C"/>
    <w:rsid w:val="00DB31D4"/>
    <w:rsid w:val="00DB517D"/>
    <w:rsid w:val="00DC667B"/>
    <w:rsid w:val="00DD01EC"/>
    <w:rsid w:val="00DD7704"/>
    <w:rsid w:val="00DE5000"/>
    <w:rsid w:val="00DF5871"/>
    <w:rsid w:val="00E03CAF"/>
    <w:rsid w:val="00E071DB"/>
    <w:rsid w:val="00E320DE"/>
    <w:rsid w:val="00E45778"/>
    <w:rsid w:val="00E64A0E"/>
    <w:rsid w:val="00E813B4"/>
    <w:rsid w:val="00E8329C"/>
    <w:rsid w:val="00E87F5D"/>
    <w:rsid w:val="00E93B9B"/>
    <w:rsid w:val="00E9458D"/>
    <w:rsid w:val="00ED1733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enabsatz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FB56A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FB56AF"/>
  </w:style>
  <w:style w:type="character" w:customStyle="1" w:styleId="KommentartextZchn">
    <w:name w:val="Kommentartext Zchn"/>
    <w:basedOn w:val="Absatz-Standardschriftart"/>
    <w:link w:val="Kommentartext"/>
    <w:uiPriority w:val="99"/>
    <w:rsid w:val="00FB56AF"/>
    <w:rPr>
      <w:sz w:val="24"/>
      <w:szCs w:val="24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berarbeitung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StandardWeb">
    <w:name w:val="Normal (Web)"/>
    <w:basedOn w:val="Standard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Kopfzeile">
    <w:name w:val="header"/>
    <w:basedOn w:val="Standard"/>
    <w:link w:val="KopfzeileZch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262D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NormaleTabelle"/>
    <w:next w:val="Tabellenraster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NormaleTabelle"/>
    <w:next w:val="Tabellenraster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E2EA4-BFD3-4916-A5BD-1BFFEBAD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1704</Characters>
  <Application>Microsoft Office Word</Application>
  <DocSecurity>0</DocSecurity>
  <Lines>14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Cramer, Catharina</dc:creator>
  <cp:lastModifiedBy>Cramer, Catharina</cp:lastModifiedBy>
  <cp:revision>5</cp:revision>
  <cp:lastPrinted>2018-06-03T09:54:00Z</cp:lastPrinted>
  <dcterms:created xsi:type="dcterms:W3CDTF">2023-04-06T07:27:00Z</dcterms:created>
  <dcterms:modified xsi:type="dcterms:W3CDTF">2023-04-07T15:23:00Z</dcterms:modified>
</cp:coreProperties>
</file>