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B2802" w14:textId="7AAC3D65" w:rsidR="00913CCB" w:rsidRPr="00913CCB" w:rsidRDefault="00942F62" w:rsidP="00913CC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b/>
          <w:bCs/>
          <w:sz w:val="27"/>
          <w:szCs w:val="27"/>
          <w:bdr w:val="none" w:sz="0" w:space="0" w:color="auto"/>
        </w:rPr>
      </w:pPr>
      <w:r w:rsidRPr="00942F62">
        <w:rPr>
          <w:rFonts w:eastAsia="Calibri"/>
          <w:b/>
          <w:bCs/>
          <w:sz w:val="27"/>
          <w:szCs w:val="27"/>
          <w:bdr w:val="none" w:sz="0" w:space="0" w:color="auto"/>
        </w:rPr>
        <w:t>Changes in tic suppression ability and urge intensity over a 10 week habit reversal training in adult patients with Tourette syndrome</w:t>
      </w:r>
    </w:p>
    <w:p w14:paraId="1BFFF8E3" w14:textId="655F5A88" w:rsidR="00942F62" w:rsidRPr="00913CCB" w:rsidRDefault="00942F62" w:rsidP="00913CCB">
      <w:p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rPr>
          <w:rFonts w:eastAsia="Calibri"/>
          <w:bdr w:val="none" w:sz="0" w:space="0" w:color="auto"/>
          <w:lang w:val="de-DE"/>
        </w:rPr>
      </w:pPr>
      <w:r w:rsidRPr="00942F62">
        <w:rPr>
          <w:rFonts w:eastAsia="Calibri"/>
          <w:u w:val="single"/>
          <w:bdr w:val="none" w:sz="0" w:space="0" w:color="auto"/>
          <w:lang w:val="de-DE"/>
        </w:rPr>
        <w:t>Eberhard, A.-L.</w:t>
      </w:r>
      <w:r w:rsidRPr="00942F62">
        <w:rPr>
          <w:rFonts w:eastAsia="Calibri"/>
          <w:bdr w:val="none" w:sz="0" w:space="0" w:color="auto"/>
          <w:vertAlign w:val="superscript"/>
          <w:lang w:val="de-DE"/>
        </w:rPr>
        <w:t>1</w:t>
      </w:r>
      <w:r w:rsidRPr="00942F62">
        <w:rPr>
          <w:rFonts w:eastAsia="Calibri"/>
          <w:bdr w:val="none" w:sz="0" w:space="0" w:color="auto"/>
          <w:lang w:val="de-DE"/>
        </w:rPr>
        <w:t>, Cramer, C.</w:t>
      </w:r>
      <w:r w:rsidRPr="00942F62">
        <w:rPr>
          <w:rFonts w:eastAsia="Calibri"/>
          <w:bdr w:val="none" w:sz="0" w:space="0" w:color="auto"/>
          <w:vertAlign w:val="superscript"/>
          <w:lang w:val="de-DE"/>
        </w:rPr>
        <w:t>1</w:t>
      </w:r>
      <w:r w:rsidRPr="00942F62">
        <w:rPr>
          <w:rFonts w:eastAsia="Calibri"/>
          <w:bdr w:val="none" w:sz="0" w:space="0" w:color="auto"/>
          <w:lang w:val="de-DE"/>
        </w:rPr>
        <w:t>, Kleine-</w:t>
      </w:r>
      <w:proofErr w:type="spellStart"/>
      <w:r w:rsidRPr="00942F62">
        <w:rPr>
          <w:rFonts w:eastAsia="Calibri"/>
          <w:bdr w:val="none" w:sz="0" w:space="0" w:color="auto"/>
          <w:lang w:val="de-DE"/>
        </w:rPr>
        <w:t>Bühning</w:t>
      </w:r>
      <w:proofErr w:type="spellEnd"/>
      <w:r w:rsidRPr="00942F62">
        <w:rPr>
          <w:rFonts w:eastAsia="Calibri"/>
          <w:bdr w:val="none" w:sz="0" w:space="0" w:color="auto"/>
          <w:lang w:val="de-DE"/>
        </w:rPr>
        <w:t>, A.</w:t>
      </w:r>
      <w:r w:rsidRPr="00942F62">
        <w:rPr>
          <w:rFonts w:eastAsia="Calibri"/>
          <w:bdr w:val="none" w:sz="0" w:space="0" w:color="auto"/>
          <w:vertAlign w:val="superscript"/>
          <w:lang w:val="de-DE"/>
        </w:rPr>
        <w:t>1</w:t>
      </w:r>
      <w:r w:rsidRPr="00942F62">
        <w:rPr>
          <w:rFonts w:eastAsia="Calibri"/>
          <w:bdr w:val="none" w:sz="0" w:space="0" w:color="auto"/>
          <w:lang w:val="de-DE"/>
        </w:rPr>
        <w:t>, Wang, A.</w:t>
      </w:r>
      <w:r w:rsidRPr="00942F62">
        <w:rPr>
          <w:rFonts w:eastAsia="Calibri"/>
          <w:bdr w:val="none" w:sz="0" w:space="0" w:color="auto"/>
          <w:vertAlign w:val="superscript"/>
          <w:lang w:val="de-DE"/>
        </w:rPr>
        <w:t>2</w:t>
      </w:r>
      <w:r w:rsidRPr="00942F62">
        <w:rPr>
          <w:rFonts w:eastAsia="Calibri"/>
          <w:bdr w:val="none" w:sz="0" w:space="0" w:color="auto"/>
          <w:lang w:val="de-DE"/>
        </w:rPr>
        <w:t>, Müller-</w:t>
      </w:r>
      <w:proofErr w:type="spellStart"/>
      <w:r w:rsidRPr="00942F62">
        <w:rPr>
          <w:rFonts w:eastAsia="Calibri"/>
          <w:bdr w:val="none" w:sz="0" w:space="0" w:color="auto"/>
          <w:lang w:val="de-DE"/>
        </w:rPr>
        <w:t>Vahl</w:t>
      </w:r>
      <w:proofErr w:type="spellEnd"/>
      <w:r w:rsidRPr="00942F62">
        <w:rPr>
          <w:rFonts w:eastAsia="Calibri"/>
          <w:bdr w:val="none" w:sz="0" w:space="0" w:color="auto"/>
          <w:lang w:val="de-DE"/>
        </w:rPr>
        <w:t>, K.</w:t>
      </w:r>
      <w:r w:rsidRPr="00942F62">
        <w:rPr>
          <w:rFonts w:eastAsia="Calibri"/>
          <w:bdr w:val="none" w:sz="0" w:space="0" w:color="auto"/>
          <w:vertAlign w:val="superscript"/>
          <w:lang w:val="de-DE"/>
        </w:rPr>
        <w:t>1</w:t>
      </w:r>
      <w:r w:rsidRPr="00942F62">
        <w:rPr>
          <w:rFonts w:eastAsia="Calibri"/>
          <w:bdr w:val="none" w:sz="0" w:space="0" w:color="auto"/>
          <w:lang w:val="de-DE"/>
        </w:rPr>
        <w:t>, Brandt, V</w:t>
      </w:r>
      <w:r w:rsidRPr="00942F62">
        <w:rPr>
          <w:rFonts w:eastAsia="Calibri"/>
          <w:bdr w:val="none" w:sz="0" w:space="0" w:color="auto"/>
          <w:vertAlign w:val="superscript"/>
          <w:lang w:val="de-DE"/>
        </w:rPr>
        <w:t>2</w:t>
      </w:r>
      <w:r w:rsidRPr="00942F62">
        <w:rPr>
          <w:rFonts w:eastAsia="Calibri"/>
          <w:bdr w:val="none" w:sz="0" w:space="0" w:color="auto"/>
          <w:lang w:val="de-DE"/>
        </w:rPr>
        <w:t>.</w:t>
      </w:r>
    </w:p>
    <w:p w14:paraId="45FBE957" w14:textId="074FC4B0" w:rsidR="00942F62" w:rsidRPr="00942F62" w:rsidRDefault="00942F62" w:rsidP="00913CCB">
      <w:pPr>
        <w:pBdr>
          <w:top w:val="none" w:sz="0" w:space="0" w:color="auto"/>
          <w:left w:val="none" w:sz="0" w:space="0" w:color="auto"/>
          <w:bottom w:val="none" w:sz="0" w:space="0" w:color="auto"/>
          <w:right w:val="none" w:sz="0" w:space="0" w:color="auto"/>
          <w:between w:val="none" w:sz="0" w:space="0" w:color="auto"/>
          <w:bar w:val="none" w:sz="0" w:color="auto"/>
        </w:pBdr>
        <w:spacing w:after="240" w:line="360" w:lineRule="auto"/>
        <w:jc w:val="center"/>
        <w:rPr>
          <w:rFonts w:eastAsia="Calibri"/>
          <w:bdr w:val="none" w:sz="0" w:space="0" w:color="auto"/>
        </w:rPr>
      </w:pPr>
      <w:r w:rsidRPr="00942F62">
        <w:rPr>
          <w:rFonts w:eastAsia="Calibri"/>
          <w:bdr w:val="none" w:sz="0" w:space="0" w:color="auto"/>
          <w:vertAlign w:val="superscript"/>
        </w:rPr>
        <w:t>1</w:t>
      </w:r>
      <w:r w:rsidRPr="00942F62">
        <w:rPr>
          <w:rFonts w:eastAsia="Calibri"/>
          <w:bdr w:val="none" w:sz="0" w:space="0" w:color="auto"/>
        </w:rPr>
        <w:t xml:space="preserve"> </w:t>
      </w:r>
      <w:r w:rsidRPr="00942F62">
        <w:rPr>
          <w:rFonts w:eastAsia="Calibri"/>
          <w:bdr w:val="none" w:sz="0" w:space="0" w:color="auto"/>
          <w:lang w:val="en-GB"/>
        </w:rPr>
        <w:t>Clinic of P</w:t>
      </w:r>
      <w:r w:rsidR="00913CCB">
        <w:rPr>
          <w:rFonts w:eastAsia="Calibri"/>
          <w:bdr w:val="none" w:sz="0" w:space="0" w:color="auto"/>
          <w:lang w:val="en-GB"/>
        </w:rPr>
        <w:t>sychiatry, Social Psychiatry and</w:t>
      </w:r>
      <w:r w:rsidRPr="00942F62">
        <w:rPr>
          <w:rFonts w:eastAsia="Calibri"/>
          <w:bdr w:val="none" w:sz="0" w:space="0" w:color="auto"/>
          <w:lang w:val="en-GB"/>
        </w:rPr>
        <w:t xml:space="preserve"> Psychotherapy, Hannover Medical School, Hanover, Germany</w:t>
      </w:r>
    </w:p>
    <w:p w14:paraId="17A73BFC" w14:textId="48582B4D" w:rsidR="00942F62" w:rsidRPr="00942F62" w:rsidRDefault="00942F62" w:rsidP="00326A0F">
      <w:p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rPr>
          <w:rFonts w:eastAsia="Calibri"/>
          <w:bdr w:val="none" w:sz="0" w:space="0" w:color="auto"/>
        </w:rPr>
      </w:pPr>
      <w:r w:rsidRPr="00942F62">
        <w:rPr>
          <w:rFonts w:eastAsia="Calibri"/>
          <w:bdr w:val="none" w:sz="0" w:space="0" w:color="auto"/>
          <w:vertAlign w:val="superscript"/>
        </w:rPr>
        <w:t>2</w:t>
      </w:r>
      <w:r w:rsidRPr="00942F62">
        <w:rPr>
          <w:rFonts w:eastAsia="Calibri"/>
          <w:bdr w:val="none" w:sz="0" w:space="0" w:color="auto"/>
        </w:rPr>
        <w:t>School of Psychology, Centre for Innovation in Mental health, University of Southampton, Southampton, UK</w:t>
      </w:r>
    </w:p>
    <w:p w14:paraId="1C96CC93" w14:textId="77777777" w:rsidR="00942F62" w:rsidRPr="008C69FC" w:rsidRDefault="00942F62" w:rsidP="00326A0F">
      <w:pPr>
        <w:pBdr>
          <w:bottom w:val="single" w:sz="12" w:space="1" w:color="auto"/>
        </w:pBdr>
        <w:rPr>
          <w:rFonts w:eastAsia="Times New Roman"/>
          <w:lang w:eastAsia="da-DK"/>
        </w:rPr>
      </w:pPr>
    </w:p>
    <w:p w14:paraId="2C4FF789" w14:textId="77777777" w:rsidR="00A96733" w:rsidRPr="008C69FC" w:rsidRDefault="00A96733" w:rsidP="00326A0F">
      <w:pPr>
        <w:rPr>
          <w:rFonts w:eastAsia="MS Mincho"/>
          <w:lang w:eastAsia="da-DK"/>
        </w:rPr>
      </w:pPr>
    </w:p>
    <w:p w14:paraId="12D80263" w14:textId="552A910D" w:rsidR="00A96733" w:rsidRPr="00942F62" w:rsidRDefault="00A96733" w:rsidP="00326A0F">
      <w:pPr>
        <w:rPr>
          <w:rFonts w:eastAsia="MS Mincho"/>
          <w:b/>
          <w:lang w:eastAsia="da-DK"/>
        </w:rPr>
      </w:pPr>
      <w:r w:rsidRPr="00942F62">
        <w:rPr>
          <w:b/>
        </w:rPr>
        <w:t>Background</w:t>
      </w:r>
      <w:r w:rsidRPr="00942F62">
        <w:rPr>
          <w:rFonts w:eastAsia="MS Mincho"/>
          <w:b/>
          <w:lang w:eastAsia="da-DK"/>
        </w:rPr>
        <w:t>:</w:t>
      </w:r>
    </w:p>
    <w:p w14:paraId="1936D7FF" w14:textId="77777777" w:rsidR="00942F62" w:rsidRPr="00942F62" w:rsidRDefault="00942F62" w:rsidP="00326A0F">
      <w:r w:rsidRPr="00942F62">
        <w:t>The urge to tic has been increasingly recognized as an important factor in the maintenance of tics in patients with chronic tic disorders or Tourette syndrome. Habit Reversal Training (HRT) is a behavioral technique that can reduce tics, but therapeutic mechanisms are still relatively unclear.</w:t>
      </w:r>
    </w:p>
    <w:p w14:paraId="5D0B700B" w14:textId="77777777" w:rsidR="00942F62" w:rsidRPr="00942F62" w:rsidRDefault="00942F62" w:rsidP="00326A0F">
      <w:pPr>
        <w:rPr>
          <w:rFonts w:eastAsia="MS Mincho"/>
          <w:b/>
          <w:lang w:eastAsia="da-DK"/>
        </w:rPr>
      </w:pPr>
    </w:p>
    <w:p w14:paraId="4EC169A0" w14:textId="7FF70DD3" w:rsidR="00A96733" w:rsidRPr="00942F62" w:rsidRDefault="00A96733" w:rsidP="00326A0F">
      <w:pPr>
        <w:rPr>
          <w:b/>
        </w:rPr>
      </w:pPr>
      <w:r w:rsidRPr="00942F62">
        <w:rPr>
          <w:b/>
        </w:rPr>
        <w:t>Methods:</w:t>
      </w:r>
    </w:p>
    <w:p w14:paraId="3FE11502" w14:textId="54827D01" w:rsidR="00942F62" w:rsidRPr="00942F62" w:rsidRDefault="00942F62" w:rsidP="00326A0F">
      <w:r w:rsidRPr="00942F62">
        <w:t>In this study, N = 21 patients (mean age = 35.95</w:t>
      </w:r>
      <w:bookmarkStart w:id="0" w:name="_GoBack"/>
      <w:bookmarkEnd w:id="0"/>
      <w:r w:rsidRPr="00942F62">
        <w:t xml:space="preserve">; N = 2 female) received 10 weeks of HRT. Before and after each therapy session, patients were asked to report their urge to tic using the real-time urge monitor during 5 minutes of free </w:t>
      </w:r>
      <w:proofErr w:type="spellStart"/>
      <w:r w:rsidRPr="00942F62">
        <w:t>ticcing</w:t>
      </w:r>
      <w:proofErr w:type="spellEnd"/>
      <w:r w:rsidRPr="00942F62">
        <w:t xml:space="preserve"> and 5 minutes of tic </w:t>
      </w:r>
      <w:proofErr w:type="gramStart"/>
      <w:r w:rsidRPr="00942F62">
        <w:t>suppression</w:t>
      </w:r>
      <w:proofErr w:type="gramEnd"/>
      <w:r w:rsidRPr="00942F62">
        <w:t xml:space="preserve">. Here, we present preliminary data of 11 patients (mean age = 35.95; N = 0 female) who have finished their course of therapy. </w:t>
      </w:r>
    </w:p>
    <w:p w14:paraId="38EFD5E1" w14:textId="77777777" w:rsidR="00942F62" w:rsidRPr="00942F62" w:rsidRDefault="00942F62" w:rsidP="00326A0F">
      <w:r w:rsidRPr="00942F62">
        <w:t>Repeated measures ANOVAs showed that tics were significantly reduced after each therapeutic session compared to before [</w:t>
      </w:r>
      <w:proofErr w:type="gramStart"/>
      <w:r w:rsidRPr="00942F62">
        <w:t>F(</w:t>
      </w:r>
      <w:proofErr w:type="gramEnd"/>
      <w:r w:rsidRPr="00942F62">
        <w:t>1,9) = 13.35, p = .005, eta2 = .60], tics reduced when they were suppressed [F(1,9) = 10.26, p = .011, eta2 = .53], and tics subsided across sessions [F(9,81) = 1.98, p = .052, eta2 = .18]. No interactions were significant.</w:t>
      </w:r>
    </w:p>
    <w:p w14:paraId="43DA4306" w14:textId="63ECDEA5" w:rsidR="00942F62" w:rsidRPr="00942F62" w:rsidRDefault="00942F62" w:rsidP="00326A0F">
      <w:r w:rsidRPr="00942F62">
        <w:t>Regarding the urge to tic, there was a significant decrease across sessions [</w:t>
      </w:r>
      <w:proofErr w:type="gramStart"/>
      <w:r w:rsidRPr="00942F62">
        <w:t>F(</w:t>
      </w:r>
      <w:proofErr w:type="gramEnd"/>
      <w:r w:rsidRPr="00942F62">
        <w:t>9,63) = 2.95, p = .005, eta2 = .30], a significant interaction between suppression condition and before/after therapy session [F(1,7) = 13.94, p = .007, eta2 = .67] showed that urge intensity during tic suppression was significantly ameliorated after therapy sessions as compared to before [t(10) = 3.75, p = .005, d = 1.19]. A significant interaction between tic suppression and therapy session [</w:t>
      </w:r>
      <w:proofErr w:type="gramStart"/>
      <w:r w:rsidRPr="00942F62">
        <w:t>F(</w:t>
      </w:r>
      <w:proofErr w:type="gramEnd"/>
      <w:r w:rsidRPr="00942F62">
        <w:t xml:space="preserve">9,63) = 2.72, p = .010, eta2 = .28] showed that the urge intensity during tic suppression was significantly lower towards the end of therapy (sessions 8-10) than in the first session [t(7) = 2.95, p = .011, d = 1.04].  In Support, a significant decrease in the YGTSS score before and after therapy [Mean pre = 29.7 +/- 4.3, mean post = 13.6 +/- 7.6; </w:t>
      </w:r>
      <w:proofErr w:type="gramStart"/>
      <w:r w:rsidRPr="00942F62">
        <w:t>t(</w:t>
      </w:r>
      <w:proofErr w:type="gramEnd"/>
      <w:r w:rsidRPr="00942F62">
        <w:t>9) = 6.05; p &lt; 0.001] was found.</w:t>
      </w:r>
    </w:p>
    <w:p w14:paraId="3ACDEE5B" w14:textId="77777777" w:rsidR="00942F62" w:rsidRPr="00942F62" w:rsidRDefault="00942F62" w:rsidP="00326A0F">
      <w:pPr>
        <w:rPr>
          <w:b/>
        </w:rPr>
      </w:pPr>
    </w:p>
    <w:p w14:paraId="67DFFAE8" w14:textId="4D2A2BDB" w:rsidR="00A96733" w:rsidRPr="00942F62" w:rsidRDefault="00A96733" w:rsidP="00326A0F">
      <w:pPr>
        <w:rPr>
          <w:b/>
        </w:rPr>
      </w:pPr>
      <w:r w:rsidRPr="00942F62">
        <w:rPr>
          <w:b/>
        </w:rPr>
        <w:t>Results and Conclusions:</w:t>
      </w:r>
    </w:p>
    <w:p w14:paraId="65E13EB5" w14:textId="25990BFB" w:rsidR="00942F62" w:rsidRPr="00942F62" w:rsidRDefault="00942F62" w:rsidP="00326A0F">
      <w:r w:rsidRPr="00942F62">
        <w:t>Our preliminary data suggest that tics subside across a 10-week HRT training, and that there is a decrease in subjectively experienced urge intensity during tic suppression due to each therapy session and therapy sessions across time. It is possible that patients learn new tools to control their tics during HRT that make tic suppression less uncomfortable.</w:t>
      </w:r>
    </w:p>
    <w:p w14:paraId="0259451C" w14:textId="77777777" w:rsidR="00942F62" w:rsidRPr="00BE59FE" w:rsidRDefault="00942F62" w:rsidP="00326A0F">
      <w:pPr>
        <w:rPr>
          <w:b/>
          <w:sz w:val="23"/>
          <w:szCs w:val="23"/>
        </w:rPr>
      </w:pPr>
    </w:p>
    <w:p w14:paraId="3C1680C1" w14:textId="35D3101C"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2A1F5" w14:textId="77777777" w:rsidR="007B5FD5" w:rsidRDefault="007B5FD5">
      <w:r>
        <w:separator/>
      </w:r>
    </w:p>
  </w:endnote>
  <w:endnote w:type="continuationSeparator" w:id="0">
    <w:p w14:paraId="0F729D64" w14:textId="77777777" w:rsidR="007B5FD5" w:rsidRDefault="007B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298628"/>
      <w:docPartObj>
        <w:docPartGallery w:val="Page Numbers (Bottom of Page)"/>
        <w:docPartUnique/>
      </w:docPartObj>
    </w:sdtPr>
    <w:sdtEndPr>
      <w:rPr>
        <w:noProof/>
      </w:rPr>
    </w:sdtEndPr>
    <w:sdtContent>
      <w:p w14:paraId="20605189" w14:textId="19A77DA2" w:rsidR="00777248" w:rsidRDefault="00777248">
        <w:pPr>
          <w:pStyle w:val="Fuzeile"/>
          <w:jc w:val="center"/>
        </w:pPr>
      </w:p>
      <w:p w14:paraId="18BFC470" w14:textId="0630168A" w:rsidR="00777248" w:rsidRDefault="00777248">
        <w:pPr>
          <w:pStyle w:val="Fuzeile"/>
          <w:jc w:val="center"/>
        </w:pPr>
        <w:r>
          <w:fldChar w:fldCharType="begin"/>
        </w:r>
        <w:r>
          <w:instrText xml:space="preserve"> PAGE   \* MERGEFORMAT </w:instrText>
        </w:r>
        <w:r>
          <w:fldChar w:fldCharType="separate"/>
        </w:r>
        <w:r w:rsidR="00326A0F">
          <w:rPr>
            <w:noProof/>
          </w:rPr>
          <w:t>1</w:t>
        </w:r>
        <w:r>
          <w:rPr>
            <w:noProof/>
          </w:rPr>
          <w:fldChar w:fldCharType="end"/>
        </w:r>
      </w:p>
    </w:sdtContent>
  </w:sdt>
  <w:p w14:paraId="736838FE" w14:textId="005F5958" w:rsidR="00064580" w:rsidRDefault="000645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CE668" w14:textId="77777777" w:rsidR="007B5FD5" w:rsidRDefault="007B5FD5">
      <w:r>
        <w:separator/>
      </w:r>
    </w:p>
  </w:footnote>
  <w:footnote w:type="continuationSeparator" w:id="0">
    <w:p w14:paraId="4C04BAEC" w14:textId="77777777" w:rsidR="007B5FD5" w:rsidRDefault="007B5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97D5" w14:textId="209B4A2B" w:rsidR="00777248" w:rsidRDefault="00D2330C" w:rsidP="006357B0">
    <w:pPr>
      <w:pStyle w:val="Kopfzeile"/>
      <w:tabs>
        <w:tab w:val="clear" w:pos="4513"/>
        <w:tab w:val="clear" w:pos="9026"/>
        <w:tab w:val="left" w:pos="764"/>
      </w:tabs>
      <w:rPr>
        <w:noProof/>
      </w:rPr>
    </w:pPr>
    <w:r>
      <w:rPr>
        <w:noProof/>
        <w:lang w:val="de-DE" w:eastAsia="de-DE"/>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Kopfzeile"/>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5"/>
  </w:num>
  <w:num w:numId="2">
    <w:abstractNumId w:val="28"/>
  </w:num>
  <w:num w:numId="3">
    <w:abstractNumId w:val="41"/>
  </w:num>
  <w:num w:numId="4">
    <w:abstractNumId w:val="22"/>
  </w:num>
  <w:num w:numId="5">
    <w:abstractNumId w:val="16"/>
  </w:num>
  <w:num w:numId="6">
    <w:abstractNumId w:val="38"/>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2"/>
  </w:num>
  <w:num w:numId="13">
    <w:abstractNumId w:val="25"/>
  </w:num>
  <w:num w:numId="14">
    <w:abstractNumId w:val="24"/>
  </w:num>
  <w:num w:numId="15">
    <w:abstractNumId w:val="1"/>
  </w:num>
  <w:num w:numId="16">
    <w:abstractNumId w:val="39"/>
  </w:num>
  <w:num w:numId="17">
    <w:abstractNumId w:val="34"/>
  </w:num>
  <w:num w:numId="18">
    <w:abstractNumId w:val="2"/>
  </w:num>
  <w:num w:numId="19">
    <w:abstractNumId w:val="7"/>
  </w:num>
  <w:num w:numId="20">
    <w:abstractNumId w:val="37"/>
  </w:num>
  <w:num w:numId="21">
    <w:abstractNumId w:val="9"/>
  </w:num>
  <w:num w:numId="22">
    <w:abstractNumId w:val="19"/>
  </w:num>
  <w:num w:numId="23">
    <w:abstractNumId w:val="3"/>
  </w:num>
  <w:num w:numId="24">
    <w:abstractNumId w:val="23"/>
  </w:num>
  <w:num w:numId="25">
    <w:abstractNumId w:val="20"/>
  </w:num>
  <w:num w:numId="26">
    <w:abstractNumId w:val="43"/>
  </w:num>
  <w:num w:numId="27">
    <w:abstractNumId w:val="44"/>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0"/>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56"/>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17762"/>
    <w:rsid w:val="00317C15"/>
    <w:rsid w:val="00321E26"/>
    <w:rsid w:val="00322E71"/>
    <w:rsid w:val="00326A0F"/>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A2B4B"/>
    <w:rsid w:val="004D3915"/>
    <w:rsid w:val="004E4DA9"/>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9027EE"/>
    <w:rsid w:val="00913CCB"/>
    <w:rsid w:val="00914391"/>
    <w:rsid w:val="00933C20"/>
    <w:rsid w:val="00937E61"/>
    <w:rsid w:val="00942F62"/>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26CDB"/>
    <w:rsid w:val="00C3177D"/>
    <w:rsid w:val="00C67540"/>
    <w:rsid w:val="00C90DE8"/>
    <w:rsid w:val="00C924E1"/>
    <w:rsid w:val="00CB47DF"/>
    <w:rsid w:val="00CC4876"/>
    <w:rsid w:val="00CC7955"/>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nabsatz">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zeichen">
    <w:name w:val="annotation reference"/>
    <w:basedOn w:val="Absatz-Standardschriftart"/>
    <w:uiPriority w:val="99"/>
    <w:semiHidden/>
    <w:unhideWhenUsed/>
    <w:rsid w:val="00FB56AF"/>
    <w:rPr>
      <w:sz w:val="18"/>
      <w:szCs w:val="18"/>
    </w:rPr>
  </w:style>
  <w:style w:type="paragraph" w:styleId="Kommentartext">
    <w:name w:val="annotation text"/>
    <w:basedOn w:val="Standard"/>
    <w:link w:val="KommentartextZchn"/>
    <w:uiPriority w:val="99"/>
    <w:unhideWhenUsed/>
    <w:rsid w:val="00FB56AF"/>
  </w:style>
  <w:style w:type="character" w:customStyle="1" w:styleId="KommentartextZchn">
    <w:name w:val="Kommentartext Zchn"/>
    <w:basedOn w:val="Absatz-Standardschriftart"/>
    <w:link w:val="Kommentartext"/>
    <w:uiPriority w:val="99"/>
    <w:rsid w:val="00FB56AF"/>
    <w:rPr>
      <w:sz w:val="24"/>
      <w:szCs w:val="24"/>
      <w:lang w:val="en-US" w:eastAsia="en-US"/>
    </w:rPr>
  </w:style>
  <w:style w:type="paragraph" w:styleId="Kommentarthema">
    <w:name w:val="annotation subject"/>
    <w:basedOn w:val="Kommentartext"/>
    <w:next w:val="Kommentartext"/>
    <w:link w:val="KommentarthemaZchn"/>
    <w:uiPriority w:val="99"/>
    <w:semiHidden/>
    <w:unhideWhenUsed/>
    <w:rsid w:val="00FB56AF"/>
    <w:rPr>
      <w:b/>
      <w:bCs/>
      <w:sz w:val="20"/>
      <w:szCs w:val="20"/>
    </w:rPr>
  </w:style>
  <w:style w:type="character" w:customStyle="1" w:styleId="KommentarthemaZchn">
    <w:name w:val="Kommentarthema Zchn"/>
    <w:basedOn w:val="KommentartextZchn"/>
    <w:link w:val="Kommentarthema"/>
    <w:uiPriority w:val="99"/>
    <w:semiHidden/>
    <w:rsid w:val="00FB56AF"/>
    <w:rPr>
      <w:b/>
      <w:bCs/>
      <w:sz w:val="24"/>
      <w:szCs w:val="24"/>
      <w:lang w:val="en-US" w:eastAsia="en-US"/>
    </w:rPr>
  </w:style>
  <w:style w:type="paragraph" w:styleId="Sprechblasentext">
    <w:name w:val="Balloon Text"/>
    <w:basedOn w:val="Standard"/>
    <w:link w:val="SprechblasentextZchn"/>
    <w:uiPriority w:val="99"/>
    <w:semiHidden/>
    <w:unhideWhenUsed/>
    <w:rsid w:val="00FB56A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B56AF"/>
    <w:rPr>
      <w:rFonts w:ascii="Lucida Grande" w:hAnsi="Lucida Grande" w:cs="Lucida Grande"/>
      <w:sz w:val="18"/>
      <w:szCs w:val="18"/>
      <w:lang w:val="en-US" w:eastAsia="en-US"/>
    </w:rPr>
  </w:style>
  <w:style w:type="paragraph" w:styleId="berarbeitung">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tandardWeb">
    <w:name w:val="Normal (Web)"/>
    <w:basedOn w:val="Standard"/>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Kopfzeile">
    <w:name w:val="header"/>
    <w:basedOn w:val="Standard"/>
    <w:link w:val="KopfzeileZchn"/>
    <w:uiPriority w:val="99"/>
    <w:unhideWhenUsed/>
    <w:rsid w:val="0058262D"/>
    <w:pPr>
      <w:tabs>
        <w:tab w:val="center" w:pos="4513"/>
        <w:tab w:val="right" w:pos="9026"/>
      </w:tabs>
    </w:pPr>
  </w:style>
  <w:style w:type="character" w:customStyle="1" w:styleId="KopfzeileZchn">
    <w:name w:val="Kopfzeile Zchn"/>
    <w:basedOn w:val="Absatz-Standardschriftart"/>
    <w:link w:val="Kopfzeile"/>
    <w:uiPriority w:val="99"/>
    <w:rsid w:val="0058262D"/>
    <w:rPr>
      <w:sz w:val="24"/>
      <w:szCs w:val="24"/>
      <w:lang w:val="en-US" w:eastAsia="en-US"/>
    </w:rPr>
  </w:style>
  <w:style w:type="paragraph" w:styleId="Fuzeile">
    <w:name w:val="footer"/>
    <w:basedOn w:val="Standard"/>
    <w:link w:val="FuzeileZchn"/>
    <w:uiPriority w:val="99"/>
    <w:unhideWhenUsed/>
    <w:rsid w:val="0058262D"/>
    <w:pPr>
      <w:tabs>
        <w:tab w:val="center" w:pos="4513"/>
        <w:tab w:val="right" w:pos="9026"/>
      </w:tabs>
    </w:pPr>
  </w:style>
  <w:style w:type="character" w:customStyle="1" w:styleId="FuzeileZchn">
    <w:name w:val="Fußzeile Zchn"/>
    <w:basedOn w:val="Absatz-Standardschriftart"/>
    <w:link w:val="Fuzeile"/>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customStyle="1" w:styleId="UnresolvedMention">
    <w:name w:val="Unresolved Mention"/>
    <w:basedOn w:val="Absatz-Standardschriftart"/>
    <w:uiPriority w:val="99"/>
    <w:semiHidden/>
    <w:unhideWhenUsed/>
    <w:rsid w:val="006C64D5"/>
    <w:rPr>
      <w:color w:val="808080"/>
      <w:shd w:val="clear" w:color="auto" w:fill="E6E6E6"/>
    </w:rPr>
  </w:style>
  <w:style w:type="table" w:styleId="Tabellenraster">
    <w:name w:val="Table Grid"/>
    <w:basedOn w:val="NormaleTabelle"/>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NormaleTabelle"/>
    <w:next w:val="Tabellenras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eTabelle"/>
    <w:next w:val="Tabellenras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8634B-303C-4641-B05F-CC28CDCE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2377</Characters>
  <Application>Microsoft Office Word</Application>
  <DocSecurity>0</DocSecurity>
  <Lines>19</Lines>
  <Paragraphs>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Eberhard, Antonia-Leonie</dc:creator>
  <cp:lastModifiedBy>Eberhard, Antonia-Leonie</cp:lastModifiedBy>
  <cp:revision>4</cp:revision>
  <cp:lastPrinted>2018-06-03T09:54:00Z</cp:lastPrinted>
  <dcterms:created xsi:type="dcterms:W3CDTF">2023-04-05T12:28:00Z</dcterms:created>
  <dcterms:modified xsi:type="dcterms:W3CDTF">2023-04-07T15:14:00Z</dcterms:modified>
</cp:coreProperties>
</file>