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AB1D" w14:textId="0717ADC2" w:rsidR="00A96733" w:rsidRDefault="00EC0267" w:rsidP="00A96733">
      <w:pPr>
        <w:jc w:val="center"/>
        <w:rPr>
          <w:rFonts w:eastAsia="Times New Roman"/>
          <w:b/>
          <w:bCs/>
          <w:sz w:val="27"/>
          <w:szCs w:val="27"/>
          <w:lang w:eastAsia="da-DK"/>
        </w:rPr>
      </w:pPr>
      <w:r>
        <w:rPr>
          <w:rFonts w:eastAsia="Times New Roman"/>
          <w:b/>
          <w:bCs/>
          <w:sz w:val="27"/>
          <w:szCs w:val="27"/>
          <w:lang w:eastAsia="da-DK"/>
        </w:rPr>
        <w:t xml:space="preserve">The retrospective analysis of outcomes of pediatric patients with functional tic-like behaviors – what lessons </w:t>
      </w:r>
      <w:r w:rsidR="00B05689">
        <w:rPr>
          <w:rFonts w:eastAsia="Times New Roman"/>
          <w:b/>
          <w:bCs/>
          <w:sz w:val="27"/>
          <w:szCs w:val="27"/>
          <w:lang w:eastAsia="da-DK"/>
        </w:rPr>
        <w:t>have</w:t>
      </w:r>
      <w:r>
        <w:rPr>
          <w:rFonts w:eastAsia="Times New Roman"/>
          <w:b/>
          <w:bCs/>
          <w:sz w:val="27"/>
          <w:szCs w:val="27"/>
          <w:lang w:eastAsia="da-DK"/>
        </w:rPr>
        <w:t xml:space="preserve"> we learn</w:t>
      </w:r>
      <w:r w:rsidR="00B05689">
        <w:rPr>
          <w:rFonts w:eastAsia="Times New Roman"/>
          <w:b/>
          <w:bCs/>
          <w:sz w:val="27"/>
          <w:szCs w:val="27"/>
          <w:lang w:eastAsia="da-DK"/>
        </w:rPr>
        <w:t>t</w:t>
      </w:r>
      <w:r>
        <w:rPr>
          <w:rFonts w:eastAsia="Times New Roman"/>
          <w:b/>
          <w:bCs/>
          <w:sz w:val="27"/>
          <w:szCs w:val="27"/>
          <w:lang w:eastAsia="da-DK"/>
        </w:rPr>
        <w:t>?</w:t>
      </w:r>
    </w:p>
    <w:p w14:paraId="3A635910" w14:textId="77777777" w:rsidR="002562CC" w:rsidRPr="00A96733" w:rsidRDefault="002562CC" w:rsidP="00A96733">
      <w:pPr>
        <w:jc w:val="center"/>
      </w:pPr>
    </w:p>
    <w:p w14:paraId="18DBA9A9" w14:textId="16079EC4" w:rsidR="00B05689" w:rsidRPr="00B05689" w:rsidRDefault="00B05689" w:rsidP="002562CC">
      <w:pPr>
        <w:jc w:val="center"/>
        <w:rPr>
          <w:rFonts w:eastAsia="Times New Roman"/>
          <w:lang w:eastAsia="da-DK"/>
        </w:rPr>
      </w:pPr>
      <w:r w:rsidRPr="002562CC">
        <w:rPr>
          <w:rFonts w:eastAsia="Times New Roman"/>
          <w:u w:val="single"/>
          <w:bdr w:val="none" w:sz="0" w:space="0" w:color="auto"/>
          <w:lang w:eastAsia="da-DK"/>
        </w:rPr>
        <w:t>Kinga K. Tomczak MD PhD</w:t>
      </w:r>
      <w:r w:rsidRPr="002562CC">
        <w:rPr>
          <w:rFonts w:eastAsia="Times New Roman"/>
          <w:u w:val="single"/>
          <w:bdr w:val="none" w:sz="0" w:space="0" w:color="auto"/>
          <w:vertAlign w:val="superscript"/>
          <w:lang w:eastAsia="da-DK"/>
        </w:rPr>
        <w:t>1</w:t>
      </w:r>
      <w:r w:rsidRPr="00B05689">
        <w:rPr>
          <w:rFonts w:eastAsia="Times New Roman"/>
          <w:lang w:eastAsia="da-DK"/>
        </w:rPr>
        <w:t xml:space="preserve">, Jennifer </w:t>
      </w:r>
      <w:proofErr w:type="spellStart"/>
      <w:r w:rsidRPr="00B05689">
        <w:rPr>
          <w:rFonts w:eastAsia="Times New Roman"/>
          <w:lang w:eastAsia="da-DK"/>
        </w:rPr>
        <w:t>Worhach</w:t>
      </w:r>
      <w:proofErr w:type="spellEnd"/>
      <w:r w:rsidRPr="00B05689">
        <w:rPr>
          <w:rFonts w:eastAsia="Times New Roman"/>
          <w:lang w:eastAsia="da-DK"/>
        </w:rPr>
        <w:t>, MA</w:t>
      </w:r>
      <w:r w:rsidRPr="00B05689">
        <w:rPr>
          <w:rFonts w:eastAsia="Times New Roman"/>
          <w:vertAlign w:val="superscript"/>
          <w:lang w:eastAsia="da-DK"/>
        </w:rPr>
        <w:t>1</w:t>
      </w:r>
      <w:r w:rsidRPr="00B05689">
        <w:rPr>
          <w:rFonts w:eastAsia="Times New Roman"/>
          <w:lang w:eastAsia="da-DK"/>
        </w:rPr>
        <w:t>, Michael Rich, MD</w:t>
      </w:r>
      <w:r w:rsidRPr="00B05689">
        <w:rPr>
          <w:rFonts w:eastAsia="Times New Roman"/>
          <w:vertAlign w:val="superscript"/>
          <w:lang w:eastAsia="da-DK"/>
        </w:rPr>
        <w:t>2</w:t>
      </w:r>
      <w:r w:rsidRPr="00B05689">
        <w:rPr>
          <w:rFonts w:eastAsia="Times New Roman"/>
          <w:lang w:eastAsia="da-DK"/>
        </w:rPr>
        <w:t>, Olivia Swearingen Ludolph</w:t>
      </w:r>
      <w:r w:rsidRPr="00B05689">
        <w:rPr>
          <w:rFonts w:eastAsia="Times New Roman"/>
          <w:vertAlign w:val="superscript"/>
          <w:lang w:eastAsia="da-DK"/>
        </w:rPr>
        <w:t>1</w:t>
      </w:r>
      <w:r w:rsidRPr="00B05689">
        <w:rPr>
          <w:rFonts w:eastAsia="Times New Roman"/>
          <w:lang w:eastAsia="da-DK"/>
        </w:rPr>
        <w:t xml:space="preserve">, Susan </w:t>
      </w:r>
      <w:proofErr w:type="spellStart"/>
      <w:r w:rsidRPr="00B05689">
        <w:rPr>
          <w:rFonts w:eastAsia="Times New Roman"/>
          <w:lang w:eastAsia="da-DK"/>
        </w:rPr>
        <w:t>Eppling</w:t>
      </w:r>
      <w:proofErr w:type="spellEnd"/>
      <w:r w:rsidRPr="00B05689">
        <w:rPr>
          <w:rFonts w:eastAsia="Times New Roman"/>
          <w:lang w:eastAsia="da-DK"/>
        </w:rPr>
        <w:t>, OT, MS</w:t>
      </w:r>
      <w:r w:rsidRPr="00B05689">
        <w:rPr>
          <w:rFonts w:eastAsia="Times New Roman"/>
          <w:vertAlign w:val="superscript"/>
          <w:lang w:eastAsia="da-DK"/>
        </w:rPr>
        <w:t>3</w:t>
      </w:r>
      <w:r w:rsidRPr="00B05689">
        <w:rPr>
          <w:rFonts w:eastAsia="Times New Roman"/>
          <w:lang w:eastAsia="da-DK"/>
        </w:rPr>
        <w:t xml:space="preserve">, Georgios </w:t>
      </w:r>
      <w:proofErr w:type="spellStart"/>
      <w:r w:rsidRPr="00B05689">
        <w:rPr>
          <w:rFonts w:eastAsia="Times New Roman"/>
          <w:lang w:eastAsia="da-DK"/>
        </w:rPr>
        <w:t>Sideridis</w:t>
      </w:r>
      <w:proofErr w:type="spellEnd"/>
      <w:r w:rsidRPr="00B05689">
        <w:rPr>
          <w:rFonts w:eastAsia="Times New Roman"/>
          <w:lang w:eastAsia="da-DK"/>
        </w:rPr>
        <w:t>, PhD</w:t>
      </w:r>
      <w:r w:rsidRPr="00B05689">
        <w:rPr>
          <w:rFonts w:eastAsia="Times New Roman"/>
          <w:vertAlign w:val="superscript"/>
          <w:lang w:eastAsia="da-DK"/>
        </w:rPr>
        <w:t>4</w:t>
      </w:r>
      <w:r w:rsidRPr="00B05689">
        <w:rPr>
          <w:rFonts w:eastAsia="Times New Roman"/>
          <w:lang w:eastAsia="da-DK"/>
        </w:rPr>
        <w:t>, Tamar C. Katz MD PhD</w:t>
      </w:r>
      <w:r w:rsidRPr="00B05689">
        <w:rPr>
          <w:rFonts w:eastAsia="Times New Roman"/>
          <w:vertAlign w:val="superscript"/>
          <w:lang w:eastAsia="da-DK"/>
        </w:rPr>
        <w:t>5</w:t>
      </w:r>
    </w:p>
    <w:p w14:paraId="46FE74D1" w14:textId="2E60DCA2" w:rsidR="00A96733" w:rsidRPr="008C69FC" w:rsidRDefault="00A96733" w:rsidP="00A96733">
      <w:pPr>
        <w:spacing w:line="360" w:lineRule="auto"/>
        <w:jc w:val="center"/>
        <w:rPr>
          <w:rFonts w:eastAsia="Times New Roman"/>
          <w:vertAlign w:val="superscript"/>
          <w:lang w:eastAsia="da-DK"/>
        </w:rPr>
      </w:pPr>
    </w:p>
    <w:p w14:paraId="743DA108" w14:textId="60E30BD2" w:rsidR="002562CC" w:rsidRDefault="00A96733" w:rsidP="002562CC">
      <w:pPr>
        <w:pBdr>
          <w:bottom w:val="single" w:sz="12" w:space="1" w:color="auto"/>
        </w:pBdr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="002562CC" w:rsidRPr="002562CC">
        <w:rPr>
          <w:rFonts w:eastAsia="Times New Roman"/>
          <w:lang w:eastAsia="da-DK"/>
        </w:rPr>
        <w:t xml:space="preserve"> Tic Disorders and Tourette Syndrome Program, Boston Children’s Hospital, Department of Neurology, Harvard Medical School, Boston MA, </w:t>
      </w:r>
      <w:r w:rsidR="002562CC" w:rsidRPr="00B05689">
        <w:rPr>
          <w:rFonts w:eastAsia="Times New Roman"/>
          <w:vertAlign w:val="superscript"/>
          <w:lang w:eastAsia="da-DK"/>
        </w:rPr>
        <w:t>2</w:t>
      </w:r>
      <w:r w:rsidR="002562CC" w:rsidRPr="002562CC">
        <w:rPr>
          <w:rFonts w:eastAsia="Times New Roman"/>
          <w:lang w:eastAsia="da-DK"/>
        </w:rPr>
        <w:t xml:space="preserve">Clinic for Interactive Media and Internet Disorders (CIMAID), Division of Adolescent/Young Adult Medicine, Boston Children’s Hospital, </w:t>
      </w:r>
      <w:r w:rsidR="002562CC" w:rsidRPr="00B05689">
        <w:rPr>
          <w:rFonts w:eastAsia="Times New Roman"/>
          <w:vertAlign w:val="superscript"/>
          <w:lang w:eastAsia="da-DK"/>
        </w:rPr>
        <w:t>3</w:t>
      </w:r>
      <w:r w:rsidR="002562CC" w:rsidRPr="002562CC">
        <w:rPr>
          <w:rFonts w:eastAsia="Times New Roman"/>
          <w:lang w:eastAsia="da-DK"/>
        </w:rPr>
        <w:t xml:space="preserve">Occupational Therapy, Online OTs and CBIT Therapy </w:t>
      </w:r>
      <w:r w:rsidR="002562CC" w:rsidRPr="00B05689">
        <w:rPr>
          <w:rFonts w:eastAsia="Times New Roman"/>
          <w:vertAlign w:val="superscript"/>
          <w:lang w:eastAsia="da-DK"/>
        </w:rPr>
        <w:t>4</w:t>
      </w:r>
      <w:r w:rsidR="002562CC" w:rsidRPr="002562CC">
        <w:rPr>
          <w:rFonts w:eastAsia="Times New Roman"/>
          <w:lang w:eastAsia="da-DK"/>
        </w:rPr>
        <w:t xml:space="preserve">Biostatistics and Research Design Center, Institutional Centers for Clinical and Translational Research, Boston Children’s Hospital, Harvard Medical School, Boston, MA, </w:t>
      </w:r>
      <w:r w:rsidR="002562CC" w:rsidRPr="00B05689">
        <w:rPr>
          <w:rFonts w:eastAsia="Times New Roman"/>
          <w:vertAlign w:val="superscript"/>
          <w:lang w:eastAsia="da-DK"/>
        </w:rPr>
        <w:t>5</w:t>
      </w:r>
      <w:r w:rsidR="002562CC" w:rsidRPr="002562CC">
        <w:rPr>
          <w:rFonts w:eastAsia="Times New Roman"/>
          <w:lang w:eastAsia="da-DK"/>
        </w:rPr>
        <w:t>Boston Children’s Hospital, Department of Psychiatry, Harvard Medical School, Boston MA</w:t>
      </w:r>
    </w:p>
    <w:p w14:paraId="54E9ABD7" w14:textId="77777777" w:rsidR="002562CC" w:rsidRPr="002562CC" w:rsidRDefault="002562CC" w:rsidP="002562CC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</w:p>
    <w:p w14:paraId="2C4FF789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12D80263" w14:textId="77777777" w:rsidR="00A96733" w:rsidRDefault="00A96733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559C6345" w14:textId="5124157C" w:rsidR="002562CC" w:rsidRPr="001260DB" w:rsidRDefault="005D4A9B" w:rsidP="002562CC">
      <w:r w:rsidRPr="005D4A9B">
        <w:rPr>
          <w:rFonts w:eastAsia="MS Mincho"/>
          <w:bCs/>
          <w:lang w:eastAsia="da-DK"/>
        </w:rPr>
        <w:t xml:space="preserve">Since the beginning of the COVID-19 pandemic, a well-documented influx of adolescents </w:t>
      </w:r>
      <w:r>
        <w:rPr>
          <w:rFonts w:eastAsia="MS Mincho"/>
          <w:bCs/>
          <w:lang w:eastAsia="da-DK"/>
        </w:rPr>
        <w:t>presented</w:t>
      </w:r>
      <w:r w:rsidRPr="005D4A9B">
        <w:rPr>
          <w:rFonts w:eastAsia="MS Mincho"/>
          <w:bCs/>
          <w:lang w:eastAsia="da-DK"/>
        </w:rPr>
        <w:t xml:space="preserve"> into neurology and psychiatry clinics worldwide with acute onset of function</w:t>
      </w:r>
      <w:r>
        <w:rPr>
          <w:rFonts w:eastAsia="MS Mincho"/>
          <w:bCs/>
          <w:lang w:eastAsia="da-DK"/>
        </w:rPr>
        <w:t>al</w:t>
      </w:r>
      <w:r w:rsidRPr="005D4A9B">
        <w:rPr>
          <w:rFonts w:eastAsia="MS Mincho"/>
          <w:bCs/>
          <w:lang w:eastAsia="da-DK"/>
        </w:rPr>
        <w:t xml:space="preserve"> tic-like </w:t>
      </w:r>
      <w:r>
        <w:rPr>
          <w:rFonts w:eastAsia="MS Mincho"/>
          <w:bCs/>
          <w:lang w:eastAsia="da-DK"/>
        </w:rPr>
        <w:t>behaviors</w:t>
      </w:r>
      <w:r w:rsidRPr="005D4A9B">
        <w:rPr>
          <w:rFonts w:eastAsia="MS Mincho"/>
          <w:bCs/>
          <w:lang w:eastAsia="da-DK"/>
        </w:rPr>
        <w:t xml:space="preserve">. </w:t>
      </w:r>
      <w:r w:rsidR="002562CC">
        <w:t xml:space="preserve">Multifactorial causes </w:t>
      </w:r>
      <w:r>
        <w:t>that included</w:t>
      </w:r>
      <w:r w:rsidR="002562CC">
        <w:t xml:space="preserve"> stress related to the pandemic, </w:t>
      </w:r>
      <w:r>
        <w:rPr>
          <w:color w:val="000000"/>
        </w:rPr>
        <w:t xml:space="preserve">social isolation, increased illness-related anxiety, family tensions, loss of extracurricular activities </w:t>
      </w:r>
      <w:r w:rsidR="00845C31">
        <w:t>and</w:t>
      </w:r>
      <w:r>
        <w:t xml:space="preserve"> increased </w:t>
      </w:r>
      <w:r w:rsidR="002562CC">
        <w:t xml:space="preserve">social media use </w:t>
      </w:r>
      <w:r w:rsidR="00845C31">
        <w:t xml:space="preserve">with </w:t>
      </w:r>
      <w:r w:rsidR="002562CC">
        <w:t>exposure to online influencers</w:t>
      </w:r>
      <w:r>
        <w:t xml:space="preserve"> likely played a role</w:t>
      </w:r>
      <w:r w:rsidR="002562CC">
        <w:t>.  We sought to e</w:t>
      </w:r>
      <w:r w:rsidR="002562CC" w:rsidRPr="001260DB">
        <w:rPr>
          <w:rFonts w:cstheme="minorHAnsi"/>
          <w:color w:val="000000"/>
        </w:rPr>
        <w:t>valuate</w:t>
      </w:r>
      <w:r>
        <w:rPr>
          <w:rFonts w:cstheme="minorHAnsi"/>
          <w:color w:val="000000"/>
        </w:rPr>
        <w:t xml:space="preserve"> additional</w:t>
      </w:r>
      <w:r w:rsidR="002562CC" w:rsidRPr="001260DB">
        <w:rPr>
          <w:rFonts w:cstheme="minorHAnsi"/>
          <w:color w:val="000000"/>
        </w:rPr>
        <w:t xml:space="preserve"> </w:t>
      </w:r>
      <w:r w:rsidR="002562CC">
        <w:rPr>
          <w:rFonts w:cstheme="minorHAnsi"/>
          <w:color w:val="000000"/>
        </w:rPr>
        <w:t>predisposing psychosocial factors</w:t>
      </w:r>
      <w:r w:rsidR="002562CC" w:rsidRPr="001260DB">
        <w:rPr>
          <w:rFonts w:cstheme="minorHAnsi"/>
          <w:color w:val="000000"/>
        </w:rPr>
        <w:t xml:space="preserve"> </w:t>
      </w:r>
      <w:r w:rsidR="002562CC">
        <w:rPr>
          <w:rFonts w:cstheme="minorHAnsi"/>
          <w:color w:val="000000"/>
        </w:rPr>
        <w:t>and</w:t>
      </w:r>
      <w:r w:rsidR="002562CC" w:rsidRPr="001260DB">
        <w:rPr>
          <w:rFonts w:cstheme="minorHAnsi"/>
          <w:color w:val="000000"/>
        </w:rPr>
        <w:t xml:space="preserve"> </w:t>
      </w:r>
      <w:r w:rsidR="002562CC">
        <w:rPr>
          <w:rFonts w:cstheme="minorHAnsi"/>
          <w:color w:val="000000"/>
        </w:rPr>
        <w:t xml:space="preserve">to </w:t>
      </w:r>
      <w:r w:rsidR="002562CC" w:rsidRPr="001260DB">
        <w:rPr>
          <w:rFonts w:cstheme="minorHAnsi"/>
          <w:color w:val="000000"/>
        </w:rPr>
        <w:t xml:space="preserve">examine outcomes </w:t>
      </w:r>
      <w:r w:rsidR="002562CC">
        <w:rPr>
          <w:rFonts w:cstheme="minorHAnsi"/>
          <w:color w:val="000000"/>
        </w:rPr>
        <w:t>after pandemic isolation protocols were</w:t>
      </w:r>
      <w:r w:rsidR="002562CC" w:rsidRPr="001260DB">
        <w:rPr>
          <w:rFonts w:cstheme="minorHAnsi"/>
          <w:color w:val="000000"/>
        </w:rPr>
        <w:t xml:space="preserve"> lifted.</w:t>
      </w:r>
    </w:p>
    <w:p w14:paraId="03E04B9D" w14:textId="6B99317E" w:rsidR="00A96733" w:rsidRPr="002562CC" w:rsidRDefault="00A96733" w:rsidP="00A96733">
      <w:pPr>
        <w:rPr>
          <w:rFonts w:eastAsia="MS Mincho"/>
          <w:lang w:eastAsia="da-DK"/>
        </w:rPr>
      </w:pPr>
    </w:p>
    <w:p w14:paraId="4EC169A0" w14:textId="77777777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5DA561B9" w14:textId="58D82292" w:rsidR="002562CC" w:rsidRDefault="002562CC" w:rsidP="00A96733">
      <w:pPr>
        <w:rPr>
          <w:rFonts w:eastAsia="MS Mincho"/>
          <w:lang w:eastAsia="da-DK"/>
        </w:rPr>
      </w:pPr>
      <w:r w:rsidRPr="002562CC">
        <w:rPr>
          <w:rFonts w:eastAsia="MS Mincho"/>
          <w:lang w:eastAsia="da-DK"/>
        </w:rPr>
        <w:t>A retrospective chart review of 56 patients</w:t>
      </w:r>
      <w:r w:rsidR="00E131C3">
        <w:rPr>
          <w:rFonts w:eastAsia="MS Mincho"/>
          <w:lang w:eastAsia="da-DK"/>
        </w:rPr>
        <w:t xml:space="preserve"> </w:t>
      </w:r>
      <w:r w:rsidR="00E131C3">
        <w:rPr>
          <w:color w:val="000000"/>
        </w:rPr>
        <w:t>ages 10 to 18</w:t>
      </w:r>
      <w:r w:rsidRPr="002562CC">
        <w:rPr>
          <w:rFonts w:eastAsia="MS Mincho"/>
          <w:lang w:eastAsia="da-DK"/>
        </w:rPr>
        <w:t xml:space="preserve"> seen at Boston Children’s Hospital </w:t>
      </w:r>
      <w:r w:rsidR="00E131C3">
        <w:rPr>
          <w:rFonts w:eastAsia="MS Mincho"/>
          <w:lang w:eastAsia="da-DK"/>
        </w:rPr>
        <w:t xml:space="preserve">in Boston, Massachusetts </w:t>
      </w:r>
      <w:r w:rsidRPr="002562CC">
        <w:rPr>
          <w:rFonts w:eastAsia="MS Mincho"/>
          <w:lang w:eastAsia="da-DK"/>
        </w:rPr>
        <w:t>with a diagnosis of functional tic</w:t>
      </w:r>
      <w:r w:rsidR="00E131C3">
        <w:rPr>
          <w:rFonts w:eastAsia="MS Mincho"/>
          <w:lang w:eastAsia="da-DK"/>
        </w:rPr>
        <w:t>-like behaviors</w:t>
      </w:r>
      <w:r w:rsidRPr="002562CC">
        <w:rPr>
          <w:rFonts w:eastAsia="MS Mincho"/>
          <w:lang w:eastAsia="da-DK"/>
        </w:rPr>
        <w:t xml:space="preserve"> </w:t>
      </w:r>
      <w:r w:rsidR="00845C31">
        <w:rPr>
          <w:rFonts w:eastAsia="MS Mincho"/>
          <w:lang w:eastAsia="da-DK"/>
        </w:rPr>
        <w:t xml:space="preserve">(FTLB) </w:t>
      </w:r>
      <w:r w:rsidRPr="002562CC">
        <w:rPr>
          <w:rFonts w:eastAsia="MS Mincho"/>
          <w:lang w:eastAsia="da-DK"/>
        </w:rPr>
        <w:t xml:space="preserve">was completed. Psychosocial factors such as previous </w:t>
      </w:r>
      <w:r w:rsidR="00D512BA">
        <w:rPr>
          <w:rFonts w:eastAsia="MS Mincho"/>
          <w:lang w:eastAsia="da-DK"/>
        </w:rPr>
        <w:t>neuropsychiatric</w:t>
      </w:r>
      <w:r w:rsidRPr="002562CC">
        <w:rPr>
          <w:rFonts w:eastAsia="MS Mincho"/>
          <w:lang w:eastAsia="da-DK"/>
        </w:rPr>
        <w:t xml:space="preserve"> diagnoses were recorded. To determine if patients improved, results from the Clinical Global Impression Improvement (CGI-I) and Severity (CGI-S) scales were obtained from August 2022 to December 2022. CGI-I assessed progression of </w:t>
      </w:r>
      <w:r w:rsidR="00E43D4D">
        <w:rPr>
          <w:rFonts w:eastAsia="MS Mincho"/>
          <w:lang w:eastAsia="da-DK"/>
        </w:rPr>
        <w:t xml:space="preserve">FTLB </w:t>
      </w:r>
      <w:r w:rsidRPr="002562CC">
        <w:rPr>
          <w:rFonts w:eastAsia="MS Mincho"/>
          <w:lang w:eastAsia="da-DK"/>
        </w:rPr>
        <w:t>and improvement or worsening over time; CGI-S assessed overall function.</w:t>
      </w:r>
    </w:p>
    <w:p w14:paraId="2DE884D4" w14:textId="77777777" w:rsidR="00865A43" w:rsidRDefault="00865A43" w:rsidP="00A96733">
      <w:pPr>
        <w:rPr>
          <w:rFonts w:eastAsia="MS Mincho"/>
          <w:lang w:eastAsia="da-DK"/>
        </w:rPr>
      </w:pPr>
    </w:p>
    <w:p w14:paraId="67DFFAE8" w14:textId="0C8DE341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</w:t>
      </w:r>
      <w:r w:rsidR="00B15C06">
        <w:rPr>
          <w:b/>
          <w:sz w:val="23"/>
          <w:szCs w:val="23"/>
        </w:rPr>
        <w:t>:</w:t>
      </w:r>
    </w:p>
    <w:p w14:paraId="35140841" w14:textId="0D7F5294" w:rsidR="00B15C06" w:rsidRDefault="002562CC" w:rsidP="002562CC">
      <w:pPr>
        <w:rPr>
          <w:color w:val="000000"/>
        </w:rPr>
      </w:pPr>
      <w:r w:rsidRPr="002562CC">
        <w:rPr>
          <w:rFonts w:eastAsia="MS Mincho"/>
          <w:lang w:eastAsia="da-DK"/>
        </w:rPr>
        <w:t>The majority of patients (96%) were females assigned at birth; 45% identified as gender diverse. Sixty-eight percent had no prior history of tics</w:t>
      </w:r>
      <w:r w:rsidR="00845C31">
        <w:rPr>
          <w:rFonts w:eastAsia="MS Mincho"/>
          <w:lang w:eastAsia="da-DK"/>
        </w:rPr>
        <w:t xml:space="preserve">, </w:t>
      </w:r>
      <w:r w:rsidR="00845C31">
        <w:rPr>
          <w:rFonts w:eastAsia="MS Mincho"/>
          <w:lang w:eastAsia="da-DK"/>
        </w:rPr>
        <w:t>45% had ADHD and 7% had autism.</w:t>
      </w:r>
      <w:r w:rsidRPr="002562CC">
        <w:rPr>
          <w:rFonts w:eastAsia="MS Mincho"/>
          <w:lang w:eastAsia="da-DK"/>
        </w:rPr>
        <w:t xml:space="preserve"> Most patients had preceding mental health struggles, including 93% with anxiety disorders and 71% with depressive disorders</w:t>
      </w:r>
      <w:r w:rsidR="00D512BA">
        <w:rPr>
          <w:rFonts w:eastAsia="MS Mincho"/>
          <w:lang w:eastAsia="da-DK"/>
        </w:rPr>
        <w:t xml:space="preserve">. </w:t>
      </w:r>
      <w:r w:rsidRPr="002562CC">
        <w:rPr>
          <w:rFonts w:eastAsia="MS Mincho"/>
          <w:lang w:eastAsia="da-DK"/>
        </w:rPr>
        <w:t xml:space="preserve">On CGI-I scores, 79% of patients showed improvement in </w:t>
      </w:r>
      <w:r w:rsidR="00E43D4D">
        <w:rPr>
          <w:rFonts w:eastAsia="MS Mincho"/>
          <w:lang w:eastAsia="da-DK"/>
        </w:rPr>
        <w:t>FTLB</w:t>
      </w:r>
      <w:r w:rsidRPr="002562CC">
        <w:rPr>
          <w:rFonts w:eastAsia="MS Mincho"/>
          <w:lang w:eastAsia="da-DK"/>
        </w:rPr>
        <w:t xml:space="preserve"> at follow-up. In terms of overall function, clinicians rated most patients as normal to mildly ill (71.4%) at follow-up; a subset developed other functional neurologic </w:t>
      </w:r>
      <w:r w:rsidR="009466C0">
        <w:rPr>
          <w:rFonts w:eastAsia="MS Mincho"/>
          <w:lang w:eastAsia="da-DK"/>
        </w:rPr>
        <w:t>disorders (FND)</w:t>
      </w:r>
      <w:r w:rsidRPr="002562CC">
        <w:rPr>
          <w:rFonts w:eastAsia="MS Mincho"/>
          <w:lang w:eastAsia="da-DK"/>
        </w:rPr>
        <w:t>.</w:t>
      </w:r>
      <w:r>
        <w:rPr>
          <w:rFonts w:eastAsia="MS Mincho"/>
          <w:lang w:eastAsia="da-DK"/>
        </w:rPr>
        <w:t xml:space="preserve"> </w:t>
      </w:r>
      <w:r w:rsidR="00E131C3">
        <w:rPr>
          <w:color w:val="000000"/>
        </w:rPr>
        <w:t> </w:t>
      </w:r>
      <w:r w:rsidR="00845C31">
        <w:rPr>
          <w:color w:val="000000"/>
        </w:rPr>
        <w:t>Eighty-four percent</w:t>
      </w:r>
      <w:r w:rsidR="00E131C3">
        <w:rPr>
          <w:color w:val="000000"/>
        </w:rPr>
        <w:t xml:space="preserve"> of our patients engaged in therapy and medication, and this combined approach yielded the most improvement, regardless of the type of therapy.  </w:t>
      </w:r>
    </w:p>
    <w:p w14:paraId="4B5EE748" w14:textId="77777777" w:rsidR="00865A43" w:rsidRDefault="00865A43" w:rsidP="002562CC">
      <w:pPr>
        <w:rPr>
          <w:rFonts w:eastAsia="MS Mincho"/>
          <w:lang w:eastAsia="da-DK"/>
        </w:rPr>
      </w:pPr>
    </w:p>
    <w:p w14:paraId="4236042A" w14:textId="77777777" w:rsidR="00B15C06" w:rsidRDefault="00B15C06" w:rsidP="002562CC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Conclusions:</w:t>
      </w:r>
    </w:p>
    <w:p w14:paraId="00DCBD4B" w14:textId="67E0D53B" w:rsidR="00A96733" w:rsidRPr="00E43D4D" w:rsidRDefault="002562CC" w:rsidP="00961708">
      <w:pPr>
        <w:rPr>
          <w:rFonts w:cstheme="minorHAnsi"/>
          <w:color w:val="000000"/>
        </w:rPr>
      </w:pPr>
      <w:r w:rsidRPr="001260DB">
        <w:rPr>
          <w:rFonts w:cstheme="minorHAnsi"/>
          <w:color w:val="000000"/>
        </w:rPr>
        <w:lastRenderedPageBreak/>
        <w:t xml:space="preserve">Increase in functional tics in adolescents during COVID-19 pandemic resolved for 79% of </w:t>
      </w:r>
      <w:r>
        <w:rPr>
          <w:rFonts w:cstheme="minorHAnsi"/>
          <w:color w:val="000000"/>
        </w:rPr>
        <w:t>patients</w:t>
      </w:r>
      <w:r w:rsidR="00E131C3">
        <w:rPr>
          <w:rFonts w:cstheme="minorHAnsi"/>
          <w:color w:val="000000"/>
        </w:rPr>
        <w:t xml:space="preserve"> in our cohort</w:t>
      </w:r>
      <w:r>
        <w:rPr>
          <w:rFonts w:cstheme="minorHAnsi"/>
          <w:color w:val="000000"/>
        </w:rPr>
        <w:t>. A subset has received other</w:t>
      </w:r>
      <w:r w:rsidRPr="001260DB">
        <w:rPr>
          <w:rFonts w:cstheme="minorHAnsi"/>
          <w:color w:val="000000"/>
        </w:rPr>
        <w:t xml:space="preserve"> neuropsychiatric diagnoses</w:t>
      </w:r>
      <w:r>
        <w:rPr>
          <w:rFonts w:cstheme="minorHAnsi"/>
          <w:color w:val="000000"/>
        </w:rPr>
        <w:t xml:space="preserve">. </w:t>
      </w:r>
      <w:r w:rsidR="009466C0">
        <w:rPr>
          <w:rFonts w:cstheme="minorHAnsi"/>
          <w:color w:val="000000"/>
        </w:rPr>
        <w:t xml:space="preserve">Treatments </w:t>
      </w:r>
      <w:r w:rsidR="00E131C3" w:rsidRPr="00E131C3">
        <w:rPr>
          <w:rFonts w:cstheme="minorHAnsi"/>
          <w:color w:val="000000"/>
        </w:rPr>
        <w:t xml:space="preserve">targeted </w:t>
      </w:r>
      <w:r w:rsidR="009466C0">
        <w:rPr>
          <w:rFonts w:cstheme="minorHAnsi"/>
          <w:color w:val="000000"/>
        </w:rPr>
        <w:t xml:space="preserve">towards </w:t>
      </w:r>
      <w:r w:rsidR="00E131C3" w:rsidRPr="00E131C3">
        <w:rPr>
          <w:rFonts w:cstheme="minorHAnsi"/>
          <w:color w:val="000000"/>
        </w:rPr>
        <w:t>anxiety, depression and ADHD</w:t>
      </w:r>
      <w:r w:rsidR="009466C0">
        <w:rPr>
          <w:rFonts w:cstheme="minorHAnsi"/>
          <w:color w:val="000000"/>
        </w:rPr>
        <w:t xml:space="preserve"> were essential</w:t>
      </w:r>
      <w:r w:rsidR="00E131C3">
        <w:rPr>
          <w:rFonts w:cstheme="minorHAnsi"/>
          <w:color w:val="000000"/>
        </w:rPr>
        <w:t>. A m</w:t>
      </w:r>
      <w:r w:rsidR="00E131C3" w:rsidRPr="00E131C3">
        <w:rPr>
          <w:rFonts w:cstheme="minorHAnsi"/>
          <w:color w:val="000000"/>
        </w:rPr>
        <w:t xml:space="preserve">odified </w:t>
      </w:r>
      <w:r w:rsidR="009466C0">
        <w:rPr>
          <w:rFonts w:cstheme="minorHAnsi"/>
          <w:color w:val="000000"/>
        </w:rPr>
        <w:t>comprehensive behavioral therapy for tics (</w:t>
      </w:r>
      <w:r w:rsidR="00E131C3" w:rsidRPr="00E131C3">
        <w:rPr>
          <w:rFonts w:cstheme="minorHAnsi"/>
          <w:color w:val="000000"/>
        </w:rPr>
        <w:t>CBIT</w:t>
      </w:r>
      <w:r w:rsidR="009466C0">
        <w:rPr>
          <w:rFonts w:cstheme="minorHAnsi"/>
          <w:color w:val="000000"/>
        </w:rPr>
        <w:t>)</w:t>
      </w:r>
      <w:r w:rsidR="00E131C3" w:rsidRPr="00E131C3">
        <w:rPr>
          <w:rFonts w:cstheme="minorHAnsi"/>
          <w:color w:val="000000"/>
        </w:rPr>
        <w:t xml:space="preserve"> with</w:t>
      </w:r>
      <w:r w:rsidR="009466C0">
        <w:rPr>
          <w:rFonts w:cstheme="minorHAnsi"/>
          <w:color w:val="000000"/>
        </w:rPr>
        <w:t xml:space="preserve"> comprehensive behavioral therapy</w:t>
      </w:r>
      <w:r w:rsidR="00E131C3" w:rsidRPr="00E131C3">
        <w:rPr>
          <w:rFonts w:cstheme="minorHAnsi"/>
          <w:color w:val="000000"/>
        </w:rPr>
        <w:t xml:space="preserve"> </w:t>
      </w:r>
      <w:r w:rsidR="009466C0">
        <w:rPr>
          <w:rFonts w:cstheme="minorHAnsi"/>
          <w:color w:val="000000"/>
        </w:rPr>
        <w:t>(</w:t>
      </w:r>
      <w:r w:rsidR="00E131C3" w:rsidRPr="00E131C3">
        <w:rPr>
          <w:rFonts w:cstheme="minorHAnsi"/>
          <w:color w:val="000000"/>
        </w:rPr>
        <w:t>CBT</w:t>
      </w:r>
      <w:r w:rsidR="009466C0">
        <w:rPr>
          <w:rFonts w:cstheme="minorHAnsi"/>
          <w:color w:val="000000"/>
        </w:rPr>
        <w:t>)</w:t>
      </w:r>
      <w:r w:rsidR="00961708">
        <w:rPr>
          <w:rFonts w:cstheme="minorHAnsi"/>
          <w:color w:val="000000"/>
        </w:rPr>
        <w:t xml:space="preserve"> and </w:t>
      </w:r>
      <w:r w:rsidR="00E131C3">
        <w:rPr>
          <w:rFonts w:cstheme="minorHAnsi"/>
          <w:color w:val="000000"/>
        </w:rPr>
        <w:t>sensory grounding</w:t>
      </w:r>
      <w:r w:rsidR="00E131C3" w:rsidRPr="00E131C3">
        <w:rPr>
          <w:rFonts w:cstheme="minorHAnsi"/>
          <w:color w:val="000000"/>
        </w:rPr>
        <w:t xml:space="preserve"> </w:t>
      </w:r>
      <w:r w:rsidR="00E131C3">
        <w:rPr>
          <w:rFonts w:cstheme="minorHAnsi"/>
          <w:color w:val="000000"/>
        </w:rPr>
        <w:t>warrants a develo</w:t>
      </w:r>
      <w:r w:rsidR="00961708">
        <w:rPr>
          <w:rFonts w:cstheme="minorHAnsi"/>
          <w:color w:val="000000"/>
        </w:rPr>
        <w:t xml:space="preserve">pment of a </w:t>
      </w:r>
      <w:r w:rsidR="00E131C3" w:rsidRPr="00E131C3">
        <w:rPr>
          <w:rFonts w:cstheme="minorHAnsi"/>
          <w:color w:val="000000"/>
        </w:rPr>
        <w:t>modified protocol</w:t>
      </w:r>
      <w:r w:rsidR="00961708">
        <w:rPr>
          <w:rFonts w:cstheme="minorHAnsi"/>
          <w:color w:val="000000"/>
        </w:rPr>
        <w:t xml:space="preserve"> for patients with </w:t>
      </w:r>
      <w:r w:rsidR="00845C31">
        <w:rPr>
          <w:rFonts w:eastAsia="MS Mincho"/>
          <w:lang w:eastAsia="da-DK"/>
        </w:rPr>
        <w:t>FTLB</w:t>
      </w:r>
      <w:r w:rsidR="00961708">
        <w:rPr>
          <w:rFonts w:cstheme="minorHAnsi"/>
          <w:color w:val="000000"/>
        </w:rPr>
        <w:t xml:space="preserve">. </w:t>
      </w:r>
      <w:r w:rsidR="00845C31">
        <w:rPr>
          <w:color w:val="000000"/>
        </w:rPr>
        <w:t xml:space="preserve">Patient’s </w:t>
      </w:r>
      <w:r w:rsidR="00961708">
        <w:rPr>
          <w:color w:val="000000"/>
        </w:rPr>
        <w:t xml:space="preserve">willingness to engage in therapy and commitment to practicing skills and shifting their mindset away from tics, regardless of the type of therapy </w:t>
      </w:r>
      <w:r w:rsidR="00845C31">
        <w:rPr>
          <w:color w:val="000000"/>
        </w:rPr>
        <w:t>seemed essential</w:t>
      </w:r>
      <w:r w:rsidR="00961708">
        <w:rPr>
          <w:color w:val="000000"/>
        </w:rPr>
        <w:t xml:space="preserve">. </w:t>
      </w:r>
      <w:r w:rsidR="00961708">
        <w:rPr>
          <w:rFonts w:eastAsia="MS Mincho"/>
          <w:lang w:eastAsia="da-DK"/>
        </w:rPr>
        <w:t xml:space="preserve">We learned that </w:t>
      </w:r>
      <w:r w:rsidR="00E131C3" w:rsidRPr="00E131C3">
        <w:rPr>
          <w:rFonts w:cstheme="minorHAnsi"/>
          <w:color w:val="000000"/>
        </w:rPr>
        <w:t>social connectivity and spread of ideas among teens via social media</w:t>
      </w:r>
      <w:r w:rsidR="00961708">
        <w:rPr>
          <w:rFonts w:cstheme="minorHAnsi"/>
          <w:color w:val="000000"/>
        </w:rPr>
        <w:t xml:space="preserve"> has become a powerful, previously underestimated tool and we need to be cautious about </w:t>
      </w:r>
      <w:r w:rsidR="00E43D4D">
        <w:rPr>
          <w:rFonts w:cstheme="minorHAnsi"/>
          <w:color w:val="000000"/>
        </w:rPr>
        <w:t xml:space="preserve">future </w:t>
      </w:r>
      <w:r w:rsidR="009466C0">
        <w:rPr>
          <w:rFonts w:cstheme="minorHAnsi"/>
          <w:color w:val="000000"/>
        </w:rPr>
        <w:t xml:space="preserve">mass </w:t>
      </w:r>
      <w:r w:rsidR="00961708">
        <w:rPr>
          <w:rFonts w:cstheme="minorHAnsi"/>
          <w:color w:val="000000"/>
        </w:rPr>
        <w:t>sociogenic illnesses</w:t>
      </w:r>
      <w:r w:rsidR="00E43D4D">
        <w:rPr>
          <w:rFonts w:cstheme="minorHAnsi"/>
          <w:color w:val="000000"/>
        </w:rPr>
        <w:t xml:space="preserve">. </w:t>
      </w:r>
      <w:r w:rsidR="00961708">
        <w:rPr>
          <w:rFonts w:cstheme="minorHAnsi"/>
          <w:color w:val="000000"/>
        </w:rPr>
        <w:t xml:space="preserve">Even though for many patients </w:t>
      </w:r>
      <w:r w:rsidR="009466C0">
        <w:rPr>
          <w:rFonts w:cstheme="minorHAnsi"/>
          <w:color w:val="000000"/>
        </w:rPr>
        <w:t>FTLB</w:t>
      </w:r>
      <w:r w:rsidR="00E131C3" w:rsidRPr="00E131C3">
        <w:rPr>
          <w:rFonts w:cstheme="minorHAnsi"/>
          <w:color w:val="000000"/>
        </w:rPr>
        <w:t xml:space="preserve"> </w:t>
      </w:r>
      <w:r w:rsidR="00961708">
        <w:rPr>
          <w:rFonts w:cstheme="minorHAnsi"/>
          <w:color w:val="000000"/>
        </w:rPr>
        <w:t xml:space="preserve">have </w:t>
      </w:r>
      <w:r w:rsidR="00E131C3" w:rsidRPr="00E131C3">
        <w:rPr>
          <w:rFonts w:cstheme="minorHAnsi"/>
          <w:color w:val="000000"/>
        </w:rPr>
        <w:t xml:space="preserve">improved but anxiety driven illnesses </w:t>
      </w:r>
      <w:r w:rsidR="00961708">
        <w:rPr>
          <w:rFonts w:cstheme="minorHAnsi"/>
          <w:color w:val="000000"/>
        </w:rPr>
        <w:t xml:space="preserve">including other FND presentations and eating disorders </w:t>
      </w:r>
      <w:r w:rsidR="00E131C3" w:rsidRPr="00E131C3">
        <w:rPr>
          <w:rFonts w:cstheme="minorHAnsi"/>
          <w:color w:val="000000"/>
        </w:rPr>
        <w:t>need to be monitored</w:t>
      </w:r>
      <w:r w:rsidR="00961708">
        <w:rPr>
          <w:rFonts w:cstheme="minorHAnsi"/>
          <w:color w:val="000000"/>
        </w:rPr>
        <w:t>. The future research and r</w:t>
      </w:r>
      <w:r>
        <w:rPr>
          <w:rFonts w:cstheme="minorHAnsi"/>
          <w:color w:val="000000"/>
        </w:rPr>
        <w:t>ecognition of contributing psychosocial factors will allow o</w:t>
      </w:r>
      <w:r>
        <w:rPr>
          <w:rFonts w:eastAsia="Times New Roman" w:cstheme="minorHAnsi"/>
          <w:color w:val="000000"/>
        </w:rPr>
        <w:t xml:space="preserve">ptimal support for </w:t>
      </w:r>
      <w:r w:rsidRPr="001260DB">
        <w:rPr>
          <w:rFonts w:eastAsia="Times New Roman" w:cstheme="minorHAnsi"/>
          <w:color w:val="000000"/>
        </w:rPr>
        <w:t>these patients.</w:t>
      </w: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3957" w14:textId="77777777" w:rsidR="003233EE" w:rsidRDefault="003233EE">
      <w:r>
        <w:separator/>
      </w:r>
    </w:p>
  </w:endnote>
  <w:endnote w:type="continuationSeparator" w:id="0">
    <w:p w14:paraId="2FD35500" w14:textId="77777777" w:rsidR="003233EE" w:rsidRDefault="0032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ooter"/>
          <w:jc w:val="center"/>
        </w:pPr>
      </w:p>
      <w:p w14:paraId="18BFC470" w14:textId="696EDC7B" w:rsidR="00777248" w:rsidRDefault="0077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0198" w14:textId="77777777" w:rsidR="003233EE" w:rsidRDefault="003233EE">
      <w:r>
        <w:separator/>
      </w:r>
    </w:p>
  </w:footnote>
  <w:footnote w:type="continuationSeparator" w:id="0">
    <w:p w14:paraId="2CADF8DC" w14:textId="77777777" w:rsidR="003233EE" w:rsidRDefault="00323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5"/>
  </w:num>
  <w:num w:numId="2" w16cid:durableId="939293109">
    <w:abstractNumId w:val="28"/>
  </w:num>
  <w:num w:numId="3" w16cid:durableId="2092698652">
    <w:abstractNumId w:val="41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38"/>
  </w:num>
  <w:num w:numId="7" w16cid:durableId="568004825">
    <w:abstractNumId w:val="28"/>
    <w:lvlOverride w:ilvl="0">
      <w:startOverride w:val="2"/>
    </w:lvlOverride>
  </w:num>
  <w:num w:numId="8" w16cid:durableId="1240137770">
    <w:abstractNumId w:val="28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2"/>
  </w:num>
  <w:num w:numId="11" w16cid:durableId="1050805071">
    <w:abstractNumId w:val="14"/>
  </w:num>
  <w:num w:numId="12" w16cid:durableId="1174563521">
    <w:abstractNumId w:val="42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39"/>
  </w:num>
  <w:num w:numId="17" w16cid:durableId="211158348">
    <w:abstractNumId w:val="34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7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3"/>
  </w:num>
  <w:num w:numId="27" w16cid:durableId="1102068126">
    <w:abstractNumId w:val="44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6"/>
  </w:num>
  <w:num w:numId="34" w16cid:durableId="1569076509">
    <w:abstractNumId w:val="30"/>
  </w:num>
  <w:num w:numId="35" w16cid:durableId="35469345">
    <w:abstractNumId w:val="29"/>
  </w:num>
  <w:num w:numId="36" w16cid:durableId="1346663883">
    <w:abstractNumId w:val="40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5"/>
  </w:num>
  <w:num w:numId="43" w16cid:durableId="216400536">
    <w:abstractNumId w:val="6"/>
  </w:num>
  <w:num w:numId="44" w16cid:durableId="120074048">
    <w:abstractNumId w:val="33"/>
  </w:num>
  <w:num w:numId="45" w16cid:durableId="190149101">
    <w:abstractNumId w:val="31"/>
  </w:num>
  <w:num w:numId="46" w16cid:durableId="236330075">
    <w:abstractNumId w:val="27"/>
  </w:num>
  <w:num w:numId="47" w16cid:durableId="68230264">
    <w:abstractNumId w:val="12"/>
  </w:num>
  <w:num w:numId="48" w16cid:durableId="1376394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6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2CC"/>
    <w:rsid w:val="00256AC9"/>
    <w:rsid w:val="00274E36"/>
    <w:rsid w:val="002C25EC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233EE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F5BDB"/>
    <w:rsid w:val="003F6BD3"/>
    <w:rsid w:val="004031FD"/>
    <w:rsid w:val="00440E12"/>
    <w:rsid w:val="00446966"/>
    <w:rsid w:val="004A2B4B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4A9B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45C31"/>
    <w:rsid w:val="00851661"/>
    <w:rsid w:val="00863537"/>
    <w:rsid w:val="008641B5"/>
    <w:rsid w:val="00865A43"/>
    <w:rsid w:val="00890048"/>
    <w:rsid w:val="008A4877"/>
    <w:rsid w:val="008A69C9"/>
    <w:rsid w:val="009027EE"/>
    <w:rsid w:val="00914391"/>
    <w:rsid w:val="00933C20"/>
    <w:rsid w:val="00937E61"/>
    <w:rsid w:val="009466C0"/>
    <w:rsid w:val="00961708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96733"/>
    <w:rsid w:val="00AB7A5C"/>
    <w:rsid w:val="00AD5BDE"/>
    <w:rsid w:val="00AF0F53"/>
    <w:rsid w:val="00B02D44"/>
    <w:rsid w:val="00B05689"/>
    <w:rsid w:val="00B07846"/>
    <w:rsid w:val="00B15C06"/>
    <w:rsid w:val="00B26C2E"/>
    <w:rsid w:val="00B42A75"/>
    <w:rsid w:val="00B4745E"/>
    <w:rsid w:val="00B47910"/>
    <w:rsid w:val="00B47AB4"/>
    <w:rsid w:val="00B66333"/>
    <w:rsid w:val="00B842E7"/>
    <w:rsid w:val="00BB21C2"/>
    <w:rsid w:val="00BF27F5"/>
    <w:rsid w:val="00C04600"/>
    <w:rsid w:val="00C1559C"/>
    <w:rsid w:val="00C20AEB"/>
    <w:rsid w:val="00C3177D"/>
    <w:rsid w:val="00C45D77"/>
    <w:rsid w:val="00C67540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12BA"/>
    <w:rsid w:val="00D56A96"/>
    <w:rsid w:val="00DA465C"/>
    <w:rsid w:val="00DB31D4"/>
    <w:rsid w:val="00DB517D"/>
    <w:rsid w:val="00DC667B"/>
    <w:rsid w:val="00DD7704"/>
    <w:rsid w:val="00DE5000"/>
    <w:rsid w:val="00DF5871"/>
    <w:rsid w:val="00E03CAF"/>
    <w:rsid w:val="00E071DB"/>
    <w:rsid w:val="00E131C3"/>
    <w:rsid w:val="00E320DE"/>
    <w:rsid w:val="00E43D4D"/>
    <w:rsid w:val="00E45778"/>
    <w:rsid w:val="00E813B4"/>
    <w:rsid w:val="00E8329C"/>
    <w:rsid w:val="00E87F5D"/>
    <w:rsid w:val="00E93B9B"/>
    <w:rsid w:val="00E9458D"/>
    <w:rsid w:val="00EC0267"/>
    <w:rsid w:val="00ED1733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Kinga Tomczak</cp:lastModifiedBy>
  <cp:revision>4</cp:revision>
  <cp:lastPrinted>2023-04-09T11:59:00Z</cp:lastPrinted>
  <dcterms:created xsi:type="dcterms:W3CDTF">2023-04-08T02:15:00Z</dcterms:created>
  <dcterms:modified xsi:type="dcterms:W3CDTF">2023-04-09T12:23:00Z</dcterms:modified>
</cp:coreProperties>
</file>