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D74F" w14:textId="77777777" w:rsidR="009A046B" w:rsidRPr="009A046B" w:rsidRDefault="009A046B" w:rsidP="009A046B">
      <w:pPr>
        <w:jc w:val="center"/>
        <w:rPr>
          <w:rFonts w:eastAsia="Times New Roman"/>
          <w:b/>
          <w:bCs/>
          <w:sz w:val="27"/>
          <w:szCs w:val="27"/>
          <w:lang w:eastAsia="da-DK"/>
        </w:rPr>
      </w:pPr>
      <w:r w:rsidRPr="009A046B">
        <w:rPr>
          <w:rFonts w:eastAsia="Times New Roman"/>
          <w:b/>
          <w:bCs/>
          <w:sz w:val="27"/>
          <w:szCs w:val="27"/>
          <w:lang w:eastAsia="da-DK"/>
        </w:rPr>
        <w:t>Letting Tourette's be: The importance of understanding lived</w:t>
      </w:r>
    </w:p>
    <w:p w14:paraId="7CB1AB1D" w14:textId="5447C611" w:rsidR="00A96733" w:rsidRPr="00A96733" w:rsidRDefault="009A046B" w:rsidP="009A046B">
      <w:pPr>
        <w:jc w:val="center"/>
      </w:pPr>
      <w:r w:rsidRPr="009A046B">
        <w:rPr>
          <w:rFonts w:eastAsia="Times New Roman"/>
          <w:b/>
          <w:bCs/>
          <w:sz w:val="27"/>
          <w:szCs w:val="27"/>
          <w:lang w:eastAsia="da-DK"/>
        </w:rPr>
        <w:t>experience in research and the clinic</w:t>
      </w:r>
    </w:p>
    <w:p w14:paraId="46FE74D1" w14:textId="365EF96F" w:rsidR="00A96733" w:rsidRPr="008C69FC" w:rsidRDefault="00EA4B36" w:rsidP="00A96733">
      <w:pPr>
        <w:spacing w:line="360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u w:val="single"/>
          <w:lang w:eastAsia="da-DK"/>
        </w:rPr>
        <w:t>Jo Bervoets</w:t>
      </w:r>
      <w:r w:rsidR="00A96733" w:rsidRPr="008C69FC">
        <w:rPr>
          <w:rFonts w:eastAsia="Times New Roman"/>
          <w:vertAlign w:val="superscript"/>
          <w:lang w:eastAsia="da-DK"/>
        </w:rPr>
        <w:t>1</w:t>
      </w:r>
      <w:r w:rsidR="00A96733" w:rsidRPr="008C69FC">
        <w:rPr>
          <w:rFonts w:eastAsia="Times New Roman"/>
          <w:lang w:eastAsia="da-DK"/>
        </w:rPr>
        <w:t xml:space="preserve"> and </w:t>
      </w:r>
      <w:r>
        <w:rPr>
          <w:rFonts w:eastAsia="Times New Roman"/>
          <w:lang w:eastAsia="da-DK"/>
        </w:rPr>
        <w:t>Diana Beljaars</w:t>
      </w:r>
      <w:r w:rsidRPr="008C69FC">
        <w:rPr>
          <w:rFonts w:eastAsia="Times New Roman"/>
          <w:vertAlign w:val="superscript"/>
          <w:lang w:eastAsia="da-DK"/>
        </w:rPr>
        <w:t>2</w:t>
      </w:r>
      <w:r>
        <w:rPr>
          <w:rFonts w:eastAsia="Times New Roman"/>
          <w:lang w:eastAsia="da-DK"/>
        </w:rPr>
        <w:t xml:space="preserve"> and Hanne De Jaegher</w:t>
      </w:r>
      <w:r>
        <w:rPr>
          <w:rFonts w:eastAsia="Times New Roman"/>
          <w:vertAlign w:val="superscript"/>
          <w:lang w:eastAsia="da-DK"/>
        </w:rPr>
        <w:t>3</w:t>
      </w:r>
    </w:p>
    <w:p w14:paraId="2AD44461" w14:textId="5FC76C74" w:rsidR="00A96733" w:rsidRPr="0017634A" w:rsidRDefault="00A96733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val="en-GB" w:eastAsia="da-DK"/>
        </w:rPr>
      </w:pPr>
      <w:r w:rsidRPr="0017634A">
        <w:rPr>
          <w:rFonts w:eastAsia="Times New Roman"/>
          <w:vertAlign w:val="superscript"/>
          <w:lang w:val="en-GB" w:eastAsia="da-DK"/>
        </w:rPr>
        <w:t>1</w:t>
      </w:r>
      <w:r w:rsidRPr="0017634A">
        <w:rPr>
          <w:rFonts w:eastAsia="Times New Roman"/>
          <w:lang w:val="en-GB" w:eastAsia="da-DK"/>
        </w:rPr>
        <w:t xml:space="preserve"> </w:t>
      </w:r>
      <w:r w:rsidR="00EA4B36" w:rsidRPr="0017634A">
        <w:rPr>
          <w:rFonts w:eastAsia="Times New Roman"/>
          <w:lang w:val="en-GB" w:eastAsia="da-DK"/>
        </w:rPr>
        <w:t>Antwerp University</w:t>
      </w:r>
      <w:r w:rsidR="0017634A" w:rsidRPr="0017634A">
        <w:rPr>
          <w:rFonts w:eastAsia="Times New Roman"/>
          <w:lang w:val="en-GB" w:eastAsia="da-DK"/>
        </w:rPr>
        <w:t>, Belgium</w:t>
      </w:r>
      <w:r w:rsidRPr="0017634A">
        <w:rPr>
          <w:rFonts w:eastAsia="Times New Roman"/>
          <w:lang w:val="en-GB" w:eastAsia="da-DK"/>
        </w:rPr>
        <w:br/>
      </w:r>
      <w:r w:rsidRPr="0017634A">
        <w:rPr>
          <w:rFonts w:eastAsia="Times New Roman"/>
          <w:vertAlign w:val="superscript"/>
          <w:lang w:val="en-GB" w:eastAsia="da-DK"/>
        </w:rPr>
        <w:t>2</w:t>
      </w:r>
      <w:r w:rsidRPr="0017634A">
        <w:rPr>
          <w:rFonts w:eastAsia="Times New Roman"/>
          <w:lang w:val="en-GB" w:eastAsia="da-DK"/>
        </w:rPr>
        <w:t xml:space="preserve"> </w:t>
      </w:r>
      <w:r w:rsidR="00EA4B36" w:rsidRPr="0017634A">
        <w:rPr>
          <w:rFonts w:eastAsia="Times New Roman"/>
          <w:lang w:val="en-GB" w:eastAsia="da-DK"/>
        </w:rPr>
        <w:t>Swansea University</w:t>
      </w:r>
      <w:r w:rsidR="0017634A" w:rsidRPr="0017634A">
        <w:rPr>
          <w:rFonts w:eastAsia="Times New Roman"/>
          <w:lang w:val="en-GB" w:eastAsia="da-DK"/>
        </w:rPr>
        <w:t>, United</w:t>
      </w:r>
      <w:r w:rsidR="0017634A">
        <w:rPr>
          <w:rFonts w:eastAsia="Times New Roman"/>
          <w:lang w:val="en-GB" w:eastAsia="da-DK"/>
        </w:rPr>
        <w:t xml:space="preserve"> Kingdom</w:t>
      </w:r>
    </w:p>
    <w:p w14:paraId="6AD12757" w14:textId="01A962BB" w:rsidR="00EA4B36" w:rsidRPr="008C69FC" w:rsidRDefault="00EA4B36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3</w:t>
      </w:r>
      <w:r>
        <w:rPr>
          <w:rFonts w:eastAsia="Times New Roman"/>
          <w:vertAlign w:val="superscript"/>
          <w:lang w:eastAsia="da-DK"/>
        </w:rPr>
        <w:t xml:space="preserve"> </w:t>
      </w:r>
      <w:r>
        <w:rPr>
          <w:rFonts w:eastAsia="Times New Roman"/>
          <w:lang w:eastAsia="da-DK"/>
        </w:rPr>
        <w:t>University</w:t>
      </w:r>
      <w:r>
        <w:rPr>
          <w:rFonts w:eastAsia="Times New Roman"/>
          <w:lang w:eastAsia="da-DK"/>
        </w:rPr>
        <w:t xml:space="preserve"> of the Basque Country</w:t>
      </w:r>
      <w:r w:rsidR="0017634A">
        <w:rPr>
          <w:rFonts w:eastAsia="Times New Roman"/>
          <w:lang w:eastAsia="da-DK"/>
        </w:rPr>
        <w:t>, Spain</w:t>
      </w:r>
    </w:p>
    <w:p w14:paraId="2C4FF789" w14:textId="77777777" w:rsidR="00A96733" w:rsidRPr="008C69FC" w:rsidRDefault="00A96733" w:rsidP="00A96733">
      <w:pPr>
        <w:rPr>
          <w:rFonts w:eastAsia="MS Mincho"/>
          <w:lang w:eastAsia="da-DK"/>
        </w:rPr>
      </w:pPr>
    </w:p>
    <w:p w14:paraId="12D80263" w14:textId="77777777" w:rsidR="00A96733" w:rsidRPr="00BE59FE" w:rsidRDefault="00A96733" w:rsidP="00A96733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03E04B9D" w14:textId="35E16265" w:rsidR="00A96733" w:rsidRPr="001D6BF7" w:rsidRDefault="004D5E2E" w:rsidP="00A96733">
      <w:pPr>
        <w:rPr>
          <w:rFonts w:eastAsia="MS Mincho"/>
          <w:lang w:val="fr-FR" w:eastAsia="da-DK"/>
        </w:rPr>
      </w:pPr>
      <w:r>
        <w:rPr>
          <w:rFonts w:eastAsia="MS Mincho"/>
          <w:lang w:eastAsia="da-DK"/>
        </w:rPr>
        <w:t xml:space="preserve">The </w:t>
      </w:r>
      <w:r w:rsidR="00E63E02">
        <w:rPr>
          <w:rFonts w:eastAsia="MS Mincho"/>
          <w:lang w:eastAsia="da-DK"/>
        </w:rPr>
        <w:t xml:space="preserve">intention to </w:t>
      </w:r>
      <w:proofErr w:type="gramStart"/>
      <w:r w:rsidR="00E63E02">
        <w:rPr>
          <w:rFonts w:eastAsia="MS Mincho"/>
          <w:lang w:eastAsia="da-DK"/>
        </w:rPr>
        <w:t>more fundamentally include patient perspective and the experience of living</w:t>
      </w:r>
      <w:proofErr w:type="gramEnd"/>
      <w:r w:rsidR="00E63E02">
        <w:rPr>
          <w:rFonts w:eastAsia="MS Mincho"/>
          <w:lang w:eastAsia="da-DK"/>
        </w:rPr>
        <w:t xml:space="preserve"> with Tourette syndrome has </w:t>
      </w:r>
      <w:r w:rsidR="002E0940">
        <w:rPr>
          <w:rFonts w:eastAsia="MS Mincho"/>
          <w:lang w:eastAsia="da-DK"/>
        </w:rPr>
        <w:t>been growing over the past decade</w:t>
      </w:r>
      <w:r w:rsidR="00F443C0">
        <w:rPr>
          <w:rFonts w:eastAsia="MS Mincho"/>
          <w:lang w:eastAsia="da-DK"/>
        </w:rPr>
        <w:t>; both in Tourette</w:t>
      </w:r>
      <w:r w:rsidR="00B57AA5">
        <w:rPr>
          <w:rFonts w:eastAsia="MS Mincho"/>
          <w:lang w:eastAsia="da-DK"/>
        </w:rPr>
        <w:t xml:space="preserve">’s-specific research and more broadly in the rise of </w:t>
      </w:r>
      <w:r w:rsidR="00F46C02">
        <w:rPr>
          <w:rFonts w:eastAsia="MS Mincho"/>
          <w:lang w:eastAsia="da-DK"/>
        </w:rPr>
        <w:t xml:space="preserve">interest in </w:t>
      </w:r>
      <w:r w:rsidR="00B57AA5">
        <w:rPr>
          <w:rFonts w:eastAsia="MS Mincho"/>
          <w:lang w:eastAsia="da-DK"/>
        </w:rPr>
        <w:t>neurodiversity</w:t>
      </w:r>
      <w:r w:rsidR="00F46C02">
        <w:rPr>
          <w:rFonts w:eastAsia="MS Mincho"/>
          <w:lang w:eastAsia="da-DK"/>
        </w:rPr>
        <w:t>.</w:t>
      </w:r>
      <w:r w:rsidR="00B25C12">
        <w:rPr>
          <w:rFonts w:eastAsia="MS Mincho"/>
          <w:lang w:eastAsia="da-DK"/>
        </w:rPr>
        <w:t xml:space="preserve"> </w:t>
      </w:r>
      <w:r w:rsidR="004A547A">
        <w:rPr>
          <w:rFonts w:eastAsia="MS Mincho"/>
          <w:lang w:eastAsia="da-DK"/>
        </w:rPr>
        <w:t>R</w:t>
      </w:r>
      <w:r w:rsidR="007A50D2">
        <w:rPr>
          <w:rFonts w:eastAsia="MS Mincho"/>
          <w:lang w:eastAsia="da-DK"/>
        </w:rPr>
        <w:t>econciling the differences between</w:t>
      </w:r>
      <w:r w:rsidR="00B25C12">
        <w:rPr>
          <w:rFonts w:eastAsia="MS Mincho"/>
          <w:lang w:eastAsia="da-DK"/>
        </w:rPr>
        <w:t xml:space="preserve"> quantitative deficit-based based models of Tourette syndrome</w:t>
      </w:r>
      <w:r w:rsidR="00EB2815">
        <w:rPr>
          <w:rFonts w:eastAsia="MS Mincho"/>
          <w:lang w:eastAsia="da-DK"/>
        </w:rPr>
        <w:t xml:space="preserve"> through </w:t>
      </w:r>
      <w:r w:rsidR="007A50D2">
        <w:rPr>
          <w:rFonts w:eastAsia="MS Mincho"/>
          <w:lang w:eastAsia="da-DK"/>
        </w:rPr>
        <w:t xml:space="preserve">tic </w:t>
      </w:r>
      <w:r w:rsidR="00EB2815">
        <w:rPr>
          <w:rFonts w:eastAsia="MS Mincho"/>
          <w:lang w:eastAsia="da-DK"/>
        </w:rPr>
        <w:t xml:space="preserve">manifestations </w:t>
      </w:r>
      <w:r w:rsidR="007A50D2">
        <w:rPr>
          <w:rFonts w:eastAsia="MS Mincho"/>
          <w:lang w:eastAsia="da-DK"/>
        </w:rPr>
        <w:t xml:space="preserve">and qualitative </w:t>
      </w:r>
      <w:r w:rsidR="004A547A">
        <w:rPr>
          <w:rFonts w:eastAsia="MS Mincho"/>
          <w:lang w:eastAsia="da-DK"/>
        </w:rPr>
        <w:t xml:space="preserve">neurodiversity </w:t>
      </w:r>
      <w:r w:rsidR="005C52D4">
        <w:rPr>
          <w:rFonts w:eastAsia="MS Mincho"/>
          <w:lang w:eastAsia="da-DK"/>
        </w:rPr>
        <w:t>concerns.</w:t>
      </w:r>
    </w:p>
    <w:p w14:paraId="4EC169A0" w14:textId="77777777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6CFE03AD" w14:textId="26F76189" w:rsidR="00A96733" w:rsidRPr="001D6BF7" w:rsidRDefault="0095168C" w:rsidP="00A96733">
      <w:pPr>
        <w:rPr>
          <w:rFonts w:eastAsia="MS Mincho"/>
          <w:lang w:val="fr-FR" w:eastAsia="da-DK"/>
        </w:rPr>
      </w:pPr>
      <w:r>
        <w:rPr>
          <w:rFonts w:eastAsia="MS Mincho"/>
          <w:lang w:eastAsia="da-DK"/>
        </w:rPr>
        <w:t xml:space="preserve">This </w:t>
      </w:r>
      <w:r w:rsidR="005C52D4">
        <w:rPr>
          <w:rFonts w:eastAsia="MS Mincho"/>
          <w:lang w:eastAsia="da-DK"/>
        </w:rPr>
        <w:t xml:space="preserve">paper is based on a </w:t>
      </w:r>
      <w:r w:rsidR="00540DAF">
        <w:rPr>
          <w:rFonts w:eastAsia="MS Mincho"/>
          <w:lang w:eastAsia="da-DK"/>
        </w:rPr>
        <w:t xml:space="preserve">literature analysis of the portrayal of tics in neuropsychiatric literature, </w:t>
      </w:r>
      <w:r w:rsidR="00EF5875">
        <w:rPr>
          <w:rFonts w:eastAsia="MS Mincho"/>
          <w:lang w:eastAsia="da-DK"/>
        </w:rPr>
        <w:t xml:space="preserve">the </w:t>
      </w:r>
      <w:r w:rsidR="00446FDA">
        <w:rPr>
          <w:rFonts w:eastAsia="MS Mincho"/>
          <w:lang w:eastAsia="da-DK"/>
        </w:rPr>
        <w:t xml:space="preserve">underlying ethical principles of deficit approaches employed in the consideration of </w:t>
      </w:r>
      <w:r w:rsidR="00540DAF">
        <w:rPr>
          <w:rFonts w:eastAsia="MS Mincho"/>
          <w:lang w:eastAsia="da-DK"/>
        </w:rPr>
        <w:t xml:space="preserve">Tourette’s as a human condition, </w:t>
      </w:r>
      <w:r w:rsidR="00295402">
        <w:rPr>
          <w:rFonts w:eastAsia="MS Mincho"/>
          <w:lang w:eastAsia="da-DK"/>
        </w:rPr>
        <w:t>as well as the uptake of context and compulsion in the formulation of the main problem that Tourette’s incites</w:t>
      </w:r>
      <w:r w:rsidR="00F27B33">
        <w:rPr>
          <w:rFonts w:eastAsia="MS Mincho"/>
          <w:lang w:eastAsia="da-DK"/>
        </w:rPr>
        <w:t>.</w:t>
      </w:r>
    </w:p>
    <w:p w14:paraId="67DFFAE8" w14:textId="77777777" w:rsidR="00A96733" w:rsidRPr="00BE59FE" w:rsidRDefault="00A96733" w:rsidP="00A9673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03DF19BA" w14:textId="2FEE566C" w:rsidR="00F27B33" w:rsidRPr="00F27B33" w:rsidRDefault="00EF580A" w:rsidP="00F27B33">
      <w:pPr>
        <w:rPr>
          <w:rFonts w:eastAsia="MS Mincho"/>
          <w:lang w:eastAsia="da-DK"/>
        </w:rPr>
      </w:pPr>
      <w:r>
        <w:rPr>
          <w:rFonts w:eastAsia="MS Mincho"/>
          <w:lang w:eastAsia="da-DK"/>
        </w:rPr>
        <w:t>On the basis of the analysis, t</w:t>
      </w:r>
      <w:r w:rsidR="00F27B33">
        <w:rPr>
          <w:rFonts w:eastAsia="MS Mincho"/>
          <w:lang w:eastAsia="da-DK"/>
        </w:rPr>
        <w:t xml:space="preserve">he paper </w:t>
      </w:r>
      <w:r w:rsidR="00F27B33" w:rsidRPr="00F27B33">
        <w:rPr>
          <w:rFonts w:eastAsia="MS Mincho"/>
          <w:lang w:eastAsia="da-DK"/>
        </w:rPr>
        <w:t xml:space="preserve">puts forward an </w:t>
      </w:r>
      <w:proofErr w:type="spellStart"/>
      <w:r w:rsidR="00F27B33" w:rsidRPr="00F27B33">
        <w:rPr>
          <w:rFonts w:eastAsia="MS Mincho"/>
          <w:lang w:eastAsia="da-DK"/>
        </w:rPr>
        <w:t>enactive</w:t>
      </w:r>
      <w:proofErr w:type="spellEnd"/>
      <w:r w:rsidR="00F27B33" w:rsidRPr="00F27B33">
        <w:rPr>
          <w:rFonts w:eastAsia="MS Mincho"/>
          <w:lang w:eastAsia="da-DK"/>
        </w:rPr>
        <w:t xml:space="preserve"> analytical</w:t>
      </w:r>
      <w:r w:rsidR="00F27B33">
        <w:rPr>
          <w:rFonts w:eastAsia="MS Mincho"/>
          <w:lang w:eastAsia="da-DK"/>
        </w:rPr>
        <w:t xml:space="preserve"> </w:t>
      </w:r>
      <w:r w:rsidR="00F27B33" w:rsidRPr="00F27B33">
        <w:rPr>
          <w:rFonts w:eastAsia="MS Mincho"/>
          <w:lang w:eastAsia="da-DK"/>
        </w:rPr>
        <w:t xml:space="preserve">approach of ‘letting be’, that is, approaching a phenomenon without forcing </w:t>
      </w:r>
      <w:proofErr w:type="gramStart"/>
      <w:r w:rsidR="00F27B33" w:rsidRPr="00F27B33">
        <w:rPr>
          <w:rFonts w:eastAsia="MS Mincho"/>
          <w:lang w:eastAsia="da-DK"/>
        </w:rPr>
        <w:t>preconceived</w:t>
      </w:r>
      <w:proofErr w:type="gramEnd"/>
    </w:p>
    <w:p w14:paraId="16A98840" w14:textId="4A0EE531" w:rsidR="00A96733" w:rsidRPr="008C69FC" w:rsidRDefault="00F27B33" w:rsidP="00F27B33">
      <w:pPr>
        <w:rPr>
          <w:rFonts w:eastAsia="MS Mincho"/>
          <w:lang w:eastAsia="da-DK"/>
        </w:rPr>
      </w:pPr>
      <w:r w:rsidRPr="00F27B33">
        <w:rPr>
          <w:rFonts w:eastAsia="MS Mincho"/>
          <w:lang w:eastAsia="da-DK"/>
        </w:rPr>
        <w:t xml:space="preserve">reference structures onto it. Prioritizing the perspective of the ‘Tourettic patient’, </w:t>
      </w:r>
      <w:r w:rsidR="00EF580A">
        <w:rPr>
          <w:rFonts w:eastAsia="MS Mincho"/>
          <w:lang w:eastAsia="da-DK"/>
        </w:rPr>
        <w:t>the paper</w:t>
      </w:r>
      <w:r w:rsidRPr="00F27B33">
        <w:rPr>
          <w:rFonts w:eastAsia="MS Mincho"/>
          <w:lang w:eastAsia="da-DK"/>
        </w:rPr>
        <w:t xml:space="preserve"> urges attentiveness to the</w:t>
      </w:r>
      <w:r w:rsidR="00EF580A">
        <w:rPr>
          <w:rFonts w:eastAsia="MS Mincho"/>
          <w:lang w:eastAsia="da-DK"/>
        </w:rPr>
        <w:t xml:space="preserve"> </w:t>
      </w:r>
      <w:r w:rsidRPr="00F27B33">
        <w:rPr>
          <w:rFonts w:eastAsia="MS Mincho"/>
          <w:lang w:eastAsia="da-DK"/>
        </w:rPr>
        <w:t>everyday issues diagnosed people encounter and how these are embedded in further</w:t>
      </w:r>
      <w:r w:rsidR="003715AD">
        <w:rPr>
          <w:rFonts w:eastAsia="MS Mincho"/>
          <w:lang w:eastAsia="da-DK"/>
        </w:rPr>
        <w:t xml:space="preserve"> </w:t>
      </w:r>
      <w:r w:rsidRPr="00F27B33">
        <w:rPr>
          <w:rFonts w:eastAsia="MS Mincho"/>
          <w:lang w:eastAsia="da-DK"/>
        </w:rPr>
        <w:t>life. This approach highlights the strong relationship between the Tourettic persons'</w:t>
      </w:r>
      <w:r w:rsidR="003715AD">
        <w:rPr>
          <w:rFonts w:eastAsia="MS Mincho"/>
          <w:lang w:eastAsia="da-DK"/>
        </w:rPr>
        <w:t xml:space="preserve"> </w:t>
      </w:r>
      <w:r w:rsidRPr="00F27B33">
        <w:rPr>
          <w:rFonts w:eastAsia="MS Mincho"/>
          <w:lang w:eastAsia="da-DK"/>
        </w:rPr>
        <w:t>felt impairment, their adoption of an outsider's perspective, and feeling under constant</w:t>
      </w:r>
      <w:r w:rsidR="003715AD">
        <w:rPr>
          <w:rFonts w:eastAsia="MS Mincho"/>
          <w:lang w:eastAsia="da-DK"/>
        </w:rPr>
        <w:t xml:space="preserve"> </w:t>
      </w:r>
      <w:r w:rsidRPr="00F27B33">
        <w:rPr>
          <w:rFonts w:eastAsia="MS Mincho"/>
          <w:lang w:eastAsia="da-DK"/>
        </w:rPr>
        <w:t xml:space="preserve">scrutiny. </w:t>
      </w:r>
      <w:r w:rsidR="003715AD">
        <w:rPr>
          <w:rFonts w:eastAsia="MS Mincho"/>
          <w:lang w:eastAsia="da-DK"/>
        </w:rPr>
        <w:t>To this end, the paper</w:t>
      </w:r>
      <w:r w:rsidRPr="00F27B33">
        <w:rPr>
          <w:rFonts w:eastAsia="MS Mincho"/>
          <w:lang w:eastAsia="da-DK"/>
        </w:rPr>
        <w:t xml:space="preserve"> suggests that this felt impairment of tics can be reduced by creating</w:t>
      </w:r>
      <w:r w:rsidR="003715AD">
        <w:rPr>
          <w:rFonts w:eastAsia="MS Mincho"/>
          <w:lang w:eastAsia="da-DK"/>
        </w:rPr>
        <w:t xml:space="preserve"> </w:t>
      </w:r>
      <w:r w:rsidRPr="00F27B33">
        <w:rPr>
          <w:rFonts w:eastAsia="MS Mincho"/>
          <w:lang w:eastAsia="da-DK"/>
        </w:rPr>
        <w:t>a physical and social environment in which the person is ‘let be’ but not ‘let go of’.</w:t>
      </w:r>
    </w:p>
    <w:p w14:paraId="00DCBD4B" w14:textId="77777777" w:rsidR="00A96733" w:rsidRPr="008C69FC" w:rsidRDefault="00A96733" w:rsidP="00A96733">
      <w:pPr>
        <w:spacing w:line="360" w:lineRule="auto"/>
        <w:jc w:val="center"/>
        <w:rPr>
          <w:rFonts w:eastAsia="Times New Roman"/>
          <w:lang w:eastAsia="da-DK"/>
        </w:rPr>
      </w:pPr>
    </w:p>
    <w:p w14:paraId="2F56A902" w14:textId="43AC822E" w:rsidR="00A96733" w:rsidRDefault="00A96733" w:rsidP="00A96733">
      <w:pPr>
        <w:rPr>
          <w:rFonts w:eastAsia="Times New Roman"/>
          <w:b/>
          <w:color w:val="FF0000"/>
          <w:lang w:eastAsia="da-DK"/>
        </w:rPr>
      </w:pPr>
    </w:p>
    <w:p w14:paraId="4C0AF4F4" w14:textId="5B64111A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A1F5" w14:textId="77777777" w:rsidR="007B5FD5" w:rsidRDefault="007B5FD5">
      <w:r>
        <w:separator/>
      </w:r>
    </w:p>
  </w:endnote>
  <w:endnote w:type="continuationSeparator" w:id="0">
    <w:p w14:paraId="0F729D64" w14:textId="77777777" w:rsidR="007B5FD5" w:rsidRDefault="007B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ooter"/>
          <w:jc w:val="center"/>
        </w:pPr>
      </w:p>
      <w:p w14:paraId="18BFC470" w14:textId="696EDC7B" w:rsidR="00777248" w:rsidRDefault="0077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E668" w14:textId="77777777" w:rsidR="007B5FD5" w:rsidRDefault="007B5FD5">
      <w:r>
        <w:separator/>
      </w:r>
    </w:p>
  </w:footnote>
  <w:footnote w:type="continuationSeparator" w:id="0">
    <w:p w14:paraId="4C04BAEC" w14:textId="77777777" w:rsidR="007B5FD5" w:rsidRDefault="007B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5"/>
  </w:num>
  <w:num w:numId="2" w16cid:durableId="939293109">
    <w:abstractNumId w:val="28"/>
  </w:num>
  <w:num w:numId="3" w16cid:durableId="2092698652">
    <w:abstractNumId w:val="41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38"/>
  </w:num>
  <w:num w:numId="7" w16cid:durableId="568004825">
    <w:abstractNumId w:val="28"/>
    <w:lvlOverride w:ilvl="0">
      <w:startOverride w:val="2"/>
    </w:lvlOverride>
  </w:num>
  <w:num w:numId="8" w16cid:durableId="1240137770">
    <w:abstractNumId w:val="28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2"/>
  </w:num>
  <w:num w:numId="11" w16cid:durableId="1050805071">
    <w:abstractNumId w:val="14"/>
  </w:num>
  <w:num w:numId="12" w16cid:durableId="1174563521">
    <w:abstractNumId w:val="42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39"/>
  </w:num>
  <w:num w:numId="17" w16cid:durableId="211158348">
    <w:abstractNumId w:val="34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7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3"/>
  </w:num>
  <w:num w:numId="27" w16cid:durableId="1102068126">
    <w:abstractNumId w:val="44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6"/>
  </w:num>
  <w:num w:numId="34" w16cid:durableId="1569076509">
    <w:abstractNumId w:val="30"/>
  </w:num>
  <w:num w:numId="35" w16cid:durableId="35469345">
    <w:abstractNumId w:val="29"/>
  </w:num>
  <w:num w:numId="36" w16cid:durableId="1346663883">
    <w:abstractNumId w:val="40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5"/>
  </w:num>
  <w:num w:numId="43" w16cid:durableId="216400536">
    <w:abstractNumId w:val="6"/>
  </w:num>
  <w:num w:numId="44" w16cid:durableId="120074048">
    <w:abstractNumId w:val="33"/>
  </w:num>
  <w:num w:numId="45" w16cid:durableId="190149101">
    <w:abstractNumId w:val="31"/>
  </w:num>
  <w:num w:numId="46" w16cid:durableId="236330075">
    <w:abstractNumId w:val="27"/>
  </w:num>
  <w:num w:numId="47" w16cid:durableId="68230264">
    <w:abstractNumId w:val="12"/>
  </w:num>
  <w:num w:numId="48" w16cid:durableId="1376394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7634A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95402"/>
    <w:rsid w:val="002C25EC"/>
    <w:rsid w:val="002D35D9"/>
    <w:rsid w:val="002E0940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15AD"/>
    <w:rsid w:val="00373A8A"/>
    <w:rsid w:val="00373E38"/>
    <w:rsid w:val="003846A4"/>
    <w:rsid w:val="003F5BDB"/>
    <w:rsid w:val="003F6BD3"/>
    <w:rsid w:val="004031FD"/>
    <w:rsid w:val="00440E12"/>
    <w:rsid w:val="00446966"/>
    <w:rsid w:val="00446FDA"/>
    <w:rsid w:val="004A2B4B"/>
    <w:rsid w:val="004A547A"/>
    <w:rsid w:val="004D3915"/>
    <w:rsid w:val="004D5E2E"/>
    <w:rsid w:val="004D7687"/>
    <w:rsid w:val="004E4DA9"/>
    <w:rsid w:val="00540769"/>
    <w:rsid w:val="00540DAF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52D4"/>
    <w:rsid w:val="005C61BC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A50D2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51661"/>
    <w:rsid w:val="00863537"/>
    <w:rsid w:val="008641B5"/>
    <w:rsid w:val="00890048"/>
    <w:rsid w:val="008A4877"/>
    <w:rsid w:val="008A69C9"/>
    <w:rsid w:val="009027EE"/>
    <w:rsid w:val="00914391"/>
    <w:rsid w:val="00933C20"/>
    <w:rsid w:val="00937E61"/>
    <w:rsid w:val="0095168C"/>
    <w:rsid w:val="0096171B"/>
    <w:rsid w:val="00975667"/>
    <w:rsid w:val="00986E29"/>
    <w:rsid w:val="009A046B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1A9A"/>
    <w:rsid w:val="00A646B5"/>
    <w:rsid w:val="00A96733"/>
    <w:rsid w:val="00AB7A5C"/>
    <w:rsid w:val="00AD5BDE"/>
    <w:rsid w:val="00AF0F53"/>
    <w:rsid w:val="00B02D44"/>
    <w:rsid w:val="00B07846"/>
    <w:rsid w:val="00B25C12"/>
    <w:rsid w:val="00B26C2E"/>
    <w:rsid w:val="00B42A75"/>
    <w:rsid w:val="00B4745E"/>
    <w:rsid w:val="00B47910"/>
    <w:rsid w:val="00B47AB4"/>
    <w:rsid w:val="00B57AA5"/>
    <w:rsid w:val="00B66333"/>
    <w:rsid w:val="00B842E7"/>
    <w:rsid w:val="00BB21C2"/>
    <w:rsid w:val="00BF27F5"/>
    <w:rsid w:val="00C04600"/>
    <w:rsid w:val="00C1559C"/>
    <w:rsid w:val="00C3177D"/>
    <w:rsid w:val="00C67540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A465C"/>
    <w:rsid w:val="00DB31D4"/>
    <w:rsid w:val="00DB517D"/>
    <w:rsid w:val="00DC667B"/>
    <w:rsid w:val="00DD7704"/>
    <w:rsid w:val="00DE5000"/>
    <w:rsid w:val="00DF5871"/>
    <w:rsid w:val="00E03CAF"/>
    <w:rsid w:val="00E071DB"/>
    <w:rsid w:val="00E320DE"/>
    <w:rsid w:val="00E45778"/>
    <w:rsid w:val="00E63E02"/>
    <w:rsid w:val="00E813B4"/>
    <w:rsid w:val="00E8329C"/>
    <w:rsid w:val="00E87F5D"/>
    <w:rsid w:val="00E93B9B"/>
    <w:rsid w:val="00E9458D"/>
    <w:rsid w:val="00EA4B36"/>
    <w:rsid w:val="00EB2815"/>
    <w:rsid w:val="00ED1733"/>
    <w:rsid w:val="00EE6E1C"/>
    <w:rsid w:val="00EF40D5"/>
    <w:rsid w:val="00EF580A"/>
    <w:rsid w:val="00EF5875"/>
    <w:rsid w:val="00F0512D"/>
    <w:rsid w:val="00F213C2"/>
    <w:rsid w:val="00F22B98"/>
    <w:rsid w:val="00F27B33"/>
    <w:rsid w:val="00F443C0"/>
    <w:rsid w:val="00F46C02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1BAF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Diana Beljaars</cp:lastModifiedBy>
  <cp:revision>25</cp:revision>
  <cp:lastPrinted>2018-06-03T09:54:00Z</cp:lastPrinted>
  <dcterms:created xsi:type="dcterms:W3CDTF">2023-04-04T13:32:00Z</dcterms:created>
  <dcterms:modified xsi:type="dcterms:W3CDTF">2023-04-09T22:01:00Z</dcterms:modified>
</cp:coreProperties>
</file>