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8096C" w14:textId="77777777" w:rsidR="006C2187" w:rsidRPr="006C2187" w:rsidRDefault="006C2187" w:rsidP="006C2187">
      <w:pPr>
        <w:spacing w:line="360" w:lineRule="auto"/>
        <w:jc w:val="center"/>
        <w:rPr>
          <w:rFonts w:cstheme="minorHAnsi"/>
          <w:b/>
          <w:bCs/>
          <w:color w:val="000000" w:themeColor="text1"/>
          <w:sz w:val="27"/>
          <w:szCs w:val="27"/>
        </w:rPr>
      </w:pPr>
      <w:r w:rsidRPr="006C2187">
        <w:rPr>
          <w:rFonts w:cstheme="minorHAnsi"/>
          <w:b/>
          <w:bCs/>
          <w:color w:val="000000" w:themeColor="text1"/>
          <w:sz w:val="27"/>
          <w:szCs w:val="27"/>
        </w:rPr>
        <w:t xml:space="preserve">The Calgary and Paris Adult Tic Registry:  Project description and initial analyses of sex differences in tic phenomenology </w:t>
      </w:r>
    </w:p>
    <w:p w14:paraId="21D640D7" w14:textId="77777777" w:rsidR="006C2187" w:rsidRDefault="006C2187" w:rsidP="006C2187">
      <w:pPr>
        <w:spacing w:line="360" w:lineRule="auto"/>
        <w:jc w:val="center"/>
        <w:rPr>
          <w:rFonts w:cstheme="minorHAnsi"/>
          <w:color w:val="000000" w:themeColor="text1"/>
          <w:u w:val="single"/>
        </w:rPr>
      </w:pPr>
    </w:p>
    <w:p w14:paraId="4FDEA69D" w14:textId="547B8626" w:rsidR="006C2187" w:rsidRPr="00BF05D6" w:rsidRDefault="006C2187" w:rsidP="006C2187">
      <w:pPr>
        <w:spacing w:line="360" w:lineRule="auto"/>
        <w:jc w:val="center"/>
        <w:rPr>
          <w:rFonts w:cstheme="minorHAnsi"/>
          <w:color w:val="000000" w:themeColor="text1"/>
          <w:vertAlign w:val="superscript"/>
        </w:rPr>
      </w:pPr>
      <w:r w:rsidRPr="006C2187">
        <w:rPr>
          <w:rFonts w:cstheme="minorHAnsi"/>
          <w:color w:val="000000" w:themeColor="text1"/>
          <w:u w:val="single"/>
        </w:rPr>
        <w:t>Christelle Nilles,</w:t>
      </w:r>
      <w:r w:rsidRPr="00B022F4">
        <w:rPr>
          <w:rFonts w:cstheme="minorHAnsi"/>
          <w:color w:val="000000" w:themeColor="text1"/>
          <w:vertAlign w:val="superscript"/>
        </w:rPr>
        <w:t>1</w:t>
      </w:r>
      <w:r w:rsidRPr="00B022F4">
        <w:rPr>
          <w:rFonts w:cstheme="minorHAnsi"/>
          <w:color w:val="000000" w:themeColor="text1"/>
        </w:rPr>
        <w:t xml:space="preserve"> </w:t>
      </w:r>
      <w:proofErr w:type="spellStart"/>
      <w:r w:rsidRPr="00B022F4">
        <w:rPr>
          <w:rFonts w:cstheme="minorHAnsi"/>
          <w:color w:val="000000" w:themeColor="text1"/>
        </w:rPr>
        <w:t>Yulia</w:t>
      </w:r>
      <w:proofErr w:type="spellEnd"/>
      <w:r w:rsidRPr="00B022F4">
        <w:rPr>
          <w:rFonts w:cstheme="minorHAnsi"/>
          <w:color w:val="000000" w:themeColor="text1"/>
        </w:rPr>
        <w:t xml:space="preserve"> Worbe,</w:t>
      </w:r>
      <w:r w:rsidRPr="00B022F4">
        <w:rPr>
          <w:rFonts w:cstheme="minorHAnsi"/>
          <w:color w:val="000000" w:themeColor="text1"/>
          <w:vertAlign w:val="superscript"/>
        </w:rPr>
        <w:t>2,3,4</w:t>
      </w:r>
      <w:r w:rsidRPr="00B022F4">
        <w:rPr>
          <w:rFonts w:cstheme="minorHAnsi"/>
          <w:color w:val="000000" w:themeColor="text1"/>
        </w:rPr>
        <w:t xml:space="preserve"> Andreas Hartmann,</w:t>
      </w:r>
      <w:r w:rsidRPr="00B022F4">
        <w:rPr>
          <w:rFonts w:cstheme="minorHAnsi"/>
          <w:color w:val="000000" w:themeColor="text1"/>
          <w:vertAlign w:val="superscript"/>
        </w:rPr>
        <w:t>1,2</w:t>
      </w:r>
      <w:r w:rsidRPr="00B022F4">
        <w:rPr>
          <w:rFonts w:cstheme="minorHAnsi"/>
          <w:color w:val="000000" w:themeColor="text1"/>
        </w:rPr>
        <w:t xml:space="preserve"> Davide Martino,</w:t>
      </w:r>
      <w:r w:rsidRPr="00B022F4">
        <w:rPr>
          <w:rFonts w:cstheme="minorHAnsi"/>
          <w:color w:val="000000" w:themeColor="text1"/>
          <w:vertAlign w:val="superscript"/>
        </w:rPr>
        <w:t>5,6</w:t>
      </w:r>
      <w:r w:rsidRPr="00B022F4">
        <w:rPr>
          <w:rFonts w:cstheme="minorHAnsi"/>
          <w:color w:val="000000" w:themeColor="text1"/>
        </w:rPr>
        <w:t xml:space="preserve"> Julian Fletcher,</w:t>
      </w:r>
      <w:r w:rsidRPr="00B022F4">
        <w:rPr>
          <w:rFonts w:cstheme="minorHAnsi"/>
          <w:color w:val="000000" w:themeColor="text1"/>
          <w:vertAlign w:val="superscript"/>
        </w:rPr>
        <w:t>5</w:t>
      </w:r>
      <w:r w:rsidRPr="00B022F4">
        <w:rPr>
          <w:rFonts w:cstheme="minorHAnsi"/>
          <w:color w:val="000000" w:themeColor="text1"/>
        </w:rPr>
        <w:t xml:space="preserve"> </w:t>
      </w:r>
      <w:proofErr w:type="spellStart"/>
      <w:r w:rsidRPr="00B022F4">
        <w:rPr>
          <w:rFonts w:cstheme="minorHAnsi"/>
          <w:color w:val="000000" w:themeColor="text1"/>
        </w:rPr>
        <w:t>Naoual</w:t>
      </w:r>
      <w:proofErr w:type="spellEnd"/>
      <w:r w:rsidRPr="00B022F4">
        <w:rPr>
          <w:rFonts w:cstheme="minorHAnsi"/>
          <w:color w:val="000000" w:themeColor="text1"/>
        </w:rPr>
        <w:t xml:space="preserve"> Serrari,</w:t>
      </w:r>
      <w:r w:rsidRPr="00B022F4">
        <w:rPr>
          <w:rFonts w:cstheme="minorHAnsi"/>
          <w:color w:val="000000" w:themeColor="text1"/>
          <w:vertAlign w:val="superscript"/>
        </w:rPr>
        <w:t>1</w:t>
      </w:r>
      <w:r w:rsidRPr="00B022F4">
        <w:rPr>
          <w:rFonts w:cstheme="minorHAnsi"/>
          <w:color w:val="000000" w:themeColor="text1"/>
        </w:rPr>
        <w:t xml:space="preserve"> </w:t>
      </w:r>
      <w:r>
        <w:rPr>
          <w:rFonts w:cstheme="minorHAnsi"/>
          <w:color w:val="000000" w:themeColor="text1"/>
        </w:rPr>
        <w:t>Natalia Szejko,</w:t>
      </w:r>
      <w:r w:rsidRPr="00B022F4">
        <w:rPr>
          <w:rFonts w:cstheme="minorHAnsi"/>
          <w:color w:val="000000" w:themeColor="text1"/>
          <w:vertAlign w:val="superscript"/>
        </w:rPr>
        <w:t>5</w:t>
      </w:r>
      <w:r>
        <w:rPr>
          <w:rFonts w:cstheme="minorHAnsi"/>
          <w:color w:val="000000" w:themeColor="text1"/>
        </w:rPr>
        <w:t xml:space="preserve"> </w:t>
      </w:r>
      <w:r w:rsidRPr="00B022F4">
        <w:rPr>
          <w:rFonts w:eastAsia="Times New Roman" w:cstheme="minorHAnsi"/>
          <w:bCs/>
          <w:lang w:eastAsia="fr-FR"/>
        </w:rPr>
        <w:t>David Bendetowicz,</w:t>
      </w:r>
      <w:r w:rsidRPr="00B022F4">
        <w:rPr>
          <w:rFonts w:cstheme="minorHAnsi"/>
          <w:color w:val="000000" w:themeColor="text1"/>
          <w:vertAlign w:val="superscript"/>
        </w:rPr>
        <w:t>1</w:t>
      </w:r>
      <w:r w:rsidRPr="00B022F4">
        <w:rPr>
          <w:rFonts w:eastAsia="Times New Roman" w:cstheme="minorHAnsi"/>
          <w:b/>
          <w:lang w:eastAsia="fr-FR"/>
        </w:rPr>
        <w:t xml:space="preserve"> </w:t>
      </w:r>
      <w:r w:rsidRPr="00B022F4">
        <w:rPr>
          <w:rFonts w:cstheme="minorHAnsi"/>
          <w:color w:val="000000" w:themeColor="text1"/>
        </w:rPr>
        <w:t>Emmanuel Roze,</w:t>
      </w:r>
      <w:r w:rsidRPr="00B022F4">
        <w:rPr>
          <w:rFonts w:cstheme="minorHAnsi"/>
          <w:color w:val="000000" w:themeColor="text1"/>
          <w:vertAlign w:val="superscript"/>
        </w:rPr>
        <w:t>1,3</w:t>
      </w:r>
      <w:r w:rsidRPr="00B022F4">
        <w:rPr>
          <w:rFonts w:cstheme="minorHAnsi"/>
          <w:color w:val="000000" w:themeColor="text1"/>
        </w:rPr>
        <w:t xml:space="preserve"> Tamara Pringsheim</w:t>
      </w:r>
      <w:r w:rsidRPr="00B022F4">
        <w:rPr>
          <w:rFonts w:cstheme="minorHAnsi"/>
          <w:color w:val="000000" w:themeColor="text1"/>
          <w:vertAlign w:val="superscript"/>
        </w:rPr>
        <w:t>5</w:t>
      </w:r>
      <w:r>
        <w:rPr>
          <w:rFonts w:cstheme="minorHAnsi"/>
          <w:color w:val="000000" w:themeColor="text1"/>
          <w:vertAlign w:val="superscript"/>
        </w:rPr>
        <w:t>-</w:t>
      </w:r>
      <w:r w:rsidRPr="00B022F4">
        <w:rPr>
          <w:rFonts w:cstheme="minorHAnsi"/>
          <w:color w:val="000000" w:themeColor="text1"/>
          <w:vertAlign w:val="superscript"/>
        </w:rPr>
        <w:t>7</w:t>
      </w:r>
    </w:p>
    <w:p w14:paraId="251955EE" w14:textId="77777777" w:rsidR="006C2187" w:rsidRPr="006C2187" w:rsidRDefault="006C2187" w:rsidP="006C2187">
      <w:pPr>
        <w:spacing w:line="360" w:lineRule="auto"/>
        <w:jc w:val="center"/>
        <w:rPr>
          <w:rFonts w:cstheme="minorHAnsi"/>
          <w:vertAlign w:val="superscript"/>
        </w:rPr>
      </w:pPr>
    </w:p>
    <w:p w14:paraId="2BAAAE93" w14:textId="33823433" w:rsidR="006C2187" w:rsidRPr="006C2187" w:rsidRDefault="006C2187" w:rsidP="006C2187">
      <w:pPr>
        <w:spacing w:line="360" w:lineRule="auto"/>
        <w:jc w:val="center"/>
        <w:rPr>
          <w:rFonts w:cstheme="minorHAnsi"/>
          <w:lang w:val="fr-FR"/>
        </w:rPr>
      </w:pPr>
      <w:r w:rsidRPr="006C2187">
        <w:rPr>
          <w:rFonts w:cstheme="minorHAnsi"/>
          <w:vertAlign w:val="superscript"/>
          <w:lang w:val="fr-FR"/>
        </w:rPr>
        <w:t xml:space="preserve">1 </w:t>
      </w:r>
      <w:r w:rsidRPr="006C2187">
        <w:rPr>
          <w:rFonts w:cstheme="minorHAnsi"/>
          <w:lang w:val="fr-FR"/>
        </w:rPr>
        <w:t>Département de Neurologie, Hôpital de la Pitié-Salpêtrière, 75013, Paris, France</w:t>
      </w:r>
    </w:p>
    <w:p w14:paraId="4DF81990" w14:textId="77777777" w:rsidR="006C2187" w:rsidRPr="006C2187" w:rsidRDefault="006C2187" w:rsidP="006C2187">
      <w:pPr>
        <w:spacing w:line="360" w:lineRule="auto"/>
        <w:jc w:val="center"/>
        <w:rPr>
          <w:rFonts w:cstheme="minorHAnsi"/>
          <w:lang w:val="fr-FR"/>
        </w:rPr>
      </w:pPr>
      <w:r w:rsidRPr="006C2187">
        <w:rPr>
          <w:rFonts w:cstheme="minorHAnsi"/>
          <w:vertAlign w:val="superscript"/>
          <w:lang w:val="fr-FR"/>
        </w:rPr>
        <w:t xml:space="preserve">2 </w:t>
      </w:r>
      <w:r w:rsidRPr="006C2187">
        <w:rPr>
          <w:rFonts w:cstheme="minorHAnsi"/>
          <w:lang w:val="fr-FR"/>
        </w:rPr>
        <w:t>Centre de Référence Syndrome Gilles de la Tourette, Hôpital de la Pitié-Salpêtrière, Paris, France</w:t>
      </w:r>
    </w:p>
    <w:p w14:paraId="41F99330" w14:textId="77777777" w:rsidR="006C2187" w:rsidRPr="006C2187" w:rsidRDefault="006C2187" w:rsidP="006C2187">
      <w:pPr>
        <w:spacing w:line="360" w:lineRule="auto"/>
        <w:jc w:val="center"/>
        <w:rPr>
          <w:rFonts w:cstheme="minorHAnsi"/>
          <w:lang w:val="fr-FR"/>
        </w:rPr>
      </w:pPr>
      <w:r w:rsidRPr="006C2187">
        <w:rPr>
          <w:rFonts w:cstheme="minorHAnsi"/>
          <w:vertAlign w:val="superscript"/>
          <w:lang w:val="fr-FR"/>
        </w:rPr>
        <w:t xml:space="preserve">3 </w:t>
      </w:r>
      <w:r w:rsidRPr="006C2187">
        <w:rPr>
          <w:rFonts w:cstheme="minorHAnsi"/>
          <w:lang w:val="fr-FR"/>
        </w:rPr>
        <w:t>Faculté de Médecine, INSERM U 1127, CNRS UMR 7225, UM 75, ICM, Sorbonne Université, Paris 75013, France.</w:t>
      </w:r>
    </w:p>
    <w:p w14:paraId="1E90652B" w14:textId="77777777" w:rsidR="006C2187" w:rsidRPr="006C2187" w:rsidRDefault="006C2187" w:rsidP="006C2187">
      <w:pPr>
        <w:spacing w:line="360" w:lineRule="auto"/>
        <w:jc w:val="center"/>
        <w:rPr>
          <w:rFonts w:cstheme="minorHAnsi"/>
          <w:lang w:val="fr-FR"/>
        </w:rPr>
      </w:pPr>
      <w:r w:rsidRPr="006C2187">
        <w:rPr>
          <w:rFonts w:eastAsia="Times New Roman" w:cstheme="minorHAnsi"/>
          <w:bCs/>
          <w:vertAlign w:val="superscript"/>
          <w:lang w:val="fr-FR" w:eastAsia="fr-FR"/>
        </w:rPr>
        <w:t>4</w:t>
      </w:r>
      <w:r w:rsidRPr="006C2187">
        <w:rPr>
          <w:rFonts w:eastAsia="Times New Roman" w:cstheme="minorHAnsi"/>
          <w:b/>
          <w:vertAlign w:val="superscript"/>
          <w:lang w:val="fr-FR" w:eastAsia="fr-FR"/>
        </w:rPr>
        <w:t xml:space="preserve"> </w:t>
      </w:r>
      <w:r w:rsidRPr="006C2187">
        <w:rPr>
          <w:rFonts w:cstheme="minorHAnsi"/>
          <w:lang w:val="fr-FR"/>
        </w:rPr>
        <w:t>Département de Neurophysiologie, Hôpital Saint-Antoine, Sorbonne Université, Paris 75013, France.</w:t>
      </w:r>
    </w:p>
    <w:p w14:paraId="2485D619" w14:textId="77777777" w:rsidR="006C2187" w:rsidRPr="00B022F4" w:rsidRDefault="006C2187" w:rsidP="006C2187">
      <w:pPr>
        <w:spacing w:line="360" w:lineRule="auto"/>
        <w:contextualSpacing/>
        <w:jc w:val="center"/>
        <w:rPr>
          <w:rFonts w:cstheme="minorHAnsi"/>
          <w:highlight w:val="white"/>
        </w:rPr>
      </w:pPr>
      <w:r w:rsidRPr="00B022F4">
        <w:rPr>
          <w:rFonts w:cstheme="minorHAnsi"/>
          <w:vertAlign w:val="superscript"/>
        </w:rPr>
        <w:t>5</w:t>
      </w:r>
      <w:r w:rsidRPr="00B022F4">
        <w:rPr>
          <w:rFonts w:cstheme="minorHAnsi"/>
          <w:highlight w:val="white"/>
        </w:rPr>
        <w:t>Department of Clinical Neurosciences, Psychiatry, Pediatrics and Community Health Sciences, University of Calgary, Calgary, Alberta, Canada.</w:t>
      </w:r>
    </w:p>
    <w:p w14:paraId="3D734EC1" w14:textId="77777777" w:rsidR="006C2187" w:rsidRPr="00B022F4" w:rsidRDefault="006C2187" w:rsidP="006C2187">
      <w:pPr>
        <w:spacing w:line="360" w:lineRule="auto"/>
        <w:contextualSpacing/>
        <w:jc w:val="center"/>
        <w:rPr>
          <w:rFonts w:cstheme="minorHAnsi"/>
          <w:highlight w:val="white"/>
        </w:rPr>
      </w:pPr>
      <w:r w:rsidRPr="00B022F4">
        <w:rPr>
          <w:rFonts w:cstheme="minorHAnsi"/>
          <w:highlight w:val="white"/>
          <w:vertAlign w:val="superscript"/>
        </w:rPr>
        <w:t xml:space="preserve">6 </w:t>
      </w:r>
      <w:r w:rsidRPr="00B022F4">
        <w:rPr>
          <w:rFonts w:cstheme="minorHAnsi"/>
          <w:highlight w:val="white"/>
        </w:rPr>
        <w:t>Department of Clinical Neurosciences, University of Calgary, Calgary, Alberta, Canada</w:t>
      </w:r>
    </w:p>
    <w:p w14:paraId="0BA11B82" w14:textId="77777777" w:rsidR="006C2187" w:rsidRPr="00B022F4" w:rsidRDefault="006C2187" w:rsidP="006C2187">
      <w:pPr>
        <w:spacing w:line="360" w:lineRule="auto"/>
        <w:jc w:val="center"/>
        <w:rPr>
          <w:rFonts w:cstheme="minorHAnsi"/>
          <w:highlight w:val="white"/>
        </w:rPr>
      </w:pPr>
      <w:r w:rsidRPr="00B022F4">
        <w:rPr>
          <w:rFonts w:cstheme="minorHAnsi"/>
          <w:highlight w:val="white"/>
          <w:vertAlign w:val="superscript"/>
        </w:rPr>
        <w:t>7</w:t>
      </w:r>
      <w:r w:rsidRPr="00B022F4">
        <w:rPr>
          <w:rFonts w:cstheme="minorHAnsi"/>
          <w:highlight w:val="white"/>
        </w:rPr>
        <w:t xml:space="preserve"> Mathison Centre for Mental Health Research and Education, Calgary, AB, Canada</w:t>
      </w:r>
    </w:p>
    <w:p w14:paraId="4C0AF4F4" w14:textId="5B64111A" w:rsidR="006C39FE" w:rsidRDefault="006C39FE" w:rsidP="00A96733">
      <w:pPr>
        <w:rPr>
          <w:rFonts w:eastAsia="Times New Roman"/>
          <w:b/>
          <w:color w:val="FF0000"/>
          <w:lang w:eastAsia="da-DK"/>
        </w:rPr>
      </w:pPr>
    </w:p>
    <w:p w14:paraId="2E30C2EC" w14:textId="77777777" w:rsidR="003A1AC2" w:rsidRDefault="006C2187" w:rsidP="006C2187">
      <w:pPr>
        <w:jc w:val="both"/>
        <w:rPr>
          <w:rFonts w:cstheme="minorHAnsi"/>
          <w:color w:val="000000" w:themeColor="text1"/>
        </w:rPr>
      </w:pPr>
      <w:r w:rsidRPr="00FD4855">
        <w:rPr>
          <w:rFonts w:cstheme="minorHAnsi"/>
          <w:b/>
          <w:bCs/>
          <w:color w:val="000000" w:themeColor="text1"/>
        </w:rPr>
        <w:t>Background:</w:t>
      </w:r>
      <w:r>
        <w:rPr>
          <w:rFonts w:cstheme="minorHAnsi"/>
          <w:color w:val="000000" w:themeColor="text1"/>
        </w:rPr>
        <w:t xml:space="preserve"> </w:t>
      </w:r>
    </w:p>
    <w:p w14:paraId="24C69E8F" w14:textId="00BA9276" w:rsidR="006C2187" w:rsidRDefault="006C2187" w:rsidP="006C2187">
      <w:pPr>
        <w:jc w:val="both"/>
      </w:pPr>
      <w:r>
        <w:rPr>
          <w:rFonts w:cstheme="minorHAnsi"/>
          <w:color w:val="000000" w:themeColor="text1"/>
        </w:rPr>
        <w:t xml:space="preserve">In adulthood, </w:t>
      </w:r>
      <w:r w:rsidRPr="00FD4855">
        <w:t xml:space="preserve">tic disorders </w:t>
      </w:r>
      <w:r>
        <w:t>are</w:t>
      </w:r>
      <w:r w:rsidRPr="00FD4855">
        <w:t xml:space="preserve"> less common</w:t>
      </w:r>
      <w:r>
        <w:t xml:space="preserve"> than in childhood</w:t>
      </w:r>
      <w:r w:rsidRPr="00FD4855">
        <w:t xml:space="preserve">, and sex distribution </w:t>
      </w:r>
      <w:r>
        <w:t>may be</w:t>
      </w:r>
      <w:r w:rsidRPr="00FD4855">
        <w:t xml:space="preserve"> more even between males and females. </w:t>
      </w:r>
      <w:r w:rsidRPr="00B022F4">
        <w:rPr>
          <w:rFonts w:cstheme="minorHAnsi"/>
          <w:color w:val="000000" w:themeColor="text1"/>
        </w:rPr>
        <w:t>There is comparatively less research on tic disorders</w:t>
      </w:r>
      <w:r>
        <w:rPr>
          <w:rFonts w:cstheme="minorHAnsi"/>
          <w:color w:val="000000" w:themeColor="text1"/>
        </w:rPr>
        <w:t xml:space="preserve"> and Tourette syndrome (TS)</w:t>
      </w:r>
      <w:r w:rsidRPr="00B022F4">
        <w:rPr>
          <w:rFonts w:cstheme="minorHAnsi"/>
          <w:color w:val="000000" w:themeColor="text1"/>
        </w:rPr>
        <w:t xml:space="preserve"> focused on adults.</w:t>
      </w:r>
      <w:r w:rsidR="00551675">
        <w:rPr>
          <w:rFonts w:cstheme="minorHAnsi"/>
          <w:color w:val="000000" w:themeColor="text1"/>
        </w:rPr>
        <w:t xml:space="preserve"> </w:t>
      </w:r>
      <w:r w:rsidR="00551675">
        <w:rPr>
          <w:rFonts w:eastAsia="MS Mincho"/>
          <w:bCs/>
          <w:lang w:eastAsia="da-DK"/>
        </w:rPr>
        <w:t>In this study, w</w:t>
      </w:r>
      <w:r w:rsidR="00551675" w:rsidRPr="005F5EDC">
        <w:rPr>
          <w:rFonts w:eastAsia="MS Mincho"/>
          <w:bCs/>
          <w:lang w:eastAsia="da-DK"/>
        </w:rPr>
        <w:t>e sought</w:t>
      </w:r>
      <w:r w:rsidR="00551675">
        <w:rPr>
          <w:rFonts w:eastAsia="MS Mincho"/>
          <w:bCs/>
          <w:lang w:eastAsia="da-DK"/>
        </w:rPr>
        <w:t xml:space="preserve"> </w:t>
      </w:r>
      <w:r w:rsidR="00551675">
        <w:rPr>
          <w:rFonts w:cstheme="minorHAnsi"/>
          <w:color w:val="000000" w:themeColor="text1"/>
        </w:rPr>
        <w:t xml:space="preserve">1) </w:t>
      </w:r>
      <w:r w:rsidR="000000F2">
        <w:rPr>
          <w:rFonts w:cstheme="minorHAnsi"/>
          <w:color w:val="000000" w:themeColor="text1"/>
        </w:rPr>
        <w:t>T</w:t>
      </w:r>
      <w:r w:rsidR="00551675">
        <w:rPr>
          <w:rFonts w:cstheme="minorHAnsi"/>
          <w:color w:val="000000" w:themeColor="text1"/>
        </w:rPr>
        <w:t>o p</w:t>
      </w:r>
      <w:r w:rsidR="00551675" w:rsidRPr="00B022F4">
        <w:rPr>
          <w:rFonts w:cstheme="minorHAnsi"/>
          <w:color w:val="000000" w:themeColor="text1"/>
        </w:rPr>
        <w:t xml:space="preserve">resent the </w:t>
      </w:r>
      <w:r w:rsidR="00551675">
        <w:rPr>
          <w:rFonts w:cstheme="minorHAnsi"/>
          <w:color w:val="000000" w:themeColor="text1"/>
        </w:rPr>
        <w:t xml:space="preserve">objectives, design and </w:t>
      </w:r>
      <w:r w:rsidR="00551675" w:rsidRPr="00B022F4">
        <w:rPr>
          <w:rFonts w:cstheme="minorHAnsi"/>
          <w:color w:val="000000" w:themeColor="text1"/>
        </w:rPr>
        <w:t xml:space="preserve">methodology of </w:t>
      </w:r>
      <w:r w:rsidR="000000F2">
        <w:rPr>
          <w:highlight w:val="white"/>
        </w:rPr>
        <w:t xml:space="preserve">the </w:t>
      </w:r>
      <w:r w:rsidR="000000F2" w:rsidRPr="00B022F4">
        <w:rPr>
          <w:rFonts w:cstheme="minorHAnsi"/>
          <w:color w:val="000000" w:themeColor="text1"/>
        </w:rPr>
        <w:t>C</w:t>
      </w:r>
      <w:r w:rsidR="000000F2">
        <w:rPr>
          <w:rFonts w:cstheme="minorHAnsi"/>
          <w:color w:val="000000" w:themeColor="text1"/>
        </w:rPr>
        <w:t>algary and Paris Adult Tic</w:t>
      </w:r>
      <w:r w:rsidR="000000F2" w:rsidRPr="00B022F4">
        <w:rPr>
          <w:rFonts w:cstheme="minorHAnsi"/>
          <w:color w:val="000000" w:themeColor="text1"/>
        </w:rPr>
        <w:t xml:space="preserve"> Registry </w:t>
      </w:r>
      <w:r w:rsidR="000000F2">
        <w:rPr>
          <w:rFonts w:cstheme="minorHAnsi"/>
          <w:color w:val="000000" w:themeColor="text1"/>
        </w:rPr>
        <w:t>(CAP Registry)</w:t>
      </w:r>
      <w:r w:rsidR="00551675">
        <w:rPr>
          <w:rFonts w:cstheme="minorHAnsi"/>
          <w:color w:val="000000" w:themeColor="text1"/>
        </w:rPr>
        <w:t>;</w:t>
      </w:r>
      <w:r w:rsidR="00551675" w:rsidRPr="00B022F4">
        <w:rPr>
          <w:rFonts w:cstheme="minorHAnsi"/>
          <w:color w:val="000000" w:themeColor="text1"/>
        </w:rPr>
        <w:t xml:space="preserve"> </w:t>
      </w:r>
      <w:r w:rsidR="00551675">
        <w:rPr>
          <w:rFonts w:cstheme="minorHAnsi"/>
          <w:color w:val="000000" w:themeColor="text1"/>
        </w:rPr>
        <w:t xml:space="preserve">2) To assess tic frequency and tic phenomenology in adults with TS </w:t>
      </w:r>
      <w:r w:rsidR="00551675" w:rsidRPr="00E50159">
        <w:rPr>
          <w:highlight w:val="white"/>
        </w:rPr>
        <w:t xml:space="preserve">and </w:t>
      </w:r>
      <w:r w:rsidR="00551675">
        <w:rPr>
          <w:highlight w:val="white"/>
        </w:rPr>
        <w:t xml:space="preserve">3) To </w:t>
      </w:r>
      <w:r w:rsidR="00551675" w:rsidRPr="00E50159">
        <w:rPr>
          <w:highlight w:val="white"/>
        </w:rPr>
        <w:t xml:space="preserve">investigate how </w:t>
      </w:r>
      <w:r w:rsidR="00551675">
        <w:rPr>
          <w:highlight w:val="white"/>
        </w:rPr>
        <w:t xml:space="preserve">sex </w:t>
      </w:r>
      <w:r w:rsidR="00551675" w:rsidRPr="00E50159">
        <w:rPr>
          <w:highlight w:val="white"/>
        </w:rPr>
        <w:t>influence</w:t>
      </w:r>
      <w:r w:rsidR="00551675">
        <w:rPr>
          <w:highlight w:val="white"/>
        </w:rPr>
        <w:t>s</w:t>
      </w:r>
      <w:r w:rsidR="00551675" w:rsidRPr="00E50159">
        <w:rPr>
          <w:highlight w:val="white"/>
        </w:rPr>
        <w:t xml:space="preserve"> tic phenomenology</w:t>
      </w:r>
      <w:r w:rsidR="00551675">
        <w:rPr>
          <w:highlight w:val="white"/>
        </w:rPr>
        <w:t xml:space="preserve"> and comorbidity profile in this population</w:t>
      </w:r>
      <w:r w:rsidR="00551675" w:rsidRPr="00E50159">
        <w:rPr>
          <w:highlight w:val="white"/>
        </w:rPr>
        <w:t>.</w:t>
      </w:r>
    </w:p>
    <w:p w14:paraId="669DC3DA" w14:textId="77777777" w:rsidR="003A1AC2" w:rsidRDefault="006C2187" w:rsidP="006C2187">
      <w:pPr>
        <w:contextualSpacing/>
        <w:jc w:val="both"/>
        <w:rPr>
          <w:rFonts w:cstheme="minorHAnsi"/>
          <w:color w:val="000000" w:themeColor="text1"/>
        </w:rPr>
      </w:pPr>
      <w:r w:rsidRPr="005944D5">
        <w:rPr>
          <w:rFonts w:cstheme="minorHAnsi"/>
          <w:b/>
          <w:bCs/>
          <w:color w:val="000000" w:themeColor="text1"/>
        </w:rPr>
        <w:t>Methods:</w:t>
      </w:r>
      <w:r w:rsidRPr="005944D5">
        <w:rPr>
          <w:rFonts w:cstheme="minorHAnsi"/>
          <w:color w:val="000000" w:themeColor="text1"/>
        </w:rPr>
        <w:t xml:space="preserve"> </w:t>
      </w:r>
    </w:p>
    <w:p w14:paraId="6E14FA57" w14:textId="380A05B8" w:rsidR="006C2187" w:rsidRPr="00EF329F" w:rsidRDefault="006C2187" w:rsidP="006C2187">
      <w:pPr>
        <w:contextualSpacing/>
        <w:jc w:val="both"/>
        <w:rPr>
          <w:highlight w:val="white"/>
        </w:rPr>
      </w:pPr>
      <w:r w:rsidRPr="005944D5">
        <w:rPr>
          <w:highlight w:val="white"/>
        </w:rPr>
        <w:t xml:space="preserve">Adults with </w:t>
      </w:r>
      <w:r>
        <w:rPr>
          <w:highlight w:val="white"/>
        </w:rPr>
        <w:t xml:space="preserve">primary </w:t>
      </w:r>
      <w:r w:rsidRPr="005944D5">
        <w:rPr>
          <w:highlight w:val="white"/>
        </w:rPr>
        <w:t xml:space="preserve">tic disorders have been prospectively included in </w:t>
      </w:r>
      <w:r>
        <w:rPr>
          <w:highlight w:val="white"/>
        </w:rPr>
        <w:t xml:space="preserve">the </w:t>
      </w:r>
      <w:r w:rsidR="00EF329F">
        <w:rPr>
          <w:rFonts w:cstheme="minorHAnsi"/>
          <w:color w:val="000000" w:themeColor="text1"/>
        </w:rPr>
        <w:t>CAP Registry</w:t>
      </w:r>
      <w:r w:rsidR="00EF329F">
        <w:rPr>
          <w:rFonts w:cstheme="minorHAnsi"/>
          <w:color w:val="000000" w:themeColor="text1"/>
        </w:rPr>
        <w:t xml:space="preserve"> </w:t>
      </w:r>
      <w:r>
        <w:rPr>
          <w:highlight w:val="white"/>
        </w:rPr>
        <w:t>in Calgary (</w:t>
      </w:r>
      <w:r w:rsidRPr="005944D5">
        <w:rPr>
          <w:highlight w:val="white"/>
        </w:rPr>
        <w:t>Canada</w:t>
      </w:r>
      <w:r>
        <w:rPr>
          <w:highlight w:val="white"/>
        </w:rPr>
        <w:t>)</w:t>
      </w:r>
      <w:r w:rsidRPr="005944D5">
        <w:rPr>
          <w:highlight w:val="white"/>
        </w:rPr>
        <w:t xml:space="preserve"> and in Paris</w:t>
      </w:r>
      <w:r>
        <w:rPr>
          <w:highlight w:val="white"/>
        </w:rPr>
        <w:t xml:space="preserve"> (</w:t>
      </w:r>
      <w:r w:rsidRPr="005944D5">
        <w:rPr>
          <w:highlight w:val="white"/>
        </w:rPr>
        <w:t>France</w:t>
      </w:r>
      <w:r>
        <w:rPr>
          <w:highlight w:val="white"/>
        </w:rPr>
        <w:t xml:space="preserve">). </w:t>
      </w:r>
      <w:r w:rsidRPr="00B4759A">
        <w:t xml:space="preserve">Participants are assessed during three visits over a one-year period (initially, at 6 months, </w:t>
      </w:r>
      <w:r>
        <w:t xml:space="preserve">and </w:t>
      </w:r>
      <w:r w:rsidRPr="00B4759A">
        <w:t>at 12 months</w:t>
      </w:r>
      <w:r>
        <w:t>)</w:t>
      </w:r>
      <w:r>
        <w:rPr>
          <w:highlight w:val="white"/>
        </w:rPr>
        <w:t>.</w:t>
      </w:r>
      <w:r w:rsidRPr="005944D5">
        <w:rPr>
          <w:highlight w:val="white"/>
        </w:rPr>
        <w:t xml:space="preserve"> This registry aims to</w:t>
      </w:r>
      <w:r>
        <w:rPr>
          <w:highlight w:val="white"/>
        </w:rPr>
        <w:t xml:space="preserve"> create a database of adults with tic disorders to meet various research objectives, including</w:t>
      </w:r>
      <w:r w:rsidRPr="005944D5">
        <w:rPr>
          <w:highlight w:val="white"/>
        </w:rPr>
        <w:t xml:space="preserve"> </w:t>
      </w:r>
      <w:r w:rsidRPr="002772C6">
        <w:rPr>
          <w:rFonts w:cstheme="minorHAnsi"/>
          <w:color w:val="000000" w:themeColor="text1"/>
        </w:rPr>
        <w:t>describ</w:t>
      </w:r>
      <w:r>
        <w:rPr>
          <w:rFonts w:cstheme="minorHAnsi"/>
          <w:color w:val="000000" w:themeColor="text1"/>
        </w:rPr>
        <w:t>ing</w:t>
      </w:r>
      <w:r w:rsidRPr="002772C6">
        <w:rPr>
          <w:rFonts w:cstheme="minorHAnsi"/>
          <w:color w:val="000000" w:themeColor="text1"/>
        </w:rPr>
        <w:t xml:space="preserve"> t</w:t>
      </w:r>
      <w:r>
        <w:rPr>
          <w:rFonts w:cstheme="minorHAnsi"/>
          <w:color w:val="000000" w:themeColor="text1"/>
        </w:rPr>
        <w:t>ic</w:t>
      </w:r>
      <w:r w:rsidRPr="002772C6">
        <w:rPr>
          <w:rFonts w:cstheme="minorHAnsi"/>
          <w:color w:val="000000" w:themeColor="text1"/>
        </w:rPr>
        <w:t xml:space="preserve"> phenomenology in adults and </w:t>
      </w:r>
      <w:r>
        <w:t>characterizing</w:t>
      </w:r>
      <w:r w:rsidRPr="005944D5">
        <w:rPr>
          <w:rFonts w:cstheme="minorHAnsi"/>
          <w:color w:val="000000" w:themeColor="text1"/>
        </w:rPr>
        <w:t xml:space="preserve"> the relationship between tic severity and tic-related impairment in women compared to me</w:t>
      </w:r>
      <w:r>
        <w:rPr>
          <w:rFonts w:cstheme="minorHAnsi"/>
          <w:color w:val="000000" w:themeColor="text1"/>
        </w:rPr>
        <w:t>n, evaluating</w:t>
      </w:r>
      <w:r w:rsidRPr="005944D5">
        <w:rPr>
          <w:rFonts w:cstheme="minorHAnsi"/>
          <w:color w:val="000000" w:themeColor="text1"/>
        </w:rPr>
        <w:t xml:space="preserve"> the change in tic </w:t>
      </w:r>
      <w:r>
        <w:rPr>
          <w:rFonts w:cstheme="minorHAnsi"/>
          <w:color w:val="000000" w:themeColor="text1"/>
        </w:rPr>
        <w:t>phenomenology</w:t>
      </w:r>
      <w:r w:rsidRPr="005944D5">
        <w:rPr>
          <w:rFonts w:cstheme="minorHAnsi"/>
          <w:color w:val="000000" w:themeColor="text1"/>
        </w:rPr>
        <w:t xml:space="preserve"> over </w:t>
      </w:r>
      <w:r>
        <w:rPr>
          <w:rFonts w:cstheme="minorHAnsi"/>
          <w:color w:val="000000" w:themeColor="text1"/>
        </w:rPr>
        <w:t>time</w:t>
      </w:r>
      <w:r w:rsidRPr="005944D5">
        <w:rPr>
          <w:rFonts w:cstheme="minorHAnsi"/>
          <w:color w:val="000000" w:themeColor="text1"/>
        </w:rPr>
        <w:t>,</w:t>
      </w:r>
      <w:r>
        <w:rPr>
          <w:rFonts w:cstheme="minorHAnsi"/>
          <w:color w:val="000000" w:themeColor="text1"/>
        </w:rPr>
        <w:t xml:space="preserve"> and</w:t>
      </w:r>
      <w:r w:rsidRPr="005944D5">
        <w:rPr>
          <w:rFonts w:cstheme="minorHAnsi"/>
          <w:color w:val="000000" w:themeColor="text1"/>
        </w:rPr>
        <w:t xml:space="preserve"> </w:t>
      </w:r>
      <w:r>
        <w:rPr>
          <w:rFonts w:cstheme="minorHAnsi"/>
          <w:color w:val="000000" w:themeColor="text1"/>
        </w:rPr>
        <w:t>standardizing</w:t>
      </w:r>
      <w:r w:rsidRPr="005944D5">
        <w:rPr>
          <w:rFonts w:cstheme="minorHAnsi"/>
          <w:color w:val="000000" w:themeColor="text1"/>
        </w:rPr>
        <w:t xml:space="preserve"> screening methods for </w:t>
      </w:r>
      <w:r>
        <w:rPr>
          <w:rFonts w:cstheme="minorHAnsi"/>
          <w:color w:val="000000" w:themeColor="text1"/>
        </w:rPr>
        <w:t xml:space="preserve">mental health </w:t>
      </w:r>
      <w:r w:rsidRPr="005944D5">
        <w:rPr>
          <w:rFonts w:cstheme="minorHAnsi"/>
          <w:color w:val="000000" w:themeColor="text1"/>
        </w:rPr>
        <w:t>comorbid</w:t>
      </w:r>
      <w:r>
        <w:rPr>
          <w:rFonts w:cstheme="minorHAnsi"/>
          <w:color w:val="000000" w:themeColor="text1"/>
        </w:rPr>
        <w:t>ities in this population.</w:t>
      </w:r>
      <w:r>
        <w:t xml:space="preserve"> </w:t>
      </w:r>
      <w:r>
        <w:rPr>
          <w:highlight w:val="white"/>
        </w:rPr>
        <w:t>This analysis describes data from participants from their first clinical visit</w:t>
      </w:r>
      <w:r w:rsidRPr="005944D5">
        <w:rPr>
          <w:highlight w:val="white"/>
        </w:rPr>
        <w:t xml:space="preserve">, </w:t>
      </w:r>
      <w:r>
        <w:rPr>
          <w:highlight w:val="white"/>
        </w:rPr>
        <w:t xml:space="preserve">which took place between January </w:t>
      </w:r>
      <w:r w:rsidRPr="005944D5">
        <w:rPr>
          <w:highlight w:val="white"/>
        </w:rPr>
        <w:t>2021</w:t>
      </w:r>
      <w:r>
        <w:rPr>
          <w:highlight w:val="white"/>
        </w:rPr>
        <w:t xml:space="preserve"> to February 2023</w:t>
      </w:r>
      <w:r w:rsidRPr="005944D5">
        <w:rPr>
          <w:highlight w:val="white"/>
        </w:rPr>
        <w:t>.</w:t>
      </w:r>
      <w:r>
        <w:rPr>
          <w:highlight w:val="white"/>
        </w:rPr>
        <w:t xml:space="preserve"> </w:t>
      </w:r>
      <w:r>
        <w:t>W</w:t>
      </w:r>
      <w:r w:rsidRPr="00E50159">
        <w:rPr>
          <w:highlight w:val="white"/>
        </w:rPr>
        <w:t xml:space="preserve">e </w:t>
      </w:r>
      <w:r>
        <w:rPr>
          <w:highlight w:val="white"/>
        </w:rPr>
        <w:t>described</w:t>
      </w:r>
      <w:r w:rsidRPr="00E50159">
        <w:rPr>
          <w:highlight w:val="white"/>
        </w:rPr>
        <w:t xml:space="preserve"> tic frequency and </w:t>
      </w:r>
      <w:r>
        <w:rPr>
          <w:highlight w:val="white"/>
        </w:rPr>
        <w:t>phenomenology</w:t>
      </w:r>
      <w:r w:rsidRPr="00E50159">
        <w:rPr>
          <w:highlight w:val="white"/>
        </w:rPr>
        <w:t xml:space="preserve"> </w:t>
      </w:r>
      <w:r>
        <w:rPr>
          <w:highlight w:val="white"/>
        </w:rPr>
        <w:t xml:space="preserve">in </w:t>
      </w:r>
      <w:r>
        <w:rPr>
          <w:rFonts w:cstheme="minorHAnsi"/>
          <w:color w:val="000000" w:themeColor="text1"/>
        </w:rPr>
        <w:t>French and Canadian participants</w:t>
      </w:r>
      <w:r>
        <w:rPr>
          <w:highlight w:val="white"/>
        </w:rPr>
        <w:t xml:space="preserve">, </w:t>
      </w:r>
      <w:r w:rsidRPr="00E50159">
        <w:rPr>
          <w:highlight w:val="white"/>
        </w:rPr>
        <w:t>using the Yale Global Tic Severity Scale</w:t>
      </w:r>
      <w:r>
        <w:t xml:space="preserve">. We </w:t>
      </w:r>
      <w:r w:rsidRPr="00B022F4">
        <w:rPr>
          <w:rFonts w:cstheme="minorHAnsi"/>
        </w:rPr>
        <w:t xml:space="preserve">searched for differences </w:t>
      </w:r>
      <w:r w:rsidRPr="00B022F4">
        <w:rPr>
          <w:rFonts w:cstheme="minorHAnsi"/>
        </w:rPr>
        <w:lastRenderedPageBreak/>
        <w:t>between sexes</w:t>
      </w:r>
      <w:r>
        <w:rPr>
          <w:rFonts w:cstheme="minorHAnsi"/>
        </w:rPr>
        <w:t xml:space="preserve"> in tic</w:t>
      </w:r>
      <w:r w:rsidRPr="00B022F4">
        <w:rPr>
          <w:rFonts w:cstheme="minorHAnsi"/>
        </w:rPr>
        <w:t xml:space="preserve"> phenomenology,</w:t>
      </w:r>
      <w:r>
        <w:rPr>
          <w:rFonts w:cstheme="minorHAnsi"/>
        </w:rPr>
        <w:t xml:space="preserve"> tic</w:t>
      </w:r>
      <w:r w:rsidRPr="00B022F4">
        <w:rPr>
          <w:rFonts w:cstheme="minorHAnsi"/>
        </w:rPr>
        <w:t xml:space="preserve"> severity, tic-related impairment </w:t>
      </w:r>
      <w:r>
        <w:rPr>
          <w:rFonts w:cstheme="minorHAnsi"/>
        </w:rPr>
        <w:t>and in mental health comorbidities, using t-tests and logistic regressions</w:t>
      </w:r>
      <w:r w:rsidRPr="00B022F4">
        <w:rPr>
          <w:rFonts w:cstheme="minorHAnsi"/>
        </w:rPr>
        <w:t xml:space="preserve">. </w:t>
      </w:r>
    </w:p>
    <w:p w14:paraId="460201BB" w14:textId="77777777" w:rsidR="003A1AC2" w:rsidRDefault="006C2187" w:rsidP="006C2187">
      <w:pPr>
        <w:contextualSpacing/>
        <w:jc w:val="both"/>
        <w:rPr>
          <w:rFonts w:cstheme="minorHAnsi"/>
          <w:color w:val="000000" w:themeColor="text1"/>
        </w:rPr>
      </w:pPr>
      <w:r w:rsidRPr="00282919">
        <w:rPr>
          <w:rFonts w:cstheme="minorHAnsi"/>
          <w:b/>
          <w:bCs/>
          <w:color w:val="000000" w:themeColor="text1"/>
        </w:rPr>
        <w:t>Results:</w:t>
      </w:r>
      <w:r>
        <w:rPr>
          <w:rFonts w:cstheme="minorHAnsi"/>
          <w:color w:val="000000" w:themeColor="text1"/>
        </w:rPr>
        <w:t xml:space="preserve"> </w:t>
      </w:r>
    </w:p>
    <w:p w14:paraId="35D4E04E" w14:textId="4D6F6852" w:rsidR="006C2187" w:rsidRPr="00620DF0" w:rsidRDefault="006C2187" w:rsidP="006C2187">
      <w:pPr>
        <w:contextualSpacing/>
        <w:jc w:val="both"/>
      </w:pPr>
      <w:r w:rsidRPr="00E50159">
        <w:rPr>
          <w:highlight w:val="white"/>
        </w:rPr>
        <w:t xml:space="preserve">A total of </w:t>
      </w:r>
      <w:r>
        <w:rPr>
          <w:highlight w:val="white"/>
        </w:rPr>
        <w:t>164 adults</w:t>
      </w:r>
      <w:r w:rsidRPr="00E50159">
        <w:rPr>
          <w:highlight w:val="white"/>
        </w:rPr>
        <w:t xml:space="preserve"> with tic disorders were included (</w:t>
      </w:r>
      <w:r>
        <w:rPr>
          <w:highlight w:val="white"/>
        </w:rPr>
        <w:t>sex ratio 1.9 males:1 female</w:t>
      </w:r>
      <w:r w:rsidRPr="00E50159">
        <w:rPr>
          <w:highlight w:val="white"/>
        </w:rPr>
        <w:t>; mean age</w:t>
      </w:r>
      <w:r>
        <w:rPr>
          <w:highlight w:val="white"/>
        </w:rPr>
        <w:t>:</w:t>
      </w:r>
      <w:r w:rsidRPr="00E50159">
        <w:rPr>
          <w:highlight w:val="white"/>
        </w:rPr>
        <w:t xml:space="preserve"> </w:t>
      </w:r>
      <w:r>
        <w:rPr>
          <w:highlight w:val="white"/>
        </w:rPr>
        <w:t>32.9</w:t>
      </w:r>
      <w:r w:rsidRPr="00E50159">
        <w:rPr>
          <w:highlight w:val="white"/>
        </w:rPr>
        <w:t xml:space="preserve"> years</w:t>
      </w:r>
      <w:r>
        <w:rPr>
          <w:highlight w:val="white"/>
        </w:rPr>
        <w:t xml:space="preserve"> in French participants, </w:t>
      </w:r>
      <w:r w:rsidRPr="00937512">
        <w:t>31.7</w:t>
      </w:r>
      <w:r>
        <w:t xml:space="preserve"> years in Canadian participants</w:t>
      </w:r>
      <w:r w:rsidRPr="00E50159">
        <w:rPr>
          <w:highlight w:val="white"/>
        </w:rPr>
        <w:t>)</w:t>
      </w:r>
      <w:r>
        <w:rPr>
          <w:highlight w:val="white"/>
        </w:rPr>
        <w:t>, of which 88% had TS</w:t>
      </w:r>
      <w:r w:rsidRPr="00E50159">
        <w:rPr>
          <w:highlight w:val="white"/>
        </w:rPr>
        <w:t>.</w:t>
      </w:r>
      <w:r w:rsidRPr="00E50159">
        <w:t xml:space="preserve"> At first assessment, </w:t>
      </w:r>
      <w:r>
        <w:t>simple tics were the most frequent reported tics, among which eye blinking (56%), eye movements (51%), nose movements (32%), and throat clearing (35%) were most common. The most common complex motor tics were complex eye movements (19%)</w:t>
      </w:r>
      <w:r w:rsidRPr="00E50159">
        <w:t xml:space="preserve">. </w:t>
      </w:r>
      <w:r>
        <w:t>Coprolalia</w:t>
      </w:r>
      <w:r w:rsidRPr="00E50159">
        <w:t xml:space="preserve"> was found in only </w:t>
      </w:r>
      <w:r>
        <w:t>9</w:t>
      </w:r>
      <w:r w:rsidRPr="00E50159">
        <w:t xml:space="preserve">% of participants. </w:t>
      </w:r>
      <w:r>
        <w:t>In the Canadian subgroup, women had more complex motor tics</w:t>
      </w:r>
      <w:r w:rsidRPr="004950A2">
        <w:t xml:space="preserve">, </w:t>
      </w:r>
      <w:r>
        <w:t xml:space="preserve">and greater tic-related impairment than men. </w:t>
      </w:r>
      <w:r>
        <w:rPr>
          <w:rFonts w:cstheme="minorHAnsi"/>
          <w:color w:val="000000" w:themeColor="text1"/>
        </w:rPr>
        <w:t>The most common associated comorbidities were anxiety (51%) and mood disorders (36%), with a female predominance of anxiety and obsessive-compulsive disorders.</w:t>
      </w:r>
    </w:p>
    <w:p w14:paraId="0598533E" w14:textId="77777777" w:rsidR="003A1AC2" w:rsidRDefault="003A1AC2" w:rsidP="006C2187">
      <w:pPr>
        <w:jc w:val="both"/>
        <w:rPr>
          <w:rFonts w:cstheme="minorHAnsi"/>
          <w:color w:val="000000" w:themeColor="text1"/>
        </w:rPr>
      </w:pPr>
      <w:r>
        <w:rPr>
          <w:rFonts w:cstheme="minorHAnsi"/>
          <w:b/>
          <w:bCs/>
          <w:color w:val="000000" w:themeColor="text1"/>
        </w:rPr>
        <w:t>Conclusions</w:t>
      </w:r>
      <w:r w:rsidR="006C2187" w:rsidRPr="00B022F4">
        <w:rPr>
          <w:rFonts w:cstheme="minorHAnsi"/>
          <w:color w:val="000000" w:themeColor="text1"/>
        </w:rPr>
        <w:t>:</w:t>
      </w:r>
      <w:r w:rsidR="006C2187">
        <w:rPr>
          <w:rFonts w:cstheme="minorHAnsi"/>
          <w:color w:val="000000" w:themeColor="text1"/>
        </w:rPr>
        <w:t xml:space="preserve"> </w:t>
      </w:r>
    </w:p>
    <w:p w14:paraId="42ADDE30" w14:textId="2D149992" w:rsidR="006C2187" w:rsidRDefault="006C2187" w:rsidP="006C2187">
      <w:pPr>
        <w:jc w:val="both"/>
        <w:rPr>
          <w:rFonts w:cstheme="minorHAnsi"/>
          <w:color w:val="000000" w:themeColor="text1"/>
        </w:rPr>
      </w:pPr>
      <w:r>
        <w:rPr>
          <w:rFonts w:cstheme="minorHAnsi"/>
          <w:color w:val="000000" w:themeColor="text1"/>
        </w:rPr>
        <w:t xml:space="preserve">Our study suggests that </w:t>
      </w:r>
      <w:r>
        <w:t xml:space="preserve">simple head/face tics and throat clearing are the most common tics in adults. </w:t>
      </w:r>
      <w:r w:rsidRPr="002C00BC">
        <w:rPr>
          <w:rFonts w:cstheme="minorHAnsi"/>
          <w:color w:val="000000" w:themeColor="text1"/>
        </w:rPr>
        <w:t>The distribution of simple motor tics and phonic tics appears to be similar in adults to existing data in children</w:t>
      </w:r>
      <w:r>
        <w:rPr>
          <w:rFonts w:cstheme="minorHAnsi"/>
          <w:color w:val="000000" w:themeColor="text1"/>
        </w:rPr>
        <w:t>, except for a few complex tics (</w:t>
      </w:r>
      <w:proofErr w:type="gramStart"/>
      <w:r>
        <w:rPr>
          <w:rFonts w:cstheme="minorHAnsi"/>
          <w:color w:val="000000" w:themeColor="text1"/>
        </w:rPr>
        <w:t>e.g.</w:t>
      </w:r>
      <w:proofErr w:type="gramEnd"/>
      <w:r>
        <w:rPr>
          <w:rFonts w:cstheme="minorHAnsi"/>
          <w:color w:val="000000" w:themeColor="text1"/>
        </w:rPr>
        <w:t xml:space="preserve"> tic-related compulsions seem less frequent in adults than in children). A more even sex ratio in the adult population than in the pediatric population suggests either that TS tends to persist longer in females for reasons to be determined, or that women </w:t>
      </w:r>
      <w:r w:rsidRPr="00D20056">
        <w:rPr>
          <w:rFonts w:cstheme="minorHAnsi"/>
          <w:color w:val="000000" w:themeColor="text1"/>
        </w:rPr>
        <w:t>consult more often than males because of greater tic-related impairment.</w:t>
      </w:r>
      <w:r>
        <w:rPr>
          <w:rFonts w:cstheme="minorHAnsi"/>
          <w:color w:val="000000" w:themeColor="text1"/>
        </w:rPr>
        <w:t xml:space="preserve"> </w:t>
      </w:r>
      <w:r w:rsidR="00A14BEA" w:rsidRPr="0005237E">
        <w:rPr>
          <w:rFonts w:cstheme="minorHAnsi"/>
          <w:color w:val="000000" w:themeColor="text1"/>
        </w:rPr>
        <w:t>In the future, the CAP Registry will continue exploring the questions of sex differences in tic presentation and outcome</w:t>
      </w:r>
      <w:r w:rsidR="00A14BEA">
        <w:rPr>
          <w:rFonts w:cstheme="minorHAnsi"/>
          <w:color w:val="000000" w:themeColor="text1"/>
        </w:rPr>
        <w:t>.</w:t>
      </w:r>
    </w:p>
    <w:p w14:paraId="3C1680C1" w14:textId="7DD1D4D5" w:rsidR="00763601" w:rsidRDefault="00763601" w:rsidP="003A1A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360" w:lineRule="auto"/>
        <w:contextualSpacing/>
      </w:pPr>
    </w:p>
    <w:sectPr w:rsidR="00763601" w:rsidSect="00D2330C">
      <w:headerReference w:type="default" r:id="rId8"/>
      <w:footerReference w:type="default" r:id="rId9"/>
      <w:pgSz w:w="11900" w:h="16840"/>
      <w:pgMar w:top="1418" w:right="1701" w:bottom="1418"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44CDE" w14:textId="77777777" w:rsidR="00CA4CFB" w:rsidRDefault="00CA4CFB">
      <w:r>
        <w:separator/>
      </w:r>
    </w:p>
  </w:endnote>
  <w:endnote w:type="continuationSeparator" w:id="0">
    <w:p w14:paraId="132867AD" w14:textId="77777777" w:rsidR="00CA4CFB" w:rsidRDefault="00CA4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4298628"/>
      <w:docPartObj>
        <w:docPartGallery w:val="Page Numbers (Bottom of Page)"/>
        <w:docPartUnique/>
      </w:docPartObj>
    </w:sdtPr>
    <w:sdtEndPr>
      <w:rPr>
        <w:noProof/>
      </w:rPr>
    </w:sdtEndPr>
    <w:sdtContent>
      <w:p w14:paraId="20605189" w14:textId="19A77DA2" w:rsidR="00777248" w:rsidRDefault="00777248">
        <w:pPr>
          <w:pStyle w:val="Pieddepage"/>
          <w:jc w:val="center"/>
        </w:pPr>
      </w:p>
      <w:p w14:paraId="18BFC470" w14:textId="696EDC7B" w:rsidR="00777248" w:rsidRDefault="00777248">
        <w:pPr>
          <w:pStyle w:val="Pieddepage"/>
          <w:jc w:val="center"/>
        </w:pPr>
        <w:r>
          <w:fldChar w:fldCharType="begin"/>
        </w:r>
        <w:r>
          <w:instrText xml:space="preserve"> PAGE   \* MERGEFORMAT </w:instrText>
        </w:r>
        <w:r>
          <w:fldChar w:fldCharType="separate"/>
        </w:r>
        <w:r w:rsidR="005B09A2">
          <w:rPr>
            <w:noProof/>
          </w:rPr>
          <w:t>3</w:t>
        </w:r>
        <w:r>
          <w:rPr>
            <w:noProof/>
          </w:rPr>
          <w:fldChar w:fldCharType="end"/>
        </w:r>
      </w:p>
    </w:sdtContent>
  </w:sdt>
  <w:p w14:paraId="736838FE" w14:textId="005F5958" w:rsidR="00064580" w:rsidRDefault="0006458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25A044" w14:textId="77777777" w:rsidR="00CA4CFB" w:rsidRDefault="00CA4CFB">
      <w:r>
        <w:separator/>
      </w:r>
    </w:p>
  </w:footnote>
  <w:footnote w:type="continuationSeparator" w:id="0">
    <w:p w14:paraId="0355923E" w14:textId="77777777" w:rsidR="00CA4CFB" w:rsidRDefault="00CA4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B97D5" w14:textId="209B4A2B" w:rsidR="00777248" w:rsidRDefault="00D2330C" w:rsidP="006357B0">
    <w:pPr>
      <w:pStyle w:val="En-tte"/>
      <w:tabs>
        <w:tab w:val="clear" w:pos="4513"/>
        <w:tab w:val="clear" w:pos="9026"/>
        <w:tab w:val="left" w:pos="764"/>
      </w:tabs>
      <w:rPr>
        <w:noProof/>
      </w:rPr>
    </w:pPr>
    <w:r>
      <w:rPr>
        <w:noProof/>
      </w:rPr>
      <w:drawing>
        <wp:anchor distT="0" distB="0" distL="114300" distR="114300" simplePos="0" relativeHeight="251663360" behindDoc="1" locked="0" layoutInCell="1" allowOverlap="1" wp14:anchorId="25CA3130" wp14:editId="2F02CC27">
          <wp:simplePos x="0" y="0"/>
          <wp:positionH relativeFrom="column">
            <wp:posOffset>-961602</wp:posOffset>
          </wp:positionH>
          <wp:positionV relativeFrom="paragraph">
            <wp:posOffset>-94615</wp:posOffset>
          </wp:positionV>
          <wp:extent cx="1075267" cy="430081"/>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SSTS font logo.png"/>
                  <pic:cNvPicPr/>
                </pic:nvPicPr>
                <pic:blipFill>
                  <a:blip r:embed="rId1"/>
                  <a:stretch>
                    <a:fillRect/>
                  </a:stretch>
                </pic:blipFill>
                <pic:spPr>
                  <a:xfrm>
                    <a:off x="0" y="0"/>
                    <a:ext cx="1075267" cy="430081"/>
                  </a:xfrm>
                  <a:prstGeom prst="rect">
                    <a:avLst/>
                  </a:prstGeom>
                </pic:spPr>
              </pic:pic>
            </a:graphicData>
          </a:graphic>
          <wp14:sizeRelH relativeFrom="page">
            <wp14:pctWidth>0</wp14:pctWidth>
          </wp14:sizeRelH>
          <wp14:sizeRelV relativeFrom="page">
            <wp14:pctHeight>0</wp14:pctHeight>
          </wp14:sizeRelV>
        </wp:anchor>
      </w:drawing>
    </w:r>
  </w:p>
  <w:p w14:paraId="50358AF1" w14:textId="0AA514BE" w:rsidR="00777248" w:rsidRDefault="00777248" w:rsidP="006357B0">
    <w:pPr>
      <w:pStyle w:val="En-tte"/>
      <w:tabs>
        <w:tab w:val="clear" w:pos="4513"/>
        <w:tab w:val="clear" w:pos="9026"/>
        <w:tab w:val="left" w:pos="76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F70D8"/>
    <w:multiLevelType w:val="hybridMultilevel"/>
    <w:tmpl w:val="97E6019C"/>
    <w:styleLink w:val="Estiloimportado14"/>
    <w:lvl w:ilvl="0" w:tplc="24D2CDE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AD8AD9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28B9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4C3A0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3C176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A6D95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7EA18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14385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A42E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42E7F37"/>
    <w:multiLevelType w:val="hybridMultilevel"/>
    <w:tmpl w:val="5A90B826"/>
    <w:styleLink w:val="Estiloimportado7"/>
    <w:lvl w:ilvl="0" w:tplc="367C8E5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CB0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51E432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3069F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10B06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C49CF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83A1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38216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AF074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774E6F"/>
    <w:multiLevelType w:val="hybridMultilevel"/>
    <w:tmpl w:val="FE8022F8"/>
    <w:numStyleLink w:val="Estiloimportado8"/>
  </w:abstractNum>
  <w:abstractNum w:abstractNumId="3" w15:restartNumberingAfterBreak="0">
    <w:nsid w:val="0A982BE0"/>
    <w:multiLevelType w:val="hybridMultilevel"/>
    <w:tmpl w:val="C5027080"/>
    <w:styleLink w:val="Estiloimportado11"/>
    <w:lvl w:ilvl="0" w:tplc="38E035C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2E8C0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4E587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E6A90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6733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5A1C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8CE7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2E099C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04456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CB7711A"/>
    <w:multiLevelType w:val="hybridMultilevel"/>
    <w:tmpl w:val="8C7CE696"/>
    <w:styleLink w:val="Estiloimportado4"/>
    <w:lvl w:ilvl="0" w:tplc="BD54D0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F67DA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1645F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570947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952E6A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1670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6E2B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58D0B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C2D30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CD75548"/>
    <w:multiLevelType w:val="hybridMultilevel"/>
    <w:tmpl w:val="4CD6220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0F7F2597"/>
    <w:multiLevelType w:val="hybridMultilevel"/>
    <w:tmpl w:val="9CF615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7426A4C"/>
    <w:multiLevelType w:val="hybridMultilevel"/>
    <w:tmpl w:val="6F22E458"/>
    <w:styleLink w:val="Estiloimportado9"/>
    <w:lvl w:ilvl="0" w:tplc="B81A448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FE0DF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780DC3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78F4A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A06B3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D08D9A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824026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CB4139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40B43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B745EA2"/>
    <w:multiLevelType w:val="hybridMultilevel"/>
    <w:tmpl w:val="8500D0AA"/>
    <w:lvl w:ilvl="0" w:tplc="1B76D2EE">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252F3E"/>
    <w:multiLevelType w:val="hybridMultilevel"/>
    <w:tmpl w:val="1C38D4FC"/>
    <w:styleLink w:val="Estiloimportado10"/>
    <w:lvl w:ilvl="0" w:tplc="709C7C6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856B12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8699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F4539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F078C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009C5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45C9ED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0A4A9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861DF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961BE2"/>
    <w:multiLevelType w:val="hybridMultilevel"/>
    <w:tmpl w:val="CE18EE00"/>
    <w:lvl w:ilvl="0" w:tplc="5100FFCC">
      <w:start w:val="1"/>
      <w:numFmt w:val="decimal"/>
      <w:lvlText w:val="(%1)"/>
      <w:lvlJc w:val="left"/>
      <w:pPr>
        <w:ind w:left="510" w:hanging="360"/>
      </w:pPr>
      <w:rPr>
        <w:rFonts w:hint="default"/>
      </w:rPr>
    </w:lvl>
    <w:lvl w:ilvl="1" w:tplc="04070019">
      <w:start w:val="1"/>
      <w:numFmt w:val="lowerLetter"/>
      <w:lvlText w:val="%2."/>
      <w:lvlJc w:val="left"/>
      <w:pPr>
        <w:ind w:left="1230" w:hanging="360"/>
      </w:pPr>
    </w:lvl>
    <w:lvl w:ilvl="2" w:tplc="0407001B" w:tentative="1">
      <w:start w:val="1"/>
      <w:numFmt w:val="lowerRoman"/>
      <w:lvlText w:val="%3."/>
      <w:lvlJc w:val="right"/>
      <w:pPr>
        <w:ind w:left="1950" w:hanging="180"/>
      </w:pPr>
    </w:lvl>
    <w:lvl w:ilvl="3" w:tplc="0407000F" w:tentative="1">
      <w:start w:val="1"/>
      <w:numFmt w:val="decimal"/>
      <w:lvlText w:val="%4."/>
      <w:lvlJc w:val="left"/>
      <w:pPr>
        <w:ind w:left="2670" w:hanging="360"/>
      </w:pPr>
    </w:lvl>
    <w:lvl w:ilvl="4" w:tplc="04070019" w:tentative="1">
      <w:start w:val="1"/>
      <w:numFmt w:val="lowerLetter"/>
      <w:lvlText w:val="%5."/>
      <w:lvlJc w:val="left"/>
      <w:pPr>
        <w:ind w:left="3390" w:hanging="360"/>
      </w:pPr>
    </w:lvl>
    <w:lvl w:ilvl="5" w:tplc="0407001B" w:tentative="1">
      <w:start w:val="1"/>
      <w:numFmt w:val="lowerRoman"/>
      <w:lvlText w:val="%6."/>
      <w:lvlJc w:val="right"/>
      <w:pPr>
        <w:ind w:left="4110" w:hanging="180"/>
      </w:pPr>
    </w:lvl>
    <w:lvl w:ilvl="6" w:tplc="0407000F" w:tentative="1">
      <w:start w:val="1"/>
      <w:numFmt w:val="decimal"/>
      <w:lvlText w:val="%7."/>
      <w:lvlJc w:val="left"/>
      <w:pPr>
        <w:ind w:left="4830" w:hanging="360"/>
      </w:pPr>
    </w:lvl>
    <w:lvl w:ilvl="7" w:tplc="04070019" w:tentative="1">
      <w:start w:val="1"/>
      <w:numFmt w:val="lowerLetter"/>
      <w:lvlText w:val="%8."/>
      <w:lvlJc w:val="left"/>
      <w:pPr>
        <w:ind w:left="5550" w:hanging="360"/>
      </w:pPr>
    </w:lvl>
    <w:lvl w:ilvl="8" w:tplc="0407001B" w:tentative="1">
      <w:start w:val="1"/>
      <w:numFmt w:val="lowerRoman"/>
      <w:lvlText w:val="%9."/>
      <w:lvlJc w:val="right"/>
      <w:pPr>
        <w:ind w:left="6270" w:hanging="180"/>
      </w:pPr>
    </w:lvl>
  </w:abstractNum>
  <w:abstractNum w:abstractNumId="11" w15:restartNumberingAfterBreak="0">
    <w:nsid w:val="1FAD74B1"/>
    <w:multiLevelType w:val="hybridMultilevel"/>
    <w:tmpl w:val="CD1C5202"/>
    <w:lvl w:ilvl="0" w:tplc="DF0099C0">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7A2884"/>
    <w:multiLevelType w:val="hybridMultilevel"/>
    <w:tmpl w:val="67C2DC8E"/>
    <w:lvl w:ilvl="0" w:tplc="B45CA646">
      <w:numFmt w:val="bullet"/>
      <w:lvlText w:val="-"/>
      <w:lvlJc w:val="left"/>
      <w:pPr>
        <w:ind w:left="510" w:hanging="360"/>
      </w:pPr>
      <w:rPr>
        <w:rFonts w:ascii="Times New Roman" w:eastAsia="Times New Roman" w:hAnsi="Times New Roman" w:cs="Times New Roman" w:hint="default"/>
      </w:rPr>
    </w:lvl>
    <w:lvl w:ilvl="1" w:tplc="04070003" w:tentative="1">
      <w:start w:val="1"/>
      <w:numFmt w:val="bullet"/>
      <w:lvlText w:val="o"/>
      <w:lvlJc w:val="left"/>
      <w:pPr>
        <w:ind w:left="1230" w:hanging="360"/>
      </w:pPr>
      <w:rPr>
        <w:rFonts w:ascii="Courier New" w:hAnsi="Courier New" w:cs="Courier New" w:hint="default"/>
      </w:rPr>
    </w:lvl>
    <w:lvl w:ilvl="2" w:tplc="04070005" w:tentative="1">
      <w:start w:val="1"/>
      <w:numFmt w:val="bullet"/>
      <w:lvlText w:val=""/>
      <w:lvlJc w:val="left"/>
      <w:pPr>
        <w:ind w:left="1950" w:hanging="360"/>
      </w:pPr>
      <w:rPr>
        <w:rFonts w:ascii="Wingdings" w:hAnsi="Wingdings" w:hint="default"/>
      </w:rPr>
    </w:lvl>
    <w:lvl w:ilvl="3" w:tplc="04070001" w:tentative="1">
      <w:start w:val="1"/>
      <w:numFmt w:val="bullet"/>
      <w:lvlText w:val=""/>
      <w:lvlJc w:val="left"/>
      <w:pPr>
        <w:ind w:left="2670" w:hanging="360"/>
      </w:pPr>
      <w:rPr>
        <w:rFonts w:ascii="Symbol" w:hAnsi="Symbol" w:hint="default"/>
      </w:rPr>
    </w:lvl>
    <w:lvl w:ilvl="4" w:tplc="04070003" w:tentative="1">
      <w:start w:val="1"/>
      <w:numFmt w:val="bullet"/>
      <w:lvlText w:val="o"/>
      <w:lvlJc w:val="left"/>
      <w:pPr>
        <w:ind w:left="3390" w:hanging="360"/>
      </w:pPr>
      <w:rPr>
        <w:rFonts w:ascii="Courier New" w:hAnsi="Courier New" w:cs="Courier New" w:hint="default"/>
      </w:rPr>
    </w:lvl>
    <w:lvl w:ilvl="5" w:tplc="04070005" w:tentative="1">
      <w:start w:val="1"/>
      <w:numFmt w:val="bullet"/>
      <w:lvlText w:val=""/>
      <w:lvlJc w:val="left"/>
      <w:pPr>
        <w:ind w:left="4110" w:hanging="360"/>
      </w:pPr>
      <w:rPr>
        <w:rFonts w:ascii="Wingdings" w:hAnsi="Wingdings" w:hint="default"/>
      </w:rPr>
    </w:lvl>
    <w:lvl w:ilvl="6" w:tplc="04070001" w:tentative="1">
      <w:start w:val="1"/>
      <w:numFmt w:val="bullet"/>
      <w:lvlText w:val=""/>
      <w:lvlJc w:val="left"/>
      <w:pPr>
        <w:ind w:left="4830" w:hanging="360"/>
      </w:pPr>
      <w:rPr>
        <w:rFonts w:ascii="Symbol" w:hAnsi="Symbol" w:hint="default"/>
      </w:rPr>
    </w:lvl>
    <w:lvl w:ilvl="7" w:tplc="04070003" w:tentative="1">
      <w:start w:val="1"/>
      <w:numFmt w:val="bullet"/>
      <w:lvlText w:val="o"/>
      <w:lvlJc w:val="left"/>
      <w:pPr>
        <w:ind w:left="5550" w:hanging="360"/>
      </w:pPr>
      <w:rPr>
        <w:rFonts w:ascii="Courier New" w:hAnsi="Courier New" w:cs="Courier New" w:hint="default"/>
      </w:rPr>
    </w:lvl>
    <w:lvl w:ilvl="8" w:tplc="04070005" w:tentative="1">
      <w:start w:val="1"/>
      <w:numFmt w:val="bullet"/>
      <w:lvlText w:val=""/>
      <w:lvlJc w:val="left"/>
      <w:pPr>
        <w:ind w:left="6270" w:hanging="360"/>
      </w:pPr>
      <w:rPr>
        <w:rFonts w:ascii="Wingdings" w:hAnsi="Wingdings" w:hint="default"/>
      </w:rPr>
    </w:lvl>
  </w:abstractNum>
  <w:abstractNum w:abstractNumId="13" w15:restartNumberingAfterBreak="0">
    <w:nsid w:val="235235C3"/>
    <w:multiLevelType w:val="hybridMultilevel"/>
    <w:tmpl w:val="A43E869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239F3801"/>
    <w:multiLevelType w:val="hybridMultilevel"/>
    <w:tmpl w:val="76867F74"/>
    <w:styleLink w:val="Estiloimportado5"/>
    <w:lvl w:ilvl="0" w:tplc="E490FDA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023FB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8840C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36CB0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E02E0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720BC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E4BEB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6342F3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1C2E27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BD70927"/>
    <w:multiLevelType w:val="hybridMultilevel"/>
    <w:tmpl w:val="59D00CE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2EB87AFC"/>
    <w:multiLevelType w:val="hybridMultilevel"/>
    <w:tmpl w:val="F2984F8C"/>
    <w:styleLink w:val="Estiloimportado3"/>
    <w:lvl w:ilvl="0" w:tplc="455C56FE">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E1AB6EA">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50288F6">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F766700">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6C63FC4">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80ECEC">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7521C34">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90C5C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0ADF8E">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672BDB"/>
    <w:multiLevelType w:val="hybridMultilevel"/>
    <w:tmpl w:val="97E6019C"/>
    <w:numStyleLink w:val="Estiloimportado14"/>
  </w:abstractNum>
  <w:abstractNum w:abstractNumId="18" w15:restartNumberingAfterBreak="0">
    <w:nsid w:val="32E37340"/>
    <w:multiLevelType w:val="hybridMultilevel"/>
    <w:tmpl w:val="7FEE3E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3BE46B8"/>
    <w:multiLevelType w:val="hybridMultilevel"/>
    <w:tmpl w:val="1C38D4FC"/>
    <w:numStyleLink w:val="Estiloimportado10"/>
  </w:abstractNum>
  <w:abstractNum w:abstractNumId="20" w15:restartNumberingAfterBreak="0">
    <w:nsid w:val="3A0B0998"/>
    <w:multiLevelType w:val="hybridMultilevel"/>
    <w:tmpl w:val="942E2F6E"/>
    <w:styleLink w:val="Estiloimportado12"/>
    <w:lvl w:ilvl="0" w:tplc="0A441CC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E4EA92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EEE656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F0432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860E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9EB8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B96B17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6A8D8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90625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3A2F629B"/>
    <w:multiLevelType w:val="hybridMultilevel"/>
    <w:tmpl w:val="5A0CD25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3ADF4D0F"/>
    <w:multiLevelType w:val="hybridMultilevel"/>
    <w:tmpl w:val="BD388B1A"/>
    <w:numStyleLink w:val="Estiloimportado2"/>
  </w:abstractNum>
  <w:abstractNum w:abstractNumId="23" w15:restartNumberingAfterBreak="0">
    <w:nsid w:val="3B6B2ED7"/>
    <w:multiLevelType w:val="hybridMultilevel"/>
    <w:tmpl w:val="C5027080"/>
    <w:numStyleLink w:val="Estiloimportado11"/>
  </w:abstractNum>
  <w:abstractNum w:abstractNumId="24" w15:restartNumberingAfterBreak="0">
    <w:nsid w:val="44983A98"/>
    <w:multiLevelType w:val="hybridMultilevel"/>
    <w:tmpl w:val="6A3C196E"/>
    <w:numStyleLink w:val="Estiloimportado6"/>
  </w:abstractNum>
  <w:abstractNum w:abstractNumId="25" w15:restartNumberingAfterBreak="0">
    <w:nsid w:val="45B20512"/>
    <w:multiLevelType w:val="hybridMultilevel"/>
    <w:tmpl w:val="6A3C196E"/>
    <w:styleLink w:val="Estiloimportado6"/>
    <w:lvl w:ilvl="0" w:tplc="184A3D0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0954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A1EC88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F16089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CF8B80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4663E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568D57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26349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44641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6696FC9"/>
    <w:multiLevelType w:val="hybridMultilevel"/>
    <w:tmpl w:val="E904D63E"/>
    <w:numStyleLink w:val="Estiloimportado13"/>
  </w:abstractNum>
  <w:abstractNum w:abstractNumId="27" w15:restartNumberingAfterBreak="0">
    <w:nsid w:val="46C70976"/>
    <w:multiLevelType w:val="hybridMultilevel"/>
    <w:tmpl w:val="3508B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AE24BE"/>
    <w:multiLevelType w:val="hybridMultilevel"/>
    <w:tmpl w:val="5CE66064"/>
    <w:numStyleLink w:val="Estiloimportado1"/>
  </w:abstractNum>
  <w:abstractNum w:abstractNumId="29" w15:restartNumberingAfterBreak="0">
    <w:nsid w:val="57FD4988"/>
    <w:multiLevelType w:val="hybridMultilevel"/>
    <w:tmpl w:val="837216B8"/>
    <w:lvl w:ilvl="0" w:tplc="ACF85702">
      <w:start w:val="2"/>
      <w:numFmt w:val="bullet"/>
      <w:lvlText w:val="-"/>
      <w:lvlJc w:val="left"/>
      <w:pPr>
        <w:ind w:left="720" w:hanging="360"/>
      </w:pPr>
      <w:rPr>
        <w:rFonts w:ascii="Cambria" w:eastAsia="Cambria" w:hAnsi="Cambria" w:cs="Cambria"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E386434"/>
    <w:multiLevelType w:val="hybridMultilevel"/>
    <w:tmpl w:val="2E16549A"/>
    <w:lvl w:ilvl="0" w:tplc="B9625548">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FFD3DE2"/>
    <w:multiLevelType w:val="hybridMultilevel"/>
    <w:tmpl w:val="7486B2F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2" w15:restartNumberingAfterBreak="0">
    <w:nsid w:val="63BF4F7D"/>
    <w:multiLevelType w:val="hybridMultilevel"/>
    <w:tmpl w:val="8C7CE696"/>
    <w:numStyleLink w:val="Estiloimportado4"/>
  </w:abstractNum>
  <w:abstractNum w:abstractNumId="33" w15:restartNumberingAfterBreak="0">
    <w:nsid w:val="645C7348"/>
    <w:multiLevelType w:val="hybridMultilevel"/>
    <w:tmpl w:val="A8F8B9F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500070F"/>
    <w:multiLevelType w:val="hybridMultilevel"/>
    <w:tmpl w:val="FE8022F8"/>
    <w:styleLink w:val="Estiloimportado8"/>
    <w:lvl w:ilvl="0" w:tplc="F52E989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896738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807BE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91C86E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B0964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E74410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F2C299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881AA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B3442C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6776692C"/>
    <w:multiLevelType w:val="hybridMultilevel"/>
    <w:tmpl w:val="0D5E51F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6" w15:restartNumberingAfterBreak="0">
    <w:nsid w:val="689A2BF0"/>
    <w:multiLevelType w:val="hybridMultilevel"/>
    <w:tmpl w:val="F4A4E488"/>
    <w:lvl w:ilvl="0" w:tplc="EA624F92">
      <w:start w:val="2"/>
      <w:numFmt w:val="bullet"/>
      <w:lvlText w:val="-"/>
      <w:lvlJc w:val="left"/>
      <w:pPr>
        <w:ind w:left="720" w:hanging="360"/>
      </w:pPr>
      <w:rPr>
        <w:rFonts w:ascii="Calibri" w:eastAsia="Calibr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6D2BF5"/>
    <w:multiLevelType w:val="hybridMultilevel"/>
    <w:tmpl w:val="6F22E458"/>
    <w:numStyleLink w:val="Estiloimportado9"/>
  </w:abstractNum>
  <w:abstractNum w:abstractNumId="38" w15:restartNumberingAfterBreak="0">
    <w:nsid w:val="6AD301F8"/>
    <w:multiLevelType w:val="hybridMultilevel"/>
    <w:tmpl w:val="F2984F8C"/>
    <w:numStyleLink w:val="Estiloimportado3"/>
  </w:abstractNum>
  <w:abstractNum w:abstractNumId="39" w15:restartNumberingAfterBreak="0">
    <w:nsid w:val="6B6D71A6"/>
    <w:multiLevelType w:val="hybridMultilevel"/>
    <w:tmpl w:val="5A90B826"/>
    <w:numStyleLink w:val="Estiloimportado7"/>
  </w:abstractNum>
  <w:abstractNum w:abstractNumId="40" w15:restartNumberingAfterBreak="0">
    <w:nsid w:val="6C2B723F"/>
    <w:multiLevelType w:val="hybridMultilevel"/>
    <w:tmpl w:val="EC88DFDE"/>
    <w:lvl w:ilvl="0" w:tplc="951A8CBE">
      <w:start w:val="11"/>
      <w:numFmt w:val="bullet"/>
      <w:lvlText w:val="-"/>
      <w:lvlJc w:val="left"/>
      <w:pPr>
        <w:ind w:left="1068" w:hanging="360"/>
      </w:pPr>
      <w:rPr>
        <w:rFonts w:ascii="Calibri" w:eastAsia="Calibri" w:hAnsi="Calibri" w:cs="Calibri"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41" w15:restartNumberingAfterBreak="0">
    <w:nsid w:val="72433B5B"/>
    <w:multiLevelType w:val="hybridMultilevel"/>
    <w:tmpl w:val="BD388B1A"/>
    <w:styleLink w:val="Estiloimportado2"/>
    <w:lvl w:ilvl="0" w:tplc="CF56D062">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AF224">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DB4FD94">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C5E7F16">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46B9D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65A968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1EA81C6">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C8A200C">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0A4F48">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72B149B9"/>
    <w:multiLevelType w:val="hybridMultilevel"/>
    <w:tmpl w:val="76867F74"/>
    <w:numStyleLink w:val="Estiloimportado5"/>
  </w:abstractNum>
  <w:abstractNum w:abstractNumId="43" w15:restartNumberingAfterBreak="0">
    <w:nsid w:val="754D6B3C"/>
    <w:multiLevelType w:val="hybridMultilevel"/>
    <w:tmpl w:val="942E2F6E"/>
    <w:numStyleLink w:val="Estiloimportado12"/>
  </w:abstractNum>
  <w:abstractNum w:abstractNumId="44" w15:restartNumberingAfterBreak="0">
    <w:nsid w:val="7B8A23C8"/>
    <w:multiLevelType w:val="hybridMultilevel"/>
    <w:tmpl w:val="E904D63E"/>
    <w:styleLink w:val="Estiloimportado13"/>
    <w:lvl w:ilvl="0" w:tplc="8E5CE9DA">
      <w:start w:val="1"/>
      <w:numFmt w:val="bullet"/>
      <w:lvlText w:val="•"/>
      <w:lvlJc w:val="left"/>
      <w:pPr>
        <w:ind w:left="68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F45E2C">
      <w:start w:val="1"/>
      <w:numFmt w:val="bullet"/>
      <w:lvlText w:val="o"/>
      <w:lvlJc w:val="left"/>
      <w:pPr>
        <w:ind w:left="140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1088BA">
      <w:start w:val="1"/>
      <w:numFmt w:val="bullet"/>
      <w:lvlText w:val="▪"/>
      <w:lvlJc w:val="left"/>
      <w:pPr>
        <w:ind w:left="21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28D836">
      <w:start w:val="1"/>
      <w:numFmt w:val="bullet"/>
      <w:lvlText w:val="•"/>
      <w:lvlJc w:val="left"/>
      <w:pPr>
        <w:ind w:left="284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AE6E440">
      <w:start w:val="1"/>
      <w:numFmt w:val="bullet"/>
      <w:lvlText w:val="o"/>
      <w:lvlJc w:val="left"/>
      <w:pPr>
        <w:ind w:left="356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08766A">
      <w:start w:val="1"/>
      <w:numFmt w:val="bullet"/>
      <w:lvlText w:val="▪"/>
      <w:lvlJc w:val="left"/>
      <w:pPr>
        <w:ind w:left="428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0101260">
      <w:start w:val="1"/>
      <w:numFmt w:val="bullet"/>
      <w:lvlText w:val="•"/>
      <w:lvlJc w:val="left"/>
      <w:pPr>
        <w:ind w:left="5007" w:hanging="32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2AEC768">
      <w:start w:val="1"/>
      <w:numFmt w:val="bullet"/>
      <w:lvlText w:val="o"/>
      <w:lvlJc w:val="left"/>
      <w:pPr>
        <w:ind w:left="572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BE99EC">
      <w:start w:val="1"/>
      <w:numFmt w:val="bullet"/>
      <w:lvlText w:val="▪"/>
      <w:lvlJc w:val="left"/>
      <w:pPr>
        <w:ind w:left="6447" w:hanging="32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D8E7E7C"/>
    <w:multiLevelType w:val="hybridMultilevel"/>
    <w:tmpl w:val="5CE66064"/>
    <w:styleLink w:val="Estiloimportado1"/>
    <w:lvl w:ilvl="0" w:tplc="50D681D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E78BD84">
      <w:start w:val="1"/>
      <w:numFmt w:val="decimal"/>
      <w:lvlText w:val="%2."/>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206E72">
      <w:start w:val="1"/>
      <w:numFmt w:val="decimal"/>
      <w:lvlText w:val="%3."/>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580E18">
      <w:start w:val="1"/>
      <w:numFmt w:val="decimal"/>
      <w:lvlText w:val="%4."/>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0489120">
      <w:start w:val="1"/>
      <w:numFmt w:val="decimal"/>
      <w:lvlText w:val="%5."/>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42745A">
      <w:start w:val="1"/>
      <w:numFmt w:val="decimal"/>
      <w:lvlText w:val="%6."/>
      <w:lvlJc w:val="left"/>
      <w:pPr>
        <w:ind w:left="39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9E497DA">
      <w:start w:val="1"/>
      <w:numFmt w:val="decimal"/>
      <w:lvlText w:val="%7."/>
      <w:lvlJc w:val="left"/>
      <w:pPr>
        <w:ind w:left="46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92AD88A">
      <w:start w:val="1"/>
      <w:numFmt w:val="decimal"/>
      <w:lvlText w:val="%8."/>
      <w:lvlJc w:val="left"/>
      <w:pPr>
        <w:ind w:left="54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0322630">
      <w:start w:val="1"/>
      <w:numFmt w:val="decimal"/>
      <w:lvlText w:val="%9."/>
      <w:lvlJc w:val="left"/>
      <w:pPr>
        <w:ind w:left="61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5"/>
  </w:num>
  <w:num w:numId="2">
    <w:abstractNumId w:val="28"/>
  </w:num>
  <w:num w:numId="3">
    <w:abstractNumId w:val="41"/>
  </w:num>
  <w:num w:numId="4">
    <w:abstractNumId w:val="22"/>
  </w:num>
  <w:num w:numId="5">
    <w:abstractNumId w:val="16"/>
  </w:num>
  <w:num w:numId="6">
    <w:abstractNumId w:val="38"/>
  </w:num>
  <w:num w:numId="7">
    <w:abstractNumId w:val="28"/>
    <w:lvlOverride w:ilvl="0">
      <w:startOverride w:val="2"/>
    </w:lvlOverride>
  </w:num>
  <w:num w:numId="8">
    <w:abstractNumId w:val="28"/>
    <w:lvlOverride w:ilvl="0">
      <w:startOverride w:val="3"/>
    </w:lvlOverride>
  </w:num>
  <w:num w:numId="9">
    <w:abstractNumId w:val="4"/>
  </w:num>
  <w:num w:numId="10">
    <w:abstractNumId w:val="32"/>
  </w:num>
  <w:num w:numId="11">
    <w:abstractNumId w:val="14"/>
  </w:num>
  <w:num w:numId="12">
    <w:abstractNumId w:val="42"/>
  </w:num>
  <w:num w:numId="13">
    <w:abstractNumId w:val="25"/>
  </w:num>
  <w:num w:numId="14">
    <w:abstractNumId w:val="24"/>
  </w:num>
  <w:num w:numId="15">
    <w:abstractNumId w:val="1"/>
  </w:num>
  <w:num w:numId="16">
    <w:abstractNumId w:val="39"/>
  </w:num>
  <w:num w:numId="17">
    <w:abstractNumId w:val="34"/>
  </w:num>
  <w:num w:numId="18">
    <w:abstractNumId w:val="2"/>
  </w:num>
  <w:num w:numId="19">
    <w:abstractNumId w:val="7"/>
  </w:num>
  <w:num w:numId="20">
    <w:abstractNumId w:val="37"/>
  </w:num>
  <w:num w:numId="21">
    <w:abstractNumId w:val="9"/>
  </w:num>
  <w:num w:numId="22">
    <w:abstractNumId w:val="19"/>
  </w:num>
  <w:num w:numId="23">
    <w:abstractNumId w:val="3"/>
  </w:num>
  <w:num w:numId="24">
    <w:abstractNumId w:val="23"/>
  </w:num>
  <w:num w:numId="25">
    <w:abstractNumId w:val="20"/>
  </w:num>
  <w:num w:numId="26">
    <w:abstractNumId w:val="43"/>
  </w:num>
  <w:num w:numId="27">
    <w:abstractNumId w:val="44"/>
  </w:num>
  <w:num w:numId="28">
    <w:abstractNumId w:val="26"/>
  </w:num>
  <w:num w:numId="29">
    <w:abstractNumId w:val="0"/>
  </w:num>
  <w:num w:numId="30">
    <w:abstractNumId w:val="17"/>
  </w:num>
  <w:num w:numId="31">
    <w:abstractNumId w:val="8"/>
  </w:num>
  <w:num w:numId="32">
    <w:abstractNumId w:val="11"/>
  </w:num>
  <w:num w:numId="33">
    <w:abstractNumId w:val="36"/>
  </w:num>
  <w:num w:numId="34">
    <w:abstractNumId w:val="30"/>
  </w:num>
  <w:num w:numId="35">
    <w:abstractNumId w:val="29"/>
  </w:num>
  <w:num w:numId="36">
    <w:abstractNumId w:val="40"/>
  </w:num>
  <w:num w:numId="37">
    <w:abstractNumId w:val="5"/>
  </w:num>
  <w:num w:numId="38">
    <w:abstractNumId w:val="13"/>
  </w:num>
  <w:num w:numId="39">
    <w:abstractNumId w:val="15"/>
  </w:num>
  <w:num w:numId="40">
    <w:abstractNumId w:val="21"/>
  </w:num>
  <w:num w:numId="41">
    <w:abstractNumId w:val="18"/>
  </w:num>
  <w:num w:numId="42">
    <w:abstractNumId w:val="35"/>
  </w:num>
  <w:num w:numId="43">
    <w:abstractNumId w:val="6"/>
  </w:num>
  <w:num w:numId="44">
    <w:abstractNumId w:val="33"/>
  </w:num>
  <w:num w:numId="45">
    <w:abstractNumId w:val="31"/>
  </w:num>
  <w:num w:numId="46">
    <w:abstractNumId w:val="27"/>
  </w:num>
  <w:num w:numId="47">
    <w:abstractNumId w:val="12"/>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156"/>
    <w:rsid w:val="000000F2"/>
    <w:rsid w:val="000106B2"/>
    <w:rsid w:val="00012448"/>
    <w:rsid w:val="0001375B"/>
    <w:rsid w:val="00040DE3"/>
    <w:rsid w:val="000513ED"/>
    <w:rsid w:val="00064580"/>
    <w:rsid w:val="00064B13"/>
    <w:rsid w:val="0006570D"/>
    <w:rsid w:val="00084576"/>
    <w:rsid w:val="00084801"/>
    <w:rsid w:val="000C1960"/>
    <w:rsid w:val="000C2AAF"/>
    <w:rsid w:val="000D517B"/>
    <w:rsid w:val="000E7AF2"/>
    <w:rsid w:val="000F72FA"/>
    <w:rsid w:val="00102C65"/>
    <w:rsid w:val="00110C84"/>
    <w:rsid w:val="0012114A"/>
    <w:rsid w:val="0012314A"/>
    <w:rsid w:val="0014256E"/>
    <w:rsid w:val="001437CF"/>
    <w:rsid w:val="00156C84"/>
    <w:rsid w:val="00187002"/>
    <w:rsid w:val="00193093"/>
    <w:rsid w:val="001A2E3F"/>
    <w:rsid w:val="001B49EC"/>
    <w:rsid w:val="001B567C"/>
    <w:rsid w:val="001C11CD"/>
    <w:rsid w:val="001D6B31"/>
    <w:rsid w:val="001F182D"/>
    <w:rsid w:val="002068E7"/>
    <w:rsid w:val="00212CDC"/>
    <w:rsid w:val="00213C2E"/>
    <w:rsid w:val="00215008"/>
    <w:rsid w:val="00225D30"/>
    <w:rsid w:val="0022792B"/>
    <w:rsid w:val="00256AC9"/>
    <w:rsid w:val="00274E36"/>
    <w:rsid w:val="002C25EC"/>
    <w:rsid w:val="002D35D9"/>
    <w:rsid w:val="002E1EC0"/>
    <w:rsid w:val="002E400A"/>
    <w:rsid w:val="002E65DC"/>
    <w:rsid w:val="002F17AF"/>
    <w:rsid w:val="00317762"/>
    <w:rsid w:val="00317C15"/>
    <w:rsid w:val="00321E26"/>
    <w:rsid w:val="00322E71"/>
    <w:rsid w:val="00332821"/>
    <w:rsid w:val="00333BE2"/>
    <w:rsid w:val="00333CEA"/>
    <w:rsid w:val="003458F7"/>
    <w:rsid w:val="00346E78"/>
    <w:rsid w:val="00357DE0"/>
    <w:rsid w:val="00373A8A"/>
    <w:rsid w:val="00373E38"/>
    <w:rsid w:val="003846A4"/>
    <w:rsid w:val="003A1AC2"/>
    <w:rsid w:val="003F5BDB"/>
    <w:rsid w:val="003F6BD3"/>
    <w:rsid w:val="004031FD"/>
    <w:rsid w:val="00440E12"/>
    <w:rsid w:val="00446966"/>
    <w:rsid w:val="004A2B4B"/>
    <w:rsid w:val="004D3915"/>
    <w:rsid w:val="004E4DA9"/>
    <w:rsid w:val="00540769"/>
    <w:rsid w:val="00551675"/>
    <w:rsid w:val="0056258B"/>
    <w:rsid w:val="00566A69"/>
    <w:rsid w:val="00572728"/>
    <w:rsid w:val="0058262D"/>
    <w:rsid w:val="00582A36"/>
    <w:rsid w:val="005947AD"/>
    <w:rsid w:val="00596998"/>
    <w:rsid w:val="005B09A2"/>
    <w:rsid w:val="005B1C1C"/>
    <w:rsid w:val="005B5007"/>
    <w:rsid w:val="005C2AC3"/>
    <w:rsid w:val="005C61BC"/>
    <w:rsid w:val="005C72D0"/>
    <w:rsid w:val="005D774F"/>
    <w:rsid w:val="005E0A7A"/>
    <w:rsid w:val="005E2018"/>
    <w:rsid w:val="005E66AE"/>
    <w:rsid w:val="005F16C8"/>
    <w:rsid w:val="006076B6"/>
    <w:rsid w:val="00611428"/>
    <w:rsid w:val="00615090"/>
    <w:rsid w:val="00632B8C"/>
    <w:rsid w:val="006357B0"/>
    <w:rsid w:val="00642156"/>
    <w:rsid w:val="006477FF"/>
    <w:rsid w:val="006652F5"/>
    <w:rsid w:val="00665EB9"/>
    <w:rsid w:val="00694C81"/>
    <w:rsid w:val="006A43B9"/>
    <w:rsid w:val="006C0B4F"/>
    <w:rsid w:val="006C2187"/>
    <w:rsid w:val="006C39FE"/>
    <w:rsid w:val="006C43EC"/>
    <w:rsid w:val="006C64D5"/>
    <w:rsid w:val="006D64E8"/>
    <w:rsid w:val="006D761B"/>
    <w:rsid w:val="007050AD"/>
    <w:rsid w:val="00741AD5"/>
    <w:rsid w:val="00754F99"/>
    <w:rsid w:val="00763601"/>
    <w:rsid w:val="00777248"/>
    <w:rsid w:val="0078602B"/>
    <w:rsid w:val="007A3A98"/>
    <w:rsid w:val="007A4516"/>
    <w:rsid w:val="007B5CE4"/>
    <w:rsid w:val="007B5FD5"/>
    <w:rsid w:val="007B6A2C"/>
    <w:rsid w:val="007C0AD4"/>
    <w:rsid w:val="007C4319"/>
    <w:rsid w:val="007C493D"/>
    <w:rsid w:val="007F0D68"/>
    <w:rsid w:val="00816227"/>
    <w:rsid w:val="00817B30"/>
    <w:rsid w:val="0083797A"/>
    <w:rsid w:val="00851661"/>
    <w:rsid w:val="00863537"/>
    <w:rsid w:val="008641B5"/>
    <w:rsid w:val="00890048"/>
    <w:rsid w:val="008A4877"/>
    <w:rsid w:val="008A69C9"/>
    <w:rsid w:val="008A7158"/>
    <w:rsid w:val="009027EE"/>
    <w:rsid w:val="00914391"/>
    <w:rsid w:val="00933C20"/>
    <w:rsid w:val="00937E61"/>
    <w:rsid w:val="0096171B"/>
    <w:rsid w:val="00975667"/>
    <w:rsid w:val="00986E29"/>
    <w:rsid w:val="009F1A70"/>
    <w:rsid w:val="009F56C3"/>
    <w:rsid w:val="00A02CF8"/>
    <w:rsid w:val="00A03D1A"/>
    <w:rsid w:val="00A041E5"/>
    <w:rsid w:val="00A14BEA"/>
    <w:rsid w:val="00A20EDA"/>
    <w:rsid w:val="00A24C0C"/>
    <w:rsid w:val="00A2690E"/>
    <w:rsid w:val="00A33D40"/>
    <w:rsid w:val="00A344A8"/>
    <w:rsid w:val="00A416EC"/>
    <w:rsid w:val="00A507CB"/>
    <w:rsid w:val="00A55680"/>
    <w:rsid w:val="00A646B5"/>
    <w:rsid w:val="00A96733"/>
    <w:rsid w:val="00AB7A5C"/>
    <w:rsid w:val="00AD5BDE"/>
    <w:rsid w:val="00AF0F53"/>
    <w:rsid w:val="00B02D44"/>
    <w:rsid w:val="00B07846"/>
    <w:rsid w:val="00B26C2E"/>
    <w:rsid w:val="00B42A75"/>
    <w:rsid w:val="00B4745E"/>
    <w:rsid w:val="00B47910"/>
    <w:rsid w:val="00B47AB4"/>
    <w:rsid w:val="00B66333"/>
    <w:rsid w:val="00B842E7"/>
    <w:rsid w:val="00BB21C2"/>
    <w:rsid w:val="00BF27F5"/>
    <w:rsid w:val="00C04600"/>
    <w:rsid w:val="00C1559C"/>
    <w:rsid w:val="00C3177D"/>
    <w:rsid w:val="00C67540"/>
    <w:rsid w:val="00C90DE8"/>
    <w:rsid w:val="00C924E1"/>
    <w:rsid w:val="00CA4CFB"/>
    <w:rsid w:val="00CB47DF"/>
    <w:rsid w:val="00CC4876"/>
    <w:rsid w:val="00CC7955"/>
    <w:rsid w:val="00CD49AD"/>
    <w:rsid w:val="00CE2FD9"/>
    <w:rsid w:val="00CF428A"/>
    <w:rsid w:val="00D2330C"/>
    <w:rsid w:val="00D42349"/>
    <w:rsid w:val="00D502AF"/>
    <w:rsid w:val="00D56A96"/>
    <w:rsid w:val="00DA465C"/>
    <w:rsid w:val="00DB31D4"/>
    <w:rsid w:val="00DB517D"/>
    <w:rsid w:val="00DC667B"/>
    <w:rsid w:val="00DD7704"/>
    <w:rsid w:val="00DE5000"/>
    <w:rsid w:val="00DF5871"/>
    <w:rsid w:val="00E03CAF"/>
    <w:rsid w:val="00E071DB"/>
    <w:rsid w:val="00E320DE"/>
    <w:rsid w:val="00E45778"/>
    <w:rsid w:val="00E813B4"/>
    <w:rsid w:val="00E8329C"/>
    <w:rsid w:val="00E87F5D"/>
    <w:rsid w:val="00E93B9B"/>
    <w:rsid w:val="00E9458D"/>
    <w:rsid w:val="00ED1733"/>
    <w:rsid w:val="00EE6E1C"/>
    <w:rsid w:val="00EF329F"/>
    <w:rsid w:val="00EF40D5"/>
    <w:rsid w:val="00F0512D"/>
    <w:rsid w:val="00F213C2"/>
    <w:rsid w:val="00F22B98"/>
    <w:rsid w:val="00F74168"/>
    <w:rsid w:val="00F74C07"/>
    <w:rsid w:val="00F83DB9"/>
    <w:rsid w:val="00F84931"/>
    <w:rsid w:val="00F97E96"/>
    <w:rsid w:val="00FA281D"/>
    <w:rsid w:val="00FB56AF"/>
    <w:rsid w:val="00FC6C40"/>
    <w:rsid w:val="00FE0D61"/>
    <w:rsid w:val="00FE4F49"/>
    <w:rsid w:val="00FE57A5"/>
    <w:rsid w:val="00FF7E8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E5BD82"/>
  <w15:docId w15:val="{D9849D7C-05D6-4229-BAA0-E519F35F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w:hAnsi="Helvetica" w:cs="Arial Unicode MS"/>
      <w:color w:val="000000"/>
      <w:sz w:val="24"/>
      <w:szCs w:val="24"/>
    </w:rPr>
  </w:style>
  <w:style w:type="paragraph" w:customStyle="1" w:styleId="Cuerpo">
    <w:name w:val="Cuerpo"/>
    <w:rPr>
      <w:rFonts w:ascii="Cambria" w:eastAsia="Cambria" w:hAnsi="Cambria" w:cs="Cambria"/>
      <w:color w:val="000000"/>
      <w:sz w:val="24"/>
      <w:szCs w:val="24"/>
      <w:u w:color="000000"/>
      <w:lang w:val="es-ES_tradnl"/>
    </w:rPr>
  </w:style>
  <w:style w:type="character" w:customStyle="1" w:styleId="Ninguno">
    <w:name w:val="Ninguno"/>
    <w:rPr>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numbering" w:customStyle="1" w:styleId="Estiloimportado3">
    <w:name w:val="Estilo importado 3"/>
    <w:pPr>
      <w:numPr>
        <w:numId w:val="5"/>
      </w:numPr>
    </w:pPr>
  </w:style>
  <w:style w:type="paragraph" w:styleId="Paragraphedeliste">
    <w:name w:val="List Paragraph"/>
    <w:uiPriority w:val="34"/>
    <w:qFormat/>
    <w:pPr>
      <w:ind w:left="720"/>
    </w:pPr>
    <w:rPr>
      <w:rFonts w:ascii="Cambria" w:eastAsia="Cambria" w:hAnsi="Cambria" w:cs="Cambria"/>
      <w:color w:val="000000"/>
      <w:sz w:val="24"/>
      <w:szCs w:val="24"/>
      <w:u w:color="000000"/>
      <w:lang w:val="it-IT"/>
    </w:rPr>
  </w:style>
  <w:style w:type="numbering" w:customStyle="1" w:styleId="Estiloimportado4">
    <w:name w:val="Estilo importado 4"/>
    <w:pPr>
      <w:numPr>
        <w:numId w:val="9"/>
      </w:numPr>
    </w:pPr>
  </w:style>
  <w:style w:type="numbering" w:customStyle="1" w:styleId="Estiloimportado5">
    <w:name w:val="Estilo importado 5"/>
    <w:pPr>
      <w:numPr>
        <w:numId w:val="11"/>
      </w:numPr>
    </w:pPr>
  </w:style>
  <w:style w:type="numbering" w:customStyle="1" w:styleId="Estiloimportado6">
    <w:name w:val="Estilo importado 6"/>
    <w:pPr>
      <w:numPr>
        <w:numId w:val="13"/>
      </w:numPr>
    </w:pPr>
  </w:style>
  <w:style w:type="numbering" w:customStyle="1" w:styleId="Estiloimportado7">
    <w:name w:val="Estilo importado 7"/>
    <w:pPr>
      <w:numPr>
        <w:numId w:val="15"/>
      </w:numPr>
    </w:pPr>
  </w:style>
  <w:style w:type="numbering" w:customStyle="1" w:styleId="Estiloimportado8">
    <w:name w:val="Estilo importado 8"/>
    <w:pPr>
      <w:numPr>
        <w:numId w:val="17"/>
      </w:numPr>
    </w:pPr>
  </w:style>
  <w:style w:type="numbering" w:customStyle="1" w:styleId="Estiloimportado9">
    <w:name w:val="Estilo importado 9"/>
    <w:pPr>
      <w:numPr>
        <w:numId w:val="19"/>
      </w:numPr>
    </w:pPr>
  </w:style>
  <w:style w:type="numbering" w:customStyle="1" w:styleId="Estiloimportado10">
    <w:name w:val="Estilo importado 10"/>
    <w:pPr>
      <w:numPr>
        <w:numId w:val="21"/>
      </w:numPr>
    </w:pPr>
  </w:style>
  <w:style w:type="numbering" w:customStyle="1" w:styleId="Estiloimportado11">
    <w:name w:val="Estilo importado 11"/>
    <w:pPr>
      <w:numPr>
        <w:numId w:val="23"/>
      </w:numPr>
    </w:pPr>
  </w:style>
  <w:style w:type="numbering" w:customStyle="1" w:styleId="Estiloimportado12">
    <w:name w:val="Estilo importado 12"/>
    <w:pPr>
      <w:numPr>
        <w:numId w:val="25"/>
      </w:numPr>
    </w:pPr>
  </w:style>
  <w:style w:type="numbering" w:customStyle="1" w:styleId="Estiloimportado13">
    <w:name w:val="Estilo importado 13"/>
    <w:pPr>
      <w:numPr>
        <w:numId w:val="27"/>
      </w:numPr>
    </w:pPr>
  </w:style>
  <w:style w:type="numbering" w:customStyle="1" w:styleId="Estiloimportado14">
    <w:name w:val="Estilo importado 14"/>
    <w:pPr>
      <w:numPr>
        <w:numId w:val="29"/>
      </w:numPr>
    </w:pPr>
  </w:style>
  <w:style w:type="character" w:styleId="Marquedecommentaire">
    <w:name w:val="annotation reference"/>
    <w:basedOn w:val="Policepardfaut"/>
    <w:uiPriority w:val="99"/>
    <w:semiHidden/>
    <w:unhideWhenUsed/>
    <w:rsid w:val="00FB56AF"/>
    <w:rPr>
      <w:sz w:val="18"/>
      <w:szCs w:val="18"/>
    </w:rPr>
  </w:style>
  <w:style w:type="paragraph" w:styleId="Commentaire">
    <w:name w:val="annotation text"/>
    <w:basedOn w:val="Normal"/>
    <w:link w:val="CommentaireCar"/>
    <w:uiPriority w:val="99"/>
    <w:unhideWhenUsed/>
    <w:rsid w:val="00FB56AF"/>
  </w:style>
  <w:style w:type="character" w:customStyle="1" w:styleId="CommentaireCar">
    <w:name w:val="Commentaire Car"/>
    <w:basedOn w:val="Policepardfaut"/>
    <w:link w:val="Commentaire"/>
    <w:uiPriority w:val="99"/>
    <w:rsid w:val="00FB56AF"/>
    <w:rPr>
      <w:sz w:val="24"/>
      <w:szCs w:val="24"/>
      <w:lang w:val="en-US" w:eastAsia="en-US"/>
    </w:rPr>
  </w:style>
  <w:style w:type="paragraph" w:styleId="Objetducommentaire">
    <w:name w:val="annotation subject"/>
    <w:basedOn w:val="Commentaire"/>
    <w:next w:val="Commentaire"/>
    <w:link w:val="ObjetducommentaireCar"/>
    <w:uiPriority w:val="99"/>
    <w:semiHidden/>
    <w:unhideWhenUsed/>
    <w:rsid w:val="00FB56AF"/>
    <w:rPr>
      <w:b/>
      <w:bCs/>
      <w:sz w:val="20"/>
      <w:szCs w:val="20"/>
    </w:rPr>
  </w:style>
  <w:style w:type="character" w:customStyle="1" w:styleId="ObjetducommentaireCar">
    <w:name w:val="Objet du commentaire Car"/>
    <w:basedOn w:val="CommentaireCar"/>
    <w:link w:val="Objetducommentaire"/>
    <w:uiPriority w:val="99"/>
    <w:semiHidden/>
    <w:rsid w:val="00FB56AF"/>
    <w:rPr>
      <w:b/>
      <w:bCs/>
      <w:sz w:val="24"/>
      <w:szCs w:val="24"/>
      <w:lang w:val="en-US" w:eastAsia="en-US"/>
    </w:rPr>
  </w:style>
  <w:style w:type="paragraph" w:styleId="Textedebulles">
    <w:name w:val="Balloon Text"/>
    <w:basedOn w:val="Normal"/>
    <w:link w:val="TextedebullesCar"/>
    <w:uiPriority w:val="99"/>
    <w:semiHidden/>
    <w:unhideWhenUsed/>
    <w:rsid w:val="00FB56AF"/>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FB56AF"/>
    <w:rPr>
      <w:rFonts w:ascii="Lucida Grande" w:hAnsi="Lucida Grande" w:cs="Lucida Grande"/>
      <w:sz w:val="18"/>
      <w:szCs w:val="18"/>
      <w:lang w:val="en-US" w:eastAsia="en-US"/>
    </w:rPr>
  </w:style>
  <w:style w:type="paragraph" w:styleId="Rvision">
    <w:name w:val="Revision"/>
    <w:hidden/>
    <w:uiPriority w:val="99"/>
    <w:semiHidden/>
    <w:rsid w:val="00B6633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semiHidden/>
    <w:unhideWhenUsed/>
    <w:rsid w:val="00C0460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EastAsia"/>
      <w:bdr w:val="none" w:sz="0" w:space="0" w:color="auto"/>
      <w:lang w:val="en-GB" w:eastAsia="en-GB"/>
    </w:rPr>
  </w:style>
  <w:style w:type="paragraph" w:styleId="En-tte">
    <w:name w:val="header"/>
    <w:basedOn w:val="Normal"/>
    <w:link w:val="En-tteCar"/>
    <w:uiPriority w:val="99"/>
    <w:unhideWhenUsed/>
    <w:rsid w:val="0058262D"/>
    <w:pPr>
      <w:tabs>
        <w:tab w:val="center" w:pos="4513"/>
        <w:tab w:val="right" w:pos="9026"/>
      </w:tabs>
    </w:pPr>
  </w:style>
  <w:style w:type="character" w:customStyle="1" w:styleId="En-tteCar">
    <w:name w:val="En-tête Car"/>
    <w:basedOn w:val="Policepardfaut"/>
    <w:link w:val="En-tte"/>
    <w:uiPriority w:val="99"/>
    <w:rsid w:val="0058262D"/>
    <w:rPr>
      <w:sz w:val="24"/>
      <w:szCs w:val="24"/>
      <w:lang w:val="en-US" w:eastAsia="en-US"/>
    </w:rPr>
  </w:style>
  <w:style w:type="paragraph" w:styleId="Pieddepage">
    <w:name w:val="footer"/>
    <w:basedOn w:val="Normal"/>
    <w:link w:val="PieddepageCar"/>
    <w:uiPriority w:val="99"/>
    <w:unhideWhenUsed/>
    <w:rsid w:val="0058262D"/>
    <w:pPr>
      <w:tabs>
        <w:tab w:val="center" w:pos="4513"/>
        <w:tab w:val="right" w:pos="9026"/>
      </w:tabs>
    </w:pPr>
  </w:style>
  <w:style w:type="character" w:customStyle="1" w:styleId="PieddepageCar">
    <w:name w:val="Pied de page Car"/>
    <w:basedOn w:val="Policepardfaut"/>
    <w:link w:val="Pieddepage"/>
    <w:uiPriority w:val="99"/>
    <w:rsid w:val="0058262D"/>
    <w:rPr>
      <w:sz w:val="24"/>
      <w:szCs w:val="24"/>
      <w:lang w:val="en-US" w:eastAsia="en-US"/>
    </w:rPr>
  </w:style>
  <w:style w:type="paragraph" w:customStyle="1" w:styleId="Default">
    <w:name w:val="Default"/>
    <w:rsid w:val="00D4234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mbria" w:hAnsi="Cambria" w:cs="Cambria"/>
      <w:color w:val="000000"/>
      <w:sz w:val="24"/>
      <w:szCs w:val="24"/>
      <w:lang w:val="fr-FR"/>
    </w:rPr>
  </w:style>
  <w:style w:type="character" w:styleId="Mentionnonrsolue">
    <w:name w:val="Unresolved Mention"/>
    <w:basedOn w:val="Policepardfaut"/>
    <w:uiPriority w:val="99"/>
    <w:semiHidden/>
    <w:unhideWhenUsed/>
    <w:rsid w:val="006C64D5"/>
    <w:rPr>
      <w:color w:val="808080"/>
      <w:shd w:val="clear" w:color="auto" w:fill="E6E6E6"/>
    </w:rPr>
  </w:style>
  <w:style w:type="table" w:styleId="Grilledutableau">
    <w:name w:val="Table Grid"/>
    <w:basedOn w:val="TableauNormal"/>
    <w:uiPriority w:val="59"/>
    <w:rsid w:val="0006458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59"/>
    <w:rsid w:val="001437CF"/>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59"/>
    <w:rsid w:val="00B42A7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48026">
      <w:bodyDiv w:val="1"/>
      <w:marLeft w:val="0"/>
      <w:marRight w:val="0"/>
      <w:marTop w:val="0"/>
      <w:marBottom w:val="0"/>
      <w:divBdr>
        <w:top w:val="none" w:sz="0" w:space="0" w:color="auto"/>
        <w:left w:val="none" w:sz="0" w:space="0" w:color="auto"/>
        <w:bottom w:val="none" w:sz="0" w:space="0" w:color="auto"/>
        <w:right w:val="none" w:sz="0" w:space="0" w:color="auto"/>
      </w:divBdr>
    </w:div>
    <w:div w:id="67312461">
      <w:bodyDiv w:val="1"/>
      <w:marLeft w:val="0"/>
      <w:marRight w:val="0"/>
      <w:marTop w:val="0"/>
      <w:marBottom w:val="0"/>
      <w:divBdr>
        <w:top w:val="none" w:sz="0" w:space="0" w:color="auto"/>
        <w:left w:val="none" w:sz="0" w:space="0" w:color="auto"/>
        <w:bottom w:val="none" w:sz="0" w:space="0" w:color="auto"/>
        <w:right w:val="none" w:sz="0" w:space="0" w:color="auto"/>
      </w:divBdr>
    </w:div>
    <w:div w:id="576473493">
      <w:bodyDiv w:val="1"/>
      <w:marLeft w:val="0"/>
      <w:marRight w:val="0"/>
      <w:marTop w:val="0"/>
      <w:marBottom w:val="0"/>
      <w:divBdr>
        <w:top w:val="none" w:sz="0" w:space="0" w:color="auto"/>
        <w:left w:val="none" w:sz="0" w:space="0" w:color="auto"/>
        <w:bottom w:val="none" w:sz="0" w:space="0" w:color="auto"/>
        <w:right w:val="none" w:sz="0" w:space="0" w:color="auto"/>
      </w:divBdr>
      <w:divsChild>
        <w:div w:id="111438861">
          <w:marLeft w:val="0"/>
          <w:marRight w:val="0"/>
          <w:marTop w:val="0"/>
          <w:marBottom w:val="0"/>
          <w:divBdr>
            <w:top w:val="none" w:sz="0" w:space="0" w:color="auto"/>
            <w:left w:val="none" w:sz="0" w:space="0" w:color="auto"/>
            <w:bottom w:val="none" w:sz="0" w:space="0" w:color="auto"/>
            <w:right w:val="none" w:sz="0" w:space="0" w:color="auto"/>
          </w:divBdr>
        </w:div>
        <w:div w:id="1779331538">
          <w:marLeft w:val="0"/>
          <w:marRight w:val="0"/>
          <w:marTop w:val="0"/>
          <w:marBottom w:val="0"/>
          <w:divBdr>
            <w:top w:val="none" w:sz="0" w:space="0" w:color="auto"/>
            <w:left w:val="none" w:sz="0" w:space="0" w:color="auto"/>
            <w:bottom w:val="none" w:sz="0" w:space="0" w:color="auto"/>
            <w:right w:val="none" w:sz="0" w:space="0" w:color="auto"/>
          </w:divBdr>
        </w:div>
      </w:divsChild>
    </w:div>
    <w:div w:id="2125608239">
      <w:bodyDiv w:val="1"/>
      <w:marLeft w:val="0"/>
      <w:marRight w:val="0"/>
      <w:marTop w:val="0"/>
      <w:marBottom w:val="0"/>
      <w:divBdr>
        <w:top w:val="none" w:sz="0" w:space="0" w:color="auto"/>
        <w:left w:val="none" w:sz="0" w:space="0" w:color="auto"/>
        <w:bottom w:val="none" w:sz="0" w:space="0" w:color="auto"/>
        <w:right w:val="none" w:sz="0" w:space="0" w:color="auto"/>
      </w:divBdr>
    </w:div>
    <w:div w:id="21299335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a:ea typeface="Helvetica"/>
        <a:cs typeface="Helvetica"/>
      </a:majorFont>
      <a:minorFont>
        <a:latin typeface="Helvetica"/>
        <a:ea typeface="Helvetica"/>
        <a:cs typeface="Helvetica"/>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AFCF2-771F-42F8-9D96-8EF4F2B0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639</Words>
  <Characters>3518</Characters>
  <Application>Microsoft Office Word</Application>
  <DocSecurity>0</DocSecurity>
  <Lines>29</Lines>
  <Paragraphs>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Kennedy Centret</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ESSTS</dc:creator>
  <cp:lastModifiedBy>Christelle Nilles</cp:lastModifiedBy>
  <cp:revision>9</cp:revision>
  <cp:lastPrinted>2018-06-03T09:54:00Z</cp:lastPrinted>
  <dcterms:created xsi:type="dcterms:W3CDTF">2023-04-09T18:31:00Z</dcterms:created>
  <dcterms:modified xsi:type="dcterms:W3CDTF">2023-04-09T18:47:00Z</dcterms:modified>
</cp:coreProperties>
</file>