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E050" w14:textId="5E4D29EE" w:rsidR="1961470B" w:rsidRDefault="1961470B" w:rsidP="168C6140">
      <w:pPr>
        <w:rPr>
          <w:b/>
          <w:bCs/>
          <w:lang w:val="en-GB"/>
        </w:rPr>
      </w:pPr>
      <w:r w:rsidRPr="168C6140">
        <w:rPr>
          <w:b/>
          <w:bCs/>
          <w:lang w:val="en-GB"/>
        </w:rPr>
        <w:t xml:space="preserve">Physical </w:t>
      </w:r>
      <w:r w:rsidR="46C18936" w:rsidRPr="168C6140">
        <w:rPr>
          <w:b/>
          <w:bCs/>
          <w:lang w:val="en-GB"/>
        </w:rPr>
        <w:t>d</w:t>
      </w:r>
      <w:r w:rsidR="16EF6F24" w:rsidRPr="168C6140">
        <w:rPr>
          <w:b/>
          <w:bCs/>
          <w:lang w:val="en-GB"/>
        </w:rPr>
        <w:t xml:space="preserve">isability and </w:t>
      </w:r>
      <w:r w:rsidR="561CD23D" w:rsidRPr="168C6140">
        <w:rPr>
          <w:b/>
          <w:bCs/>
          <w:lang w:val="en-GB"/>
        </w:rPr>
        <w:t>d</w:t>
      </w:r>
      <w:r w:rsidR="339F3BFF" w:rsidRPr="168C6140">
        <w:rPr>
          <w:b/>
          <w:bCs/>
          <w:lang w:val="en-GB"/>
        </w:rPr>
        <w:t xml:space="preserve">amage to infrastructure in Ukraine following the 2022 </w:t>
      </w:r>
      <w:r w:rsidR="267D4BA2" w:rsidRPr="168C6140">
        <w:rPr>
          <w:b/>
          <w:bCs/>
          <w:lang w:val="en-GB"/>
        </w:rPr>
        <w:t xml:space="preserve">Russian </w:t>
      </w:r>
      <w:r w:rsidR="339F3BFF" w:rsidRPr="168C6140">
        <w:rPr>
          <w:b/>
          <w:bCs/>
          <w:lang w:val="en-GB"/>
        </w:rPr>
        <w:t>invasion</w:t>
      </w:r>
    </w:p>
    <w:p w14:paraId="3E7A9F1C" w14:textId="77777777" w:rsidR="001F11E5" w:rsidRPr="001F11E5" w:rsidRDefault="001F11E5">
      <w:pPr>
        <w:rPr>
          <w:b/>
          <w:lang w:val="en-GB"/>
        </w:rPr>
      </w:pPr>
      <w:r w:rsidRPr="001F11E5">
        <w:rPr>
          <w:b/>
          <w:lang w:val="en-GB"/>
        </w:rPr>
        <w:t>Introduction</w:t>
      </w:r>
    </w:p>
    <w:p w14:paraId="2EE2C1FE" w14:textId="5B1D8A84" w:rsidR="001F11E5" w:rsidRPr="001F11E5" w:rsidRDefault="00BF1781" w:rsidP="5D26A8A4">
      <w:pPr>
        <w:pStyle w:val="a5"/>
        <w:rPr>
          <w:rFonts w:asciiTheme="minorHAnsi" w:hAnsiTheme="minorHAnsi" w:cstheme="minorBidi"/>
          <w:sz w:val="22"/>
          <w:szCs w:val="22"/>
        </w:rPr>
      </w:pPr>
      <w:r w:rsidRPr="5D26A8A4">
        <w:rPr>
          <w:rFonts w:asciiTheme="minorHAnsi" w:hAnsiTheme="minorHAnsi" w:cstheme="minorBidi"/>
          <w:sz w:val="22"/>
          <w:szCs w:val="22"/>
        </w:rPr>
        <w:t>The Rapid Damage and Needs Assessment</w:t>
      </w:r>
      <w:r w:rsidR="5188AAFE" w:rsidRPr="5D26A8A4">
        <w:rPr>
          <w:rFonts w:asciiTheme="minorHAnsi" w:hAnsiTheme="minorHAnsi" w:cstheme="minorBidi"/>
          <w:sz w:val="22"/>
          <w:szCs w:val="22"/>
        </w:rPr>
        <w:t>s 4 and</w:t>
      </w:r>
      <w:r w:rsidRPr="5D26A8A4">
        <w:rPr>
          <w:rFonts w:asciiTheme="minorHAnsi" w:hAnsiTheme="minorHAnsi" w:cstheme="minorBidi"/>
          <w:sz w:val="22"/>
          <w:szCs w:val="22"/>
        </w:rPr>
        <w:t xml:space="preserve"> 5 (RDNA</w:t>
      </w:r>
      <w:r w:rsidR="5C935DF6" w:rsidRPr="5D26A8A4">
        <w:rPr>
          <w:rFonts w:asciiTheme="minorHAnsi" w:hAnsiTheme="minorHAnsi" w:cstheme="minorBidi"/>
          <w:sz w:val="22"/>
          <w:szCs w:val="22"/>
        </w:rPr>
        <w:t>4 (2022-2024), RDNA</w:t>
      </w:r>
      <w:r w:rsidRPr="5D26A8A4">
        <w:rPr>
          <w:rFonts w:asciiTheme="minorHAnsi" w:hAnsiTheme="minorHAnsi" w:cstheme="minorBidi"/>
          <w:sz w:val="22"/>
          <w:szCs w:val="22"/>
        </w:rPr>
        <w:t>5</w:t>
      </w:r>
      <w:r w:rsidR="6DB67F5B" w:rsidRPr="5D26A8A4">
        <w:rPr>
          <w:rFonts w:asciiTheme="minorHAnsi" w:hAnsiTheme="minorHAnsi" w:cstheme="minorBidi"/>
          <w:sz w:val="22"/>
          <w:szCs w:val="22"/>
        </w:rPr>
        <w:t xml:space="preserve"> (</w:t>
      </w:r>
      <w:r w:rsidR="459D8DAD" w:rsidRPr="5D26A8A4">
        <w:rPr>
          <w:rFonts w:asciiTheme="minorHAnsi" w:hAnsiTheme="minorHAnsi" w:cstheme="minorBidi"/>
          <w:sz w:val="22"/>
          <w:szCs w:val="22"/>
        </w:rPr>
        <w:t>2022-</w:t>
      </w:r>
      <w:r w:rsidR="6DB67F5B" w:rsidRPr="5D26A8A4">
        <w:rPr>
          <w:rFonts w:asciiTheme="minorHAnsi" w:hAnsiTheme="minorHAnsi" w:cstheme="minorBidi"/>
          <w:sz w:val="22"/>
          <w:szCs w:val="22"/>
        </w:rPr>
        <w:t>2025)</w:t>
      </w:r>
      <w:r w:rsidRPr="5D26A8A4">
        <w:rPr>
          <w:rFonts w:asciiTheme="minorHAnsi" w:hAnsiTheme="minorHAnsi" w:cstheme="minorBidi"/>
          <w:sz w:val="22"/>
          <w:szCs w:val="22"/>
        </w:rPr>
        <w:t xml:space="preserve">), produced by the World Bank, the Government of Ukraine, the European Commission, and the United Nations, assess damage and needs resulting from the war in Ukraine over the period from February 2022 to December 2025. </w:t>
      </w:r>
      <w:r w:rsidR="3835B01C" w:rsidRPr="5D26A8A4">
        <w:rPr>
          <w:rFonts w:asciiTheme="minorHAnsi" w:hAnsiTheme="minorHAnsi" w:cstheme="minorBidi"/>
          <w:sz w:val="22"/>
          <w:szCs w:val="22"/>
        </w:rPr>
        <w:t xml:space="preserve">They </w:t>
      </w:r>
      <w:r w:rsidRPr="5D26A8A4">
        <w:rPr>
          <w:rFonts w:asciiTheme="minorHAnsi" w:hAnsiTheme="minorHAnsi" w:cstheme="minorBidi"/>
          <w:sz w:val="22"/>
          <w:szCs w:val="22"/>
        </w:rPr>
        <w:t>show that infrastructure damage remains severe after nearly four years of war. As of December 2025, total direct damage was estimated at US$</w:t>
      </w:r>
      <w:r w:rsidR="00E42E1B" w:rsidRPr="5D26A8A4">
        <w:rPr>
          <w:rFonts w:asciiTheme="minorHAnsi" w:hAnsiTheme="minorHAnsi" w:cstheme="minorBidi"/>
          <w:sz w:val="22"/>
          <w:szCs w:val="22"/>
          <w:lang w:val="uk-UA"/>
        </w:rPr>
        <w:t xml:space="preserve"> </w:t>
      </w:r>
      <w:r w:rsidRPr="5D26A8A4">
        <w:rPr>
          <w:rFonts w:asciiTheme="minorHAnsi" w:hAnsiTheme="minorHAnsi" w:cstheme="minorBidi"/>
          <w:sz w:val="22"/>
          <w:szCs w:val="22"/>
        </w:rPr>
        <w:t>195.1 billion</w:t>
      </w:r>
      <w:r w:rsidR="488F85E2" w:rsidRPr="5D26A8A4">
        <w:rPr>
          <w:rFonts w:asciiTheme="minorHAnsi" w:hAnsiTheme="minorHAnsi" w:cstheme="minorBidi"/>
          <w:sz w:val="22"/>
          <w:szCs w:val="22"/>
        </w:rPr>
        <w:t>. M</w:t>
      </w:r>
      <w:r w:rsidR="001F11E5" w:rsidRPr="5D26A8A4">
        <w:rPr>
          <w:rFonts w:asciiTheme="minorHAnsi" w:hAnsiTheme="minorHAnsi" w:cstheme="minorBidi"/>
          <w:sz w:val="22"/>
          <w:szCs w:val="22"/>
        </w:rPr>
        <w:t xml:space="preserve">ore than </w:t>
      </w:r>
      <w:r w:rsidR="001F11E5" w:rsidRPr="5D26A8A4">
        <w:rPr>
          <w:rStyle w:val="a3"/>
          <w:rFonts w:asciiTheme="minorHAnsi" w:hAnsiTheme="minorHAnsi" w:cstheme="minorBidi"/>
          <w:b w:val="0"/>
          <w:bCs w:val="0"/>
          <w:sz w:val="22"/>
          <w:szCs w:val="22"/>
        </w:rPr>
        <w:t>4.6 million people</w:t>
      </w:r>
      <w:r w:rsidR="001F11E5" w:rsidRPr="5D26A8A4">
        <w:rPr>
          <w:rFonts w:asciiTheme="minorHAnsi" w:hAnsiTheme="minorHAnsi" w:cstheme="minorBidi"/>
          <w:sz w:val="22"/>
          <w:szCs w:val="22"/>
        </w:rPr>
        <w:t xml:space="preserve"> were internally displaced, and millions had lost their homes. Repeated attacks during the winter disrupted electricity and heating, reversing earlier recovery efforts and leaving many without reliable access to basic services. </w:t>
      </w:r>
    </w:p>
    <w:p w14:paraId="0787A02A" w14:textId="510A1842" w:rsidR="002A0D00" w:rsidRPr="00AA5B19" w:rsidRDefault="001F11E5" w:rsidP="5D26A8A4">
      <w:pPr>
        <w:pStyle w:val="a5"/>
        <w:rPr>
          <w:rFonts w:asciiTheme="minorHAnsi" w:hAnsiTheme="minorHAnsi" w:cstheme="minorBidi"/>
          <w:sz w:val="22"/>
          <w:szCs w:val="22"/>
        </w:rPr>
      </w:pPr>
      <w:r w:rsidRPr="5D26A8A4">
        <w:rPr>
          <w:rFonts w:asciiTheme="minorHAnsi" w:hAnsiTheme="minorHAnsi" w:cstheme="minorBidi"/>
          <w:sz w:val="22"/>
          <w:szCs w:val="22"/>
        </w:rPr>
        <w:t>For disabled people, this damage is not only a matter of general reconstruction</w:t>
      </w:r>
      <w:r w:rsidR="4EB6F119" w:rsidRPr="5D26A8A4">
        <w:rPr>
          <w:rFonts w:asciiTheme="minorHAnsi" w:hAnsiTheme="minorHAnsi" w:cstheme="minorBidi"/>
          <w:sz w:val="22"/>
          <w:szCs w:val="22"/>
        </w:rPr>
        <w:t xml:space="preserve"> but </w:t>
      </w:r>
      <w:r w:rsidRPr="5D26A8A4">
        <w:rPr>
          <w:rFonts w:asciiTheme="minorHAnsi" w:hAnsiTheme="minorHAnsi" w:cstheme="minorBidi"/>
          <w:sz w:val="22"/>
          <w:szCs w:val="22"/>
        </w:rPr>
        <w:t xml:space="preserve">directly affects </w:t>
      </w:r>
      <w:r w:rsidR="296D2F63" w:rsidRPr="5D26A8A4">
        <w:rPr>
          <w:rFonts w:asciiTheme="minorHAnsi" w:hAnsiTheme="minorHAnsi" w:cstheme="minorBidi"/>
          <w:sz w:val="22"/>
          <w:szCs w:val="22"/>
        </w:rPr>
        <w:t>thei</w:t>
      </w:r>
      <w:r w:rsidRPr="5D26A8A4">
        <w:rPr>
          <w:rFonts w:asciiTheme="minorHAnsi" w:hAnsiTheme="minorHAnsi" w:cstheme="minorBidi"/>
          <w:sz w:val="22"/>
          <w:szCs w:val="22"/>
        </w:rPr>
        <w:t>r daily life. Safe return depends not only on security, but also on the availability of accessible housing, reliable electricity and heating, functioning transport, safe water and sanitation, healthcare, rehabilitation, and local support in the places to which people may return. RDNA5 identifies disabled people as one of the groups most affected by the war and notes that both the prevalence and severity of disability are increasing.</w:t>
      </w:r>
    </w:p>
    <w:p w14:paraId="24BF3179" w14:textId="284770D3" w:rsidR="004F412D" w:rsidRDefault="004F412D">
      <w:r>
        <w:t xml:space="preserve">This </w:t>
      </w:r>
      <w:r w:rsidR="20D5644E">
        <w:t>wa</w:t>
      </w:r>
      <w:r>
        <w:t xml:space="preserve">s </w:t>
      </w:r>
      <w:r w:rsidR="20D5644E">
        <w:t xml:space="preserve">very evident </w:t>
      </w:r>
      <w:r w:rsidR="140EBF5A">
        <w:t>in</w:t>
      </w:r>
      <w:r>
        <w:t xml:space="preserve"> our UK</w:t>
      </w:r>
      <w:r w:rsidR="00C21354">
        <w:t xml:space="preserve"> qualitative</w:t>
      </w:r>
      <w:r>
        <w:t xml:space="preserve"> research</w:t>
      </w:r>
      <w:r w:rsidR="4C0D604B">
        <w:t xml:space="preserve"> with disabled Ukrainian refugees in the UK</w:t>
      </w:r>
      <w:r>
        <w:t>. Most participants came from cities and oblasts affected by active hostilities, occupation, destruction, or repeated air attacks, including Donetsk, Zaporizhzhia, Kherson, Kyiv, Kharkiv, Chernihiv, D</w:t>
      </w:r>
      <w:r w:rsidR="00C21354">
        <w:t>nipro and Odesa</w:t>
      </w:r>
      <w:r w:rsidR="51555AE3">
        <w:t xml:space="preserve"> (</w:t>
      </w:r>
      <w:r w:rsidR="71ACAA25">
        <w:t xml:space="preserve">see </w:t>
      </w:r>
      <w:r w:rsidR="51555AE3">
        <w:t>Appendix)</w:t>
      </w:r>
      <w:r w:rsidR="00C21354">
        <w:t xml:space="preserve">. </w:t>
      </w:r>
      <w:r w:rsidR="1FCE1C61">
        <w:t xml:space="preserve">Our </w:t>
      </w:r>
      <w:r w:rsidR="00C21354">
        <w:t>sample</w:t>
      </w:r>
      <w:r>
        <w:t xml:space="preserve"> include</w:t>
      </w:r>
      <w:r w:rsidR="24940062">
        <w:t>d</w:t>
      </w:r>
      <w:r>
        <w:t xml:space="preserve"> a high number of people with physical or mobility-related disabilities, alongside participants with neurological, visual, hearing, and chronic health conditions. These are groups likely to be particularly</w:t>
      </w:r>
      <w:r w:rsidR="006A1286">
        <w:t xml:space="preserve"> </w:t>
      </w:r>
      <w:r>
        <w:t>affected by damage to housing, transport, healthcare, utilities, and accessibility.</w:t>
      </w:r>
    </w:p>
    <w:p w14:paraId="28EE698C" w14:textId="77777777" w:rsidR="00CA5F0D" w:rsidRPr="00CA5F0D" w:rsidRDefault="00B67775">
      <w:pPr>
        <w:rPr>
          <w:b/>
        </w:rPr>
      </w:pPr>
      <w:r w:rsidRPr="00CA5F0D">
        <w:rPr>
          <w:b/>
        </w:rPr>
        <w:t>General overview on eac</w:t>
      </w:r>
      <w:r w:rsidR="00CA5F0D">
        <w:rPr>
          <w:b/>
        </w:rPr>
        <w:t>h sector</w:t>
      </w:r>
    </w:p>
    <w:p w14:paraId="3B4D3AED" w14:textId="77777777" w:rsidR="0017716F" w:rsidRPr="00CA5F0D" w:rsidRDefault="004F412D" w:rsidP="0017716F">
      <w:pPr>
        <w:pStyle w:val="a4"/>
        <w:numPr>
          <w:ilvl w:val="0"/>
          <w:numId w:val="2"/>
        </w:numPr>
        <w:rPr>
          <w:b/>
        </w:rPr>
      </w:pPr>
      <w:r w:rsidRPr="00CA5F0D">
        <w:rPr>
          <w:b/>
        </w:rPr>
        <w:t xml:space="preserve">Housing </w:t>
      </w:r>
    </w:p>
    <w:p w14:paraId="54E724D2" w14:textId="4DECD698" w:rsidR="0099381B" w:rsidRDefault="00CA5F0D">
      <w:r>
        <w:t xml:space="preserve">Housing remains one of the most damaged sectors. RDNA5 estimates that 14% of Ukraine’s housing stock has been damaged or destroyed, affecting more than 3 million households. Earlier RDNA analysis shows that damage has affected multifamily apartment buildings, single-family houses, and dormitories, with particularly high concentrations in Donetska, Kharkivska, Luhanska, and Kyiv regions. </w:t>
      </w:r>
      <w:r w:rsidR="640943EF">
        <w:t xml:space="preserve">This analysis </w:t>
      </w:r>
      <w:r>
        <w:t>also highlights wider losses linked to demolition and debris removal, emergency and temporary housing support, and rental pressures created by displacement. For disabled people, the issue is not only the loss of housing in general, but the shortage of housing that is physically accessible, affordable, and located near healthcare, rehabilitation, transport, and social support. RDNA</w:t>
      </w:r>
      <w:r w:rsidR="5A0D6FCA">
        <w:t xml:space="preserve"> </w:t>
      </w:r>
      <w:r w:rsidR="52150230">
        <w:t>4 and RNDA5</w:t>
      </w:r>
      <w:r w:rsidR="627BBFA0">
        <w:t xml:space="preserve"> </w:t>
      </w:r>
      <w:r>
        <w:t>also note that suitable housing remains difficult to find for disabled people and that this is slowing efforts to move people out of institutions and into community-based living.</w:t>
      </w:r>
    </w:p>
    <w:p w14:paraId="1CE1A636" w14:textId="0AC0174F" w:rsidR="0017716F" w:rsidRPr="0058364A" w:rsidRDefault="004F412D" w:rsidP="168C6140">
      <w:pPr>
        <w:pStyle w:val="a4"/>
        <w:numPr>
          <w:ilvl w:val="0"/>
          <w:numId w:val="3"/>
        </w:numPr>
        <w:rPr>
          <w:b/>
          <w:bCs/>
        </w:rPr>
      </w:pPr>
      <w:r w:rsidRPr="5D26A8A4">
        <w:rPr>
          <w:b/>
          <w:bCs/>
        </w:rPr>
        <w:t>Energy</w:t>
      </w:r>
    </w:p>
    <w:p w14:paraId="149EE360" w14:textId="0214B9F7" w:rsidR="0058364A" w:rsidRDefault="431854FC" w:rsidP="5D26A8A4">
      <w:r>
        <w:t>A</w:t>
      </w:r>
      <w:r w:rsidR="0058364A">
        <w:t>ttacks have caused extensive damage across the integrated energy system, including power generation, transmission, and distribution infrastructure, as well as district heating</w:t>
      </w:r>
      <w:r w:rsidR="67A0BD3E">
        <w:t xml:space="preserve"> (RDNA4)</w:t>
      </w:r>
      <w:r w:rsidR="0058364A">
        <w:t xml:space="preserve">. These attacks have left available generation capacity below peak winter demand and have disrupted heating, water supply and sanitation, telecommunications, transport, and health services. RDNA5 further notes that vulnerable groups, including disabled people, were disproportionately affected by disruptions to electricity, heating, and water supply. For disabled people, blackouts disable lifts, heating, hot water, refrigeration for medicines, charging of communication devices, and the use of medical or assistive equipment that depends </w:t>
      </w:r>
      <w:r w:rsidR="0058364A">
        <w:lastRenderedPageBreak/>
        <w:t>on electricity. RDNA4 also notes that residents of high-rise buildings, especially people with low mobility, older people, and families with small children, have been particularly affected by cuts in elevator service.</w:t>
      </w:r>
    </w:p>
    <w:p w14:paraId="159DC049" w14:textId="77777777" w:rsidR="0017716F" w:rsidRPr="0058364A" w:rsidRDefault="004F412D" w:rsidP="0058364A">
      <w:pPr>
        <w:pStyle w:val="a4"/>
        <w:numPr>
          <w:ilvl w:val="0"/>
          <w:numId w:val="3"/>
        </w:numPr>
        <w:rPr>
          <w:b/>
        </w:rPr>
      </w:pPr>
      <w:r w:rsidRPr="0058364A">
        <w:rPr>
          <w:b/>
        </w:rPr>
        <w:t>Transport</w:t>
      </w:r>
    </w:p>
    <w:p w14:paraId="1B07CC41" w14:textId="30252A4A" w:rsidR="00CB7B88" w:rsidRDefault="0058364A">
      <w:r>
        <w:t xml:space="preserve">Transport damage limits movement, evacuation, and access to services. </w:t>
      </w:r>
      <w:r w:rsidR="7FA1DEC7">
        <w:t>D</w:t>
      </w:r>
      <w:r>
        <w:t xml:space="preserve">amage remains especially concentrated in Donetska, Kharkivska, Zaporizka, and Khersonska oblasts. </w:t>
      </w:r>
      <w:r w:rsidR="6B99D243">
        <w:t xml:space="preserve">RDNA4 </w:t>
      </w:r>
      <w:r>
        <w:t xml:space="preserve">also notes continuing strain on both local and national networks, including repeated attacks on railway infrastructure. For disabled people, transport damage affects far more than travel in the narrow sense. It can </w:t>
      </w:r>
      <w:r w:rsidR="17062633">
        <w:t xml:space="preserve">also </w:t>
      </w:r>
      <w:r>
        <w:t xml:space="preserve">make it harder or impossible to reach hospitals, pharmacies, rehabilitation, administrative services, safe housing, or shelters in emergencies. </w:t>
      </w:r>
    </w:p>
    <w:p w14:paraId="78C1DFF6" w14:textId="77777777" w:rsidR="00F80E21" w:rsidRPr="0058364A" w:rsidRDefault="004F412D" w:rsidP="0058364A">
      <w:pPr>
        <w:pStyle w:val="a4"/>
        <w:numPr>
          <w:ilvl w:val="0"/>
          <w:numId w:val="3"/>
        </w:numPr>
        <w:rPr>
          <w:rFonts w:ascii="Times New Roman" w:eastAsia="Times New Roman" w:hAnsi="Times New Roman" w:cs="Times New Roman"/>
          <w:b/>
          <w:sz w:val="24"/>
          <w:szCs w:val="24"/>
        </w:rPr>
      </w:pPr>
      <w:r w:rsidRPr="0058364A">
        <w:rPr>
          <w:b/>
        </w:rPr>
        <w:t>Water and sanitation</w:t>
      </w:r>
    </w:p>
    <w:p w14:paraId="4CDB51A3" w14:textId="2375D5BA" w:rsidR="00CB7B88" w:rsidRDefault="0058364A">
      <w:r>
        <w:t xml:space="preserve">RDNA4 shows that the sector has struggled to maintain services under attack, with infrastructure damage concentrated particularly in wastewater treatment plants, wastewater networks, and drinking water networks. It also notes that millions of people face intermittent or unsafe water services, while absent or inadequate wastewater treatment creates wider health and environmental risks. Power outages and disruption to electricity and gas supply have further undermined service delivery. RDNA5 notes that disabled people were </w:t>
      </w:r>
      <w:r w:rsidR="3DE30AB4">
        <w:t>particular</w:t>
      </w:r>
      <w:r>
        <w:t xml:space="preserve">ly affected by disruptions to electricity, heating, and water supply. For disabled people, this has direct consequences for hygiene, infection prevention, continence management, home care, and independent living. </w:t>
      </w:r>
    </w:p>
    <w:p w14:paraId="59400624" w14:textId="77777777" w:rsidR="00F80E21" w:rsidRPr="0058364A" w:rsidRDefault="00CB7B88" w:rsidP="004F412D">
      <w:pPr>
        <w:pStyle w:val="a4"/>
        <w:numPr>
          <w:ilvl w:val="0"/>
          <w:numId w:val="3"/>
        </w:numPr>
        <w:rPr>
          <w:b/>
        </w:rPr>
      </w:pPr>
      <w:r w:rsidRPr="0058364A">
        <w:rPr>
          <w:b/>
        </w:rPr>
        <w:t>Health and support services</w:t>
      </w:r>
    </w:p>
    <w:p w14:paraId="1FF67630" w14:textId="38BAD87E" w:rsidR="004F412D" w:rsidRDefault="0058364A" w:rsidP="168C6140">
      <w:r>
        <w:t xml:space="preserve">RDNA4 reports that, of 9,925 pre-war public healthcare facilities, 1,603 had been partially or fully damaged by the end of 2024, alongside damage to pharmacies and ambulances. It also notes growing pressure on service delivery, rising needs for mental health and trauma care, shortages of health workers in heavily affected oblasts, and wider risks from </w:t>
      </w:r>
      <w:r w:rsidR="49ED1834">
        <w:t xml:space="preserve">unmet </w:t>
      </w:r>
      <w:r>
        <w:t>care and reduced preventive services. For disabled people, the issue extends beyond hospitals alone. It includes access to medication, rehabilitation, outpatient care, assistive support, community-based services, home-based care, and continuity of treatment. RDNA4 also notes that disabled people continue to face barriers in accessing services and that inaccessible social services and care remain a major problem in Ukraine. According to the Ministry of Social Policy of Ukraine, in 2024 around 3,000 people were re-institutionalised following displacement because of inadequate social service capacity, while more than 18,600 disabled or older people requiring care were identified as in urgent need of evacuation and relocation. In our study, many participants depended on regular treatment, medication, or specialist support, meaning that damage to facilities, service disruption, or staff displacement may directly interrupt essential care</w:t>
      </w:r>
      <w:r w:rsidR="7540AF42">
        <w:t>.</w:t>
      </w:r>
    </w:p>
    <w:p w14:paraId="7BB1C722" w14:textId="77777777" w:rsidR="0058364A" w:rsidRDefault="0058364A" w:rsidP="0058364A">
      <w:pPr>
        <w:pStyle w:val="a4"/>
        <w:numPr>
          <w:ilvl w:val="0"/>
          <w:numId w:val="3"/>
        </w:numPr>
        <w:rPr>
          <w:rStyle w:val="a3"/>
        </w:rPr>
      </w:pPr>
      <w:r w:rsidRPr="0058364A">
        <w:rPr>
          <w:rStyle w:val="a3"/>
        </w:rPr>
        <w:t>Explosive hazards management</w:t>
      </w:r>
    </w:p>
    <w:p w14:paraId="041C34E1" w14:textId="76944CC6" w:rsidR="00A15DCD" w:rsidRPr="00955281" w:rsidRDefault="0058364A" w:rsidP="004F412D">
      <w:pPr>
        <w:rPr>
          <w:b/>
          <w:bCs/>
          <w:lang w:val="uk-UA"/>
        </w:rPr>
      </w:pPr>
      <w:r>
        <w:t xml:space="preserve">Explosive hazards should also be treated as a major accessibility and return issue. RDNA5 shows that, by December 2025, an estimated 132,076 km² of land and 14,000 km² of water remained affected or at risk from mines and other explosive remnants of war, despite measurable progress in land release. It reports 472 people killed and 1,188 injured in mine- and </w:t>
      </w:r>
      <w:r w:rsidR="1084959A">
        <w:t>ERW</w:t>
      </w:r>
      <w:r w:rsidR="70C0C987">
        <w:t xml:space="preserve"> </w:t>
      </w:r>
      <w:r w:rsidR="1084959A">
        <w:t>(Explosive Remnants of War)</w:t>
      </w:r>
      <w:r>
        <w:t xml:space="preserve">-related incidents between February 2022 and December 2025, and identifies major impacts in Kharkivska, Donetska, Luhanska, Khersonska, Zaporizka, Chernihivska, and Mykolaivska oblasts. RDNA4 further notes that explosive incidents often cause severe physical impairments and lifelong disabilities, while fear of contamination restricts movement, access to farmland, use of infrastructure, and access to services. For disabled people, explosive hazards are not only a source of new injury but a barrier to safe mobility, return, </w:t>
      </w:r>
      <w:r>
        <w:lastRenderedPageBreak/>
        <w:t xml:space="preserve">reconstruction, and daily independence. Contamination of housing areas, transport corridors, community infrastructure, and public spaces may make environments unsafe or unusable even where buildings remain standing. </w:t>
      </w:r>
    </w:p>
    <w:p w14:paraId="1F8E50F5" w14:textId="0EB9E723" w:rsidR="1666E5F7" w:rsidRDefault="1666E5F7"/>
    <w:p w14:paraId="6D904087" w14:textId="75E03841" w:rsidR="1666E5F7" w:rsidRDefault="1666E5F7"/>
    <w:p w14:paraId="78922345" w14:textId="77777777" w:rsidR="008E40F8" w:rsidRPr="00A15DCD" w:rsidRDefault="00A15DCD" w:rsidP="004F412D">
      <w:pPr>
        <w:rPr>
          <w:b/>
        </w:rPr>
      </w:pPr>
      <w:r w:rsidRPr="00A15DCD">
        <w:rPr>
          <w:b/>
        </w:rPr>
        <w:t>FOI from Ministry for Development of Communities and Territories</w:t>
      </w:r>
    </w:p>
    <w:p w14:paraId="05D30E57" w14:textId="6C0511CF" w:rsidR="00F8259B" w:rsidRDefault="008E40F8" w:rsidP="004F412D">
      <w:r>
        <w:t>This wider picture is reinforced by 2025 monitoring from Ukraine’s Ministry for Development of Communities and Territories, obtained through our F</w:t>
      </w:r>
      <w:r w:rsidR="41129766">
        <w:t>reedom of Information</w:t>
      </w:r>
      <w:r>
        <w:t xml:space="preserve"> request</w:t>
      </w:r>
      <w:r w:rsidR="0410FD6E">
        <w:t xml:space="preserve"> (MinRegion</w:t>
      </w:r>
      <w:r w:rsidR="41038A60">
        <w:t xml:space="preserve"> 2025</w:t>
      </w:r>
      <w:r w:rsidR="0410FD6E">
        <w:t xml:space="preserve">, </w:t>
      </w:r>
      <w:r w:rsidR="5078D882">
        <w:t>personal communication</w:t>
      </w:r>
      <w:r w:rsidR="0410FD6E">
        <w:t>)</w:t>
      </w:r>
      <w:r>
        <w:t>. It found that only 42.1% of public infrastructure had been assessed for accessibility and, of the infrastructure that was assessed, 74.5% was not accessible, 17% was partially accessible, and only 8.5% was fully accessible. The highest levels of inaccessibility were recorded in regions where many of our participants come from, including Kyiv region (94.4%), Kharkiv region (79.4%), Chernihiv region (92.8%), Odesa region (69.1%), Donetsk region (92.2%), Kherson region (63.1%), and Zaporizhzhia region (99.1%). Many of these areas are classified as zones of active hostilities, occupied or destroyed territories, or cities under regular air strikes. This suggests that even where infrastructure remains standing, it may still be unusable for many disabled people.</w:t>
      </w:r>
    </w:p>
    <w:p w14:paraId="4BC41DAC" w14:textId="77777777" w:rsidR="00F8259B" w:rsidRDefault="00F8259B" w:rsidP="004F412D">
      <w:r>
        <w:t>The monitoring also shows that accessibility problems are especially severe in the systems disabled people may rely on most: 53.2% of healthcare facilities are not accessible, 72.6% of buildings providing social services and social protection are not accessible, 65.6% of streets leading to healthcare facilities are not accessible, and 72.2% of public transport infrastructure is not accessible. In Kyiv Underground, only 3.3% is accessible.</w:t>
      </w:r>
    </w:p>
    <w:p w14:paraId="041408B7" w14:textId="77777777" w:rsidR="00A15DCD" w:rsidRPr="00A15DCD" w:rsidRDefault="00A15DCD" w:rsidP="00A15DCD">
      <w:pPr>
        <w:rPr>
          <w:b/>
        </w:rPr>
      </w:pPr>
      <w:r w:rsidRPr="00A15DCD">
        <w:rPr>
          <w:b/>
        </w:rPr>
        <w:t>Disability focused research</w:t>
      </w:r>
    </w:p>
    <w:p w14:paraId="2B187F73" w14:textId="3D151992" w:rsidR="00B9546E" w:rsidRDefault="00A15DCD" w:rsidP="004F412D">
      <w:r>
        <w:t xml:space="preserve">Disability-focused monitoring of temporary accommodation conducted in 2024 by Fight </w:t>
      </w:r>
      <w:proofErr w:type="gramStart"/>
      <w:r>
        <w:t>For</w:t>
      </w:r>
      <w:proofErr w:type="gramEnd"/>
      <w:r>
        <w:t xml:space="preserve"> Right, </w:t>
      </w:r>
      <w:r w:rsidR="6C2F3506">
        <w:t xml:space="preserve">a </w:t>
      </w:r>
      <w:r>
        <w:t xml:space="preserve">Ukrainian disability rights organisation, </w:t>
      </w:r>
      <w:r w:rsidR="00B9546E">
        <w:t>showed that physical availability of shelter does not necessarily mean accessibility for disabled people. Monitoring of modular towns in Kyiv region identified multiple barriers, including steps and curbs at entrances, missing or non-compliant ramps, lack of tactile markings, inaccessible toilets, narrow internal spaces, thresholds, poor lighting, unsuitable beds, and insufficient information about services. Monitoring of a sanatorium used for displaced people also found some positive measures, such as navigation, emergency information, and a generator, but noted that the entrance remained inaccessible due to steps without a ramp and that road surfaces on the territory were in poor condition</w:t>
      </w:r>
      <w:r>
        <w:t>.</w:t>
      </w:r>
    </w:p>
    <w:p w14:paraId="70EF63AC" w14:textId="77777777" w:rsidR="00B9546E" w:rsidRDefault="00B9546E" w:rsidP="004F412D">
      <w:r>
        <w:t xml:space="preserve">According to a July 2024 survey by the League of the Strong, a Ukrainian disability rights </w:t>
      </w:r>
      <w:proofErr w:type="spellStart"/>
      <w:r>
        <w:t>organisation</w:t>
      </w:r>
      <w:proofErr w:type="spellEnd"/>
      <w:r>
        <w:t>, electricity outages had serious consequences for disabled people in Ukraine. 88.4% of respondents reported a negative impact on their psycho-emotional wellbeing, including higher levels of stress and anxiety, while 45% reported losing connection with the outside world. Respondents also described reduced mobility, especially where lifts could not be used, and difficulties carrying out daily tasks. The findings further highlighted risks to health, including difficulties using medical equipment and storing temperature-sensitive medicines such as insulin during outages.</w:t>
      </w:r>
    </w:p>
    <w:p w14:paraId="2B2A7A39" w14:textId="77777777" w:rsidR="00F90372" w:rsidRPr="00A15DCD" w:rsidRDefault="00A15DCD" w:rsidP="004F412D">
      <w:pPr>
        <w:rPr>
          <w:b/>
        </w:rPr>
      </w:pPr>
      <w:r w:rsidRPr="00A15DCD">
        <w:rPr>
          <w:b/>
        </w:rPr>
        <w:t>Conclusion</w:t>
      </w:r>
    </w:p>
    <w:p w14:paraId="3B7AB035" w14:textId="14101F70" w:rsidR="004F412D" w:rsidRDefault="004F412D" w:rsidP="004F412D">
      <w:r>
        <w:t>Taken together, these findings show that infrastructure damage in Ukraine is not disability</w:t>
      </w:r>
      <w:r w:rsidR="68C8591B">
        <w:t xml:space="preserve"> </w:t>
      </w:r>
      <w:r>
        <w:t xml:space="preserve">neutral. The sectors most severely affected by the war are the same sectors that many disabled people rely on most in </w:t>
      </w:r>
      <w:r>
        <w:lastRenderedPageBreak/>
        <w:t xml:space="preserve">daily life. For </w:t>
      </w:r>
      <w:r w:rsidR="0065464A">
        <w:t xml:space="preserve">physically </w:t>
      </w:r>
      <w:r>
        <w:t>disabled Ukrainian refugees, return cannot be assessed only in terms of legal status or general security. It must also take account of whether accessible housing, utilities, transport, healthcare, and social support are actually available in the areas to which people may return.</w:t>
      </w:r>
    </w:p>
    <w:p w14:paraId="106B8484" w14:textId="5CBA2B6E" w:rsidR="2C22D7D0" w:rsidRDefault="2C22D7D0" w:rsidP="168C6140">
      <w:pPr>
        <w:spacing w:after="0" w:line="240" w:lineRule="auto"/>
        <w:rPr>
          <w:rFonts w:ascii="Calibri" w:eastAsia="Calibri" w:hAnsi="Calibri" w:cs="Calibri"/>
          <w:color w:val="000000" w:themeColor="text1"/>
          <w:lang w:val="en-GB"/>
        </w:rPr>
      </w:pPr>
      <w:r w:rsidRPr="168C6140">
        <w:rPr>
          <w:rFonts w:ascii="Calibri" w:eastAsia="Calibri" w:hAnsi="Calibri" w:cs="Calibri"/>
          <w:color w:val="000000" w:themeColor="text1"/>
        </w:rPr>
        <w:t>Olena Orlova</w:t>
      </w:r>
    </w:p>
    <w:p w14:paraId="794D8B48" w14:textId="6227D517" w:rsidR="2C22D7D0" w:rsidRDefault="2C22D7D0" w:rsidP="168C6140">
      <w:pPr>
        <w:spacing w:after="0" w:line="240" w:lineRule="auto"/>
        <w:rPr>
          <w:rFonts w:ascii="Calibri" w:eastAsia="Calibri" w:hAnsi="Calibri" w:cs="Calibri"/>
          <w:color w:val="000000" w:themeColor="text1"/>
          <w:lang w:val="en-GB"/>
        </w:rPr>
      </w:pPr>
      <w:r w:rsidRPr="168C6140">
        <w:rPr>
          <w:rFonts w:ascii="Calibri" w:eastAsia="Calibri" w:hAnsi="Calibri" w:cs="Calibri"/>
          <w:color w:val="000000" w:themeColor="text1"/>
        </w:rPr>
        <w:t>Prof. Robin Goodwin</w:t>
      </w:r>
    </w:p>
    <w:p w14:paraId="455242AC" w14:textId="03C64F82" w:rsidR="2C22D7D0" w:rsidRDefault="2C22D7D0" w:rsidP="168C6140">
      <w:pPr>
        <w:spacing w:after="0" w:line="240" w:lineRule="auto"/>
        <w:rPr>
          <w:rFonts w:ascii="Calibri" w:eastAsia="Calibri" w:hAnsi="Calibri" w:cs="Calibri"/>
          <w:color w:val="000000" w:themeColor="text1"/>
          <w:lang w:val="en-GB"/>
        </w:rPr>
      </w:pPr>
      <w:r w:rsidRPr="168C6140">
        <w:rPr>
          <w:rFonts w:ascii="Calibri" w:eastAsia="Calibri" w:hAnsi="Calibri" w:cs="Calibri"/>
          <w:color w:val="000000" w:themeColor="text1"/>
        </w:rPr>
        <w:t>Department of Psychology</w:t>
      </w:r>
    </w:p>
    <w:p w14:paraId="6EF37376" w14:textId="57C701DA" w:rsidR="2C22D7D0" w:rsidRDefault="2C22D7D0" w:rsidP="168C6140">
      <w:pPr>
        <w:spacing w:after="0" w:line="240" w:lineRule="auto"/>
        <w:rPr>
          <w:rFonts w:ascii="Calibri" w:eastAsia="Calibri" w:hAnsi="Calibri" w:cs="Calibri"/>
          <w:color w:val="000000" w:themeColor="text1"/>
          <w:lang w:val="en-GB"/>
        </w:rPr>
      </w:pPr>
      <w:r w:rsidRPr="168C6140">
        <w:rPr>
          <w:rFonts w:ascii="Calibri" w:eastAsia="Calibri" w:hAnsi="Calibri" w:cs="Calibri"/>
          <w:color w:val="000000" w:themeColor="text1"/>
        </w:rPr>
        <w:t>University of Warwick</w:t>
      </w:r>
    </w:p>
    <w:p w14:paraId="0BACC2E0" w14:textId="7F825988" w:rsidR="168C6140" w:rsidRDefault="168C6140"/>
    <w:p w14:paraId="44EAFD9C" w14:textId="1A4CF56B" w:rsidR="004F412D" w:rsidRDefault="004F412D" w:rsidP="168C6140">
      <w:pPr>
        <w:rPr>
          <w:b/>
          <w:bCs/>
        </w:rPr>
      </w:pPr>
    </w:p>
    <w:p w14:paraId="156FCCEF" w14:textId="2E78559C" w:rsidR="00501D21" w:rsidRDefault="00501D21" w:rsidP="168C6140">
      <w:pPr>
        <w:rPr>
          <w:b/>
          <w:bCs/>
        </w:rPr>
      </w:pPr>
      <w:r>
        <w:rPr>
          <w:b/>
          <w:bCs/>
        </w:rPr>
        <w:t>References</w:t>
      </w:r>
    </w:p>
    <w:p w14:paraId="5978FBF7" w14:textId="4D4C97B2" w:rsidR="00501D21" w:rsidRPr="00501D21" w:rsidRDefault="00501D21" w:rsidP="00501D21">
      <w:pPr>
        <w:pStyle w:val="Default"/>
        <w:rPr>
          <w:color w:val="0462C1"/>
          <w:sz w:val="22"/>
          <w:szCs w:val="22"/>
        </w:rPr>
      </w:pPr>
      <w:r w:rsidRPr="00501D21">
        <w:rPr>
          <w:sz w:val="22"/>
          <w:szCs w:val="22"/>
        </w:rPr>
        <w:t xml:space="preserve">World Bank, Government of Ukraine, European Union, United Nations. (2025). </w:t>
      </w:r>
      <w:r w:rsidRPr="00501D21">
        <w:rPr>
          <w:i/>
          <w:iCs/>
          <w:sz w:val="22"/>
          <w:szCs w:val="22"/>
        </w:rPr>
        <w:t>Ukraine Fourth Rapid Damage and Needs Assessment (RDNA4): February 2022–December 2024</w:t>
      </w:r>
      <w:r w:rsidRPr="00501D21">
        <w:rPr>
          <w:sz w:val="22"/>
          <w:szCs w:val="22"/>
        </w:rPr>
        <w:t xml:space="preserve">. </w:t>
      </w:r>
      <w:r w:rsidRPr="00501D21">
        <w:rPr>
          <w:color w:val="0462C1"/>
          <w:sz w:val="22"/>
          <w:szCs w:val="22"/>
        </w:rPr>
        <w:t>https://document</w:t>
      </w:r>
      <w:bookmarkStart w:id="0" w:name="_GoBack"/>
      <w:bookmarkEnd w:id="0"/>
      <w:r w:rsidRPr="00501D21">
        <w:rPr>
          <w:color w:val="0462C1"/>
          <w:sz w:val="22"/>
          <w:szCs w:val="22"/>
        </w:rPr>
        <w:t>s.worldbank.org/en/publication/documents-reports/doc</w:t>
      </w:r>
      <w:r w:rsidRPr="00501D21">
        <w:rPr>
          <w:color w:val="0462C1"/>
          <w:sz w:val="22"/>
          <w:szCs w:val="22"/>
        </w:rPr>
        <w:t xml:space="preserve">umentdetail/099022025114040022 </w:t>
      </w:r>
    </w:p>
    <w:p w14:paraId="2BBDE148" w14:textId="77777777" w:rsidR="00501D21" w:rsidRDefault="00501D21" w:rsidP="168C6140">
      <w:pPr>
        <w:rPr>
          <w:b/>
          <w:bCs/>
        </w:rPr>
      </w:pPr>
    </w:p>
    <w:p w14:paraId="67F2DAD6" w14:textId="6715E839" w:rsidR="20A838DE" w:rsidRDefault="20A838DE" w:rsidP="1DE8BB57">
      <w:pPr>
        <w:rPr>
          <w:rFonts w:eastAsiaTheme="minorEastAsia"/>
        </w:rPr>
      </w:pPr>
      <w:r w:rsidRPr="00501D21">
        <w:rPr>
          <w:rFonts w:eastAsiaTheme="minorEastAsia"/>
          <w:b/>
        </w:rPr>
        <w:t>Appendix</w:t>
      </w:r>
      <w:r w:rsidR="2587BD39" w:rsidRPr="00501D21">
        <w:rPr>
          <w:rFonts w:eastAsiaTheme="minorEastAsia"/>
          <w:b/>
        </w:rPr>
        <w:t>:</w:t>
      </w:r>
      <w:r w:rsidR="2587BD39" w:rsidRPr="1DE8BB57">
        <w:rPr>
          <w:rFonts w:eastAsiaTheme="minorEastAsia"/>
        </w:rPr>
        <w:t xml:space="preserve"> respondents in our UK qualitative sample</w:t>
      </w:r>
    </w:p>
    <w:p w14:paraId="164F876F" w14:textId="5945E88C" w:rsidR="19860611" w:rsidRDefault="19860611" w:rsidP="168C6140">
      <w:pPr>
        <w:rPr>
          <w:rFonts w:eastAsiaTheme="minorEastAsia"/>
          <w:color w:val="000000" w:themeColor="text1"/>
        </w:rPr>
      </w:pPr>
      <w:r w:rsidRPr="168C6140">
        <w:rPr>
          <w:rFonts w:eastAsiaTheme="minorEastAsia"/>
          <w:color w:val="000000" w:themeColor="text1"/>
        </w:rPr>
        <w:t>Region of origin of disabled Ukrainian refugees</w:t>
      </w:r>
    </w:p>
    <w:tbl>
      <w:tblPr>
        <w:tblStyle w:val="a7"/>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75"/>
        <w:gridCol w:w="3525"/>
        <w:gridCol w:w="1275"/>
      </w:tblGrid>
      <w:tr w:rsidR="168C6140" w14:paraId="41AEE3B1" w14:textId="77777777" w:rsidTr="168C6140">
        <w:trPr>
          <w:trHeight w:val="300"/>
        </w:trPr>
        <w:tc>
          <w:tcPr>
            <w:tcW w:w="3675" w:type="dxa"/>
            <w:tcMar>
              <w:left w:w="105" w:type="dxa"/>
              <w:right w:w="105" w:type="dxa"/>
            </w:tcMar>
          </w:tcPr>
          <w:p w14:paraId="4AFBCFE6" w14:textId="4E9964BF" w:rsidR="168C6140" w:rsidRDefault="168C6140" w:rsidP="168C6140">
            <w:pPr>
              <w:rPr>
                <w:rFonts w:eastAsiaTheme="minorEastAsia"/>
              </w:rPr>
            </w:pPr>
            <w:r w:rsidRPr="168C6140">
              <w:rPr>
                <w:rFonts w:eastAsiaTheme="minorEastAsia"/>
                <w:b/>
                <w:bCs/>
                <w:lang w:val="en-GB"/>
              </w:rPr>
              <w:t>Impact of the war on cities</w:t>
            </w:r>
          </w:p>
        </w:tc>
        <w:tc>
          <w:tcPr>
            <w:tcW w:w="3525" w:type="dxa"/>
            <w:tcMar>
              <w:left w:w="105" w:type="dxa"/>
              <w:right w:w="105" w:type="dxa"/>
            </w:tcMar>
          </w:tcPr>
          <w:p w14:paraId="56344A2D" w14:textId="302C081F" w:rsidR="168C6140" w:rsidRDefault="168C6140" w:rsidP="168C6140">
            <w:pPr>
              <w:rPr>
                <w:rFonts w:eastAsiaTheme="minorEastAsia"/>
              </w:rPr>
            </w:pPr>
            <w:r w:rsidRPr="168C6140">
              <w:rPr>
                <w:rFonts w:eastAsiaTheme="minorEastAsia"/>
                <w:b/>
                <w:bCs/>
                <w:lang w:val="en-GB"/>
              </w:rPr>
              <w:t>City / oblast</w:t>
            </w:r>
          </w:p>
        </w:tc>
        <w:tc>
          <w:tcPr>
            <w:tcW w:w="1275" w:type="dxa"/>
            <w:tcMar>
              <w:left w:w="105" w:type="dxa"/>
              <w:right w:w="105" w:type="dxa"/>
            </w:tcMar>
          </w:tcPr>
          <w:p w14:paraId="2EBC5A1F" w14:textId="705EEBEE" w:rsidR="168C6140" w:rsidRDefault="168C6140" w:rsidP="168C6140">
            <w:pPr>
              <w:rPr>
                <w:rFonts w:eastAsiaTheme="minorEastAsia"/>
              </w:rPr>
            </w:pPr>
            <w:r w:rsidRPr="168C6140">
              <w:rPr>
                <w:rFonts w:eastAsiaTheme="minorEastAsia"/>
                <w:b/>
                <w:bCs/>
                <w:lang w:val="en-GB"/>
              </w:rPr>
              <w:t>Total</w:t>
            </w:r>
          </w:p>
        </w:tc>
      </w:tr>
      <w:tr w:rsidR="168C6140" w14:paraId="4935ABB0" w14:textId="77777777" w:rsidTr="168C6140">
        <w:trPr>
          <w:trHeight w:val="300"/>
        </w:trPr>
        <w:tc>
          <w:tcPr>
            <w:tcW w:w="3675" w:type="dxa"/>
            <w:tcMar>
              <w:left w:w="105" w:type="dxa"/>
              <w:right w:w="105" w:type="dxa"/>
            </w:tcMar>
          </w:tcPr>
          <w:p w14:paraId="7CE36D48" w14:textId="630B85DD" w:rsidR="168C6140" w:rsidRDefault="168C6140" w:rsidP="168C6140">
            <w:pPr>
              <w:rPr>
                <w:rFonts w:eastAsiaTheme="minorEastAsia"/>
              </w:rPr>
            </w:pPr>
            <w:r w:rsidRPr="168C6140">
              <w:rPr>
                <w:rFonts w:eastAsiaTheme="minorEastAsia"/>
                <w:b/>
                <w:bCs/>
                <w:lang w:val="en-GB"/>
              </w:rPr>
              <w:t>Active hostilities/destroyed/occupied cities</w:t>
            </w:r>
          </w:p>
        </w:tc>
        <w:tc>
          <w:tcPr>
            <w:tcW w:w="3525" w:type="dxa"/>
            <w:tcMar>
              <w:left w:w="105" w:type="dxa"/>
              <w:right w:w="105" w:type="dxa"/>
            </w:tcMar>
          </w:tcPr>
          <w:p w14:paraId="736C13D4" w14:textId="4D3164F1" w:rsidR="168C6140" w:rsidRDefault="168C6140" w:rsidP="168C6140">
            <w:pPr>
              <w:rPr>
                <w:rFonts w:eastAsiaTheme="minorEastAsia"/>
              </w:rPr>
            </w:pPr>
            <w:r w:rsidRPr="168C6140">
              <w:rPr>
                <w:rFonts w:eastAsiaTheme="minorEastAsia"/>
                <w:lang w:val="en-GB"/>
              </w:rPr>
              <w:t>Donetsk (city &amp; oblast) (5), Zaporizhzhia</w:t>
            </w:r>
            <w:r w:rsidRPr="168C6140">
              <w:rPr>
                <w:rFonts w:eastAsiaTheme="minorEastAsia"/>
                <w:lang w:val="uk-UA"/>
              </w:rPr>
              <w:t xml:space="preserve"> </w:t>
            </w:r>
            <w:r w:rsidRPr="168C6140">
              <w:rPr>
                <w:rFonts w:eastAsiaTheme="minorEastAsia"/>
                <w:lang w:val="en-GB"/>
              </w:rPr>
              <w:t>(city &amp; oblast) (2), Kherson (city &amp; oblast) (5), Crimea (1)</w:t>
            </w:r>
          </w:p>
        </w:tc>
        <w:tc>
          <w:tcPr>
            <w:tcW w:w="1275" w:type="dxa"/>
            <w:tcMar>
              <w:left w:w="105" w:type="dxa"/>
              <w:right w:w="105" w:type="dxa"/>
            </w:tcMar>
          </w:tcPr>
          <w:p w14:paraId="477BB68A" w14:textId="262648EC" w:rsidR="168C6140" w:rsidRDefault="168C6140" w:rsidP="168C6140">
            <w:pPr>
              <w:jc w:val="center"/>
              <w:rPr>
                <w:rFonts w:eastAsiaTheme="minorEastAsia"/>
              </w:rPr>
            </w:pPr>
            <w:r w:rsidRPr="168C6140">
              <w:rPr>
                <w:rFonts w:eastAsiaTheme="minorEastAsia"/>
                <w:lang w:val="en-GB"/>
              </w:rPr>
              <w:t>13</w:t>
            </w:r>
          </w:p>
        </w:tc>
      </w:tr>
      <w:tr w:rsidR="168C6140" w14:paraId="524AC496" w14:textId="77777777" w:rsidTr="168C6140">
        <w:trPr>
          <w:trHeight w:val="300"/>
        </w:trPr>
        <w:tc>
          <w:tcPr>
            <w:tcW w:w="3675" w:type="dxa"/>
            <w:tcMar>
              <w:left w:w="105" w:type="dxa"/>
              <w:right w:w="105" w:type="dxa"/>
            </w:tcMar>
          </w:tcPr>
          <w:p w14:paraId="328ECFAD" w14:textId="02803354" w:rsidR="168C6140" w:rsidRDefault="168C6140" w:rsidP="168C6140">
            <w:pPr>
              <w:rPr>
                <w:rFonts w:eastAsiaTheme="minorEastAsia"/>
              </w:rPr>
            </w:pPr>
            <w:r w:rsidRPr="168C6140">
              <w:rPr>
                <w:rFonts w:eastAsiaTheme="minorEastAsia"/>
                <w:b/>
                <w:bCs/>
                <w:lang w:val="en-GB"/>
              </w:rPr>
              <w:t>Cities subject to regular air strikes</w:t>
            </w:r>
          </w:p>
        </w:tc>
        <w:tc>
          <w:tcPr>
            <w:tcW w:w="3525" w:type="dxa"/>
            <w:tcMar>
              <w:left w:w="105" w:type="dxa"/>
              <w:right w:w="105" w:type="dxa"/>
            </w:tcMar>
          </w:tcPr>
          <w:p w14:paraId="330CDF5E" w14:textId="11C45EE6" w:rsidR="168C6140" w:rsidRDefault="168C6140" w:rsidP="168C6140">
            <w:pPr>
              <w:rPr>
                <w:rFonts w:eastAsiaTheme="minorEastAsia"/>
              </w:rPr>
            </w:pPr>
            <w:r w:rsidRPr="168C6140">
              <w:rPr>
                <w:rFonts w:eastAsiaTheme="minorEastAsia"/>
                <w:lang w:val="en-GB"/>
              </w:rPr>
              <w:t>Kyiv</w:t>
            </w:r>
            <w:r w:rsidRPr="168C6140">
              <w:rPr>
                <w:rFonts w:eastAsiaTheme="minorEastAsia"/>
              </w:rPr>
              <w:t xml:space="preserve"> (city &amp; oblast) (10), </w:t>
            </w:r>
            <w:r w:rsidRPr="168C6140">
              <w:rPr>
                <w:rFonts w:eastAsiaTheme="minorEastAsia"/>
                <w:lang w:val="en-GB"/>
              </w:rPr>
              <w:t>Kharkiv</w:t>
            </w:r>
            <w:r w:rsidRPr="168C6140">
              <w:rPr>
                <w:rFonts w:eastAsiaTheme="minorEastAsia"/>
              </w:rPr>
              <w:t xml:space="preserve"> (</w:t>
            </w:r>
            <w:r w:rsidRPr="168C6140">
              <w:rPr>
                <w:rFonts w:eastAsiaTheme="minorEastAsia"/>
                <w:lang w:val="en-GB"/>
              </w:rPr>
              <w:t xml:space="preserve">city &amp; oblast) </w:t>
            </w:r>
            <w:r w:rsidRPr="168C6140">
              <w:rPr>
                <w:rFonts w:eastAsiaTheme="minorEastAsia"/>
              </w:rPr>
              <w:t xml:space="preserve">(2), </w:t>
            </w:r>
            <w:r w:rsidRPr="168C6140">
              <w:rPr>
                <w:rFonts w:eastAsiaTheme="minorEastAsia"/>
                <w:lang w:val="en-GB"/>
              </w:rPr>
              <w:t>Chernihiv</w:t>
            </w:r>
            <w:r w:rsidRPr="168C6140">
              <w:rPr>
                <w:rFonts w:eastAsiaTheme="minorEastAsia"/>
              </w:rPr>
              <w:t xml:space="preserve"> (2), </w:t>
            </w:r>
            <w:r w:rsidRPr="168C6140">
              <w:rPr>
                <w:rFonts w:eastAsiaTheme="minorEastAsia"/>
                <w:lang w:val="en-GB"/>
              </w:rPr>
              <w:t>Dnipro</w:t>
            </w:r>
            <w:r w:rsidRPr="168C6140">
              <w:rPr>
                <w:rFonts w:eastAsiaTheme="minorEastAsia"/>
              </w:rPr>
              <w:t xml:space="preserve"> (2), </w:t>
            </w:r>
            <w:r w:rsidRPr="168C6140">
              <w:rPr>
                <w:rFonts w:eastAsiaTheme="minorEastAsia"/>
                <w:lang w:val="en-GB"/>
              </w:rPr>
              <w:t>Odesa</w:t>
            </w:r>
            <w:r w:rsidRPr="168C6140">
              <w:rPr>
                <w:rFonts w:eastAsiaTheme="minorEastAsia"/>
              </w:rPr>
              <w:t xml:space="preserve"> (5)</w:t>
            </w:r>
          </w:p>
        </w:tc>
        <w:tc>
          <w:tcPr>
            <w:tcW w:w="1275" w:type="dxa"/>
            <w:tcMar>
              <w:left w:w="105" w:type="dxa"/>
              <w:right w:w="105" w:type="dxa"/>
            </w:tcMar>
          </w:tcPr>
          <w:p w14:paraId="42C83C7E" w14:textId="7FA31852" w:rsidR="168C6140" w:rsidRDefault="168C6140" w:rsidP="168C6140">
            <w:pPr>
              <w:jc w:val="center"/>
              <w:rPr>
                <w:rFonts w:eastAsiaTheme="minorEastAsia"/>
              </w:rPr>
            </w:pPr>
            <w:r w:rsidRPr="168C6140">
              <w:rPr>
                <w:rFonts w:eastAsiaTheme="minorEastAsia"/>
              </w:rPr>
              <w:t>21</w:t>
            </w:r>
          </w:p>
        </w:tc>
      </w:tr>
      <w:tr w:rsidR="168C6140" w14:paraId="7E3B6B2D" w14:textId="77777777" w:rsidTr="168C6140">
        <w:trPr>
          <w:trHeight w:val="585"/>
        </w:trPr>
        <w:tc>
          <w:tcPr>
            <w:tcW w:w="3675" w:type="dxa"/>
            <w:tcMar>
              <w:left w:w="105" w:type="dxa"/>
              <w:right w:w="105" w:type="dxa"/>
            </w:tcMar>
          </w:tcPr>
          <w:p w14:paraId="4C7C05A9" w14:textId="0191FF77" w:rsidR="168C6140" w:rsidRDefault="168C6140" w:rsidP="168C6140">
            <w:pPr>
              <w:rPr>
                <w:rFonts w:eastAsiaTheme="minorEastAsia"/>
              </w:rPr>
            </w:pPr>
            <w:r w:rsidRPr="168C6140">
              <w:rPr>
                <w:rFonts w:eastAsiaTheme="minorEastAsia"/>
                <w:b/>
                <w:bCs/>
                <w:lang w:val="en-GB"/>
              </w:rPr>
              <w:t>Peripheral areas affected by indirect hostilities (occasional air strikes)</w:t>
            </w:r>
          </w:p>
        </w:tc>
        <w:tc>
          <w:tcPr>
            <w:tcW w:w="3525" w:type="dxa"/>
            <w:tcMar>
              <w:left w:w="105" w:type="dxa"/>
              <w:right w:w="105" w:type="dxa"/>
            </w:tcMar>
          </w:tcPr>
          <w:p w14:paraId="2B768965" w14:textId="1FDFCC2A" w:rsidR="168C6140" w:rsidRDefault="168C6140" w:rsidP="168C6140">
            <w:pPr>
              <w:rPr>
                <w:rFonts w:eastAsiaTheme="minorEastAsia"/>
              </w:rPr>
            </w:pPr>
            <w:r w:rsidRPr="168C6140">
              <w:rPr>
                <w:rFonts w:eastAsiaTheme="minorEastAsia"/>
                <w:lang w:val="en-GB"/>
              </w:rPr>
              <w:t>Vinnytsia (1), Zhytomyr (1), Cherkasy (1), Poltava (1), Rivne (1), Kropyvnytskyi (1)</w:t>
            </w:r>
          </w:p>
        </w:tc>
        <w:tc>
          <w:tcPr>
            <w:tcW w:w="1275" w:type="dxa"/>
            <w:tcMar>
              <w:left w:w="105" w:type="dxa"/>
              <w:right w:w="105" w:type="dxa"/>
            </w:tcMar>
          </w:tcPr>
          <w:p w14:paraId="4CACC1C4" w14:textId="0C99A655" w:rsidR="168C6140" w:rsidRDefault="168C6140" w:rsidP="168C6140">
            <w:pPr>
              <w:jc w:val="center"/>
              <w:rPr>
                <w:rFonts w:eastAsiaTheme="minorEastAsia"/>
              </w:rPr>
            </w:pPr>
            <w:r w:rsidRPr="168C6140">
              <w:rPr>
                <w:rFonts w:eastAsiaTheme="minorEastAsia"/>
              </w:rPr>
              <w:t>6</w:t>
            </w:r>
          </w:p>
        </w:tc>
      </w:tr>
      <w:tr w:rsidR="168C6140" w14:paraId="4C1129C0" w14:textId="77777777" w:rsidTr="168C6140">
        <w:trPr>
          <w:trHeight w:val="300"/>
        </w:trPr>
        <w:tc>
          <w:tcPr>
            <w:tcW w:w="3675" w:type="dxa"/>
            <w:tcMar>
              <w:left w:w="105" w:type="dxa"/>
              <w:right w:w="105" w:type="dxa"/>
            </w:tcMar>
          </w:tcPr>
          <w:p w14:paraId="447C19DA" w14:textId="15ED0D1C" w:rsidR="168C6140" w:rsidRDefault="168C6140" w:rsidP="168C6140">
            <w:pPr>
              <w:rPr>
                <w:rFonts w:eastAsiaTheme="minorEastAsia"/>
              </w:rPr>
            </w:pPr>
            <w:r w:rsidRPr="168C6140">
              <w:rPr>
                <w:rFonts w:eastAsiaTheme="minorEastAsia"/>
                <w:b/>
                <w:bCs/>
                <w:lang w:val="en-GB"/>
              </w:rPr>
              <w:t>Not specified</w:t>
            </w:r>
          </w:p>
        </w:tc>
        <w:tc>
          <w:tcPr>
            <w:tcW w:w="3525" w:type="dxa"/>
            <w:tcMar>
              <w:left w:w="105" w:type="dxa"/>
              <w:right w:w="105" w:type="dxa"/>
            </w:tcMar>
          </w:tcPr>
          <w:p w14:paraId="55117BF9" w14:textId="3DE1EC77" w:rsidR="168C6140" w:rsidRDefault="168C6140" w:rsidP="168C6140">
            <w:pPr>
              <w:rPr>
                <w:rFonts w:eastAsiaTheme="minorEastAsia"/>
              </w:rPr>
            </w:pPr>
            <w:r w:rsidRPr="168C6140">
              <w:rPr>
                <w:rFonts w:eastAsiaTheme="minorEastAsia"/>
                <w:lang w:val="en-GB"/>
              </w:rPr>
              <w:t>(5)</w:t>
            </w:r>
          </w:p>
        </w:tc>
        <w:tc>
          <w:tcPr>
            <w:tcW w:w="1275" w:type="dxa"/>
            <w:tcMar>
              <w:left w:w="105" w:type="dxa"/>
              <w:right w:w="105" w:type="dxa"/>
            </w:tcMar>
          </w:tcPr>
          <w:p w14:paraId="3582381E" w14:textId="63B48A6B" w:rsidR="168C6140" w:rsidRDefault="168C6140" w:rsidP="168C6140">
            <w:pPr>
              <w:jc w:val="center"/>
              <w:rPr>
                <w:rFonts w:eastAsiaTheme="minorEastAsia"/>
              </w:rPr>
            </w:pPr>
            <w:r w:rsidRPr="168C6140">
              <w:rPr>
                <w:rFonts w:eastAsiaTheme="minorEastAsia"/>
              </w:rPr>
              <w:t>5</w:t>
            </w:r>
          </w:p>
        </w:tc>
      </w:tr>
    </w:tbl>
    <w:p w14:paraId="6E927E56" w14:textId="4A231360" w:rsidR="168C6140" w:rsidRDefault="168C6140" w:rsidP="168C6140">
      <w:pPr>
        <w:rPr>
          <w:rFonts w:eastAsiaTheme="minorEastAsia"/>
          <w:color w:val="000000" w:themeColor="text1"/>
        </w:rPr>
      </w:pPr>
    </w:p>
    <w:p w14:paraId="39FDFC9F" w14:textId="19149783" w:rsidR="375F3305" w:rsidRDefault="375F3305" w:rsidP="168C6140">
      <w:pPr>
        <w:rPr>
          <w:rFonts w:eastAsiaTheme="minorEastAsia"/>
          <w:b/>
          <w:bCs/>
          <w:color w:val="000000" w:themeColor="text1"/>
        </w:rPr>
      </w:pPr>
      <w:r w:rsidRPr="168C6140">
        <w:rPr>
          <w:rFonts w:eastAsiaTheme="minorEastAsia"/>
          <w:b/>
          <w:bCs/>
          <w:color w:val="000000" w:themeColor="text1"/>
          <w:lang w:val="en-GB"/>
        </w:rPr>
        <w:t>Broad disability categories</w:t>
      </w:r>
    </w:p>
    <w:tbl>
      <w:tblPr>
        <w:tblStyle w:val="a7"/>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90"/>
        <w:gridCol w:w="3600"/>
        <w:gridCol w:w="1170"/>
      </w:tblGrid>
      <w:tr w:rsidR="168C6140" w14:paraId="381F282C" w14:textId="77777777" w:rsidTr="168C6140">
        <w:trPr>
          <w:trHeight w:val="300"/>
        </w:trPr>
        <w:tc>
          <w:tcPr>
            <w:tcW w:w="3690" w:type="dxa"/>
            <w:tcMar>
              <w:left w:w="105" w:type="dxa"/>
              <w:right w:w="105" w:type="dxa"/>
            </w:tcMar>
          </w:tcPr>
          <w:p w14:paraId="14401A79" w14:textId="11A4C53B" w:rsidR="168C6140" w:rsidRDefault="168C6140" w:rsidP="168C6140">
            <w:pPr>
              <w:rPr>
                <w:rFonts w:eastAsiaTheme="minorEastAsia"/>
              </w:rPr>
            </w:pPr>
            <w:r w:rsidRPr="168C6140">
              <w:rPr>
                <w:rFonts w:eastAsiaTheme="minorEastAsia"/>
                <w:b/>
                <w:bCs/>
                <w:lang w:val="en-GB"/>
              </w:rPr>
              <w:t>Disability categories</w:t>
            </w:r>
          </w:p>
        </w:tc>
        <w:tc>
          <w:tcPr>
            <w:tcW w:w="3600" w:type="dxa"/>
            <w:tcMar>
              <w:left w:w="105" w:type="dxa"/>
              <w:right w:w="105" w:type="dxa"/>
            </w:tcMar>
          </w:tcPr>
          <w:p w14:paraId="50601714" w14:textId="4AA0BD7D" w:rsidR="168C6140" w:rsidRDefault="168C6140" w:rsidP="168C6140">
            <w:pPr>
              <w:rPr>
                <w:rFonts w:eastAsiaTheme="minorEastAsia"/>
              </w:rPr>
            </w:pPr>
            <w:r w:rsidRPr="168C6140">
              <w:rPr>
                <w:rFonts w:eastAsiaTheme="minorEastAsia"/>
                <w:b/>
                <w:bCs/>
                <w:lang w:val="en-GB"/>
              </w:rPr>
              <w:t>Includes</w:t>
            </w:r>
          </w:p>
        </w:tc>
        <w:tc>
          <w:tcPr>
            <w:tcW w:w="1170" w:type="dxa"/>
            <w:tcMar>
              <w:left w:w="105" w:type="dxa"/>
              <w:right w:w="105" w:type="dxa"/>
            </w:tcMar>
          </w:tcPr>
          <w:p w14:paraId="6B4CCC0E" w14:textId="11A1F1C4" w:rsidR="168C6140" w:rsidRDefault="168C6140" w:rsidP="168C6140">
            <w:pPr>
              <w:rPr>
                <w:rFonts w:eastAsiaTheme="minorEastAsia"/>
              </w:rPr>
            </w:pPr>
            <w:r w:rsidRPr="168C6140">
              <w:rPr>
                <w:rFonts w:eastAsiaTheme="minorEastAsia"/>
                <w:b/>
                <w:bCs/>
                <w:lang w:val="en-GB"/>
              </w:rPr>
              <w:t>Total</w:t>
            </w:r>
          </w:p>
        </w:tc>
      </w:tr>
      <w:tr w:rsidR="168C6140" w14:paraId="47B2937E" w14:textId="77777777" w:rsidTr="168C6140">
        <w:trPr>
          <w:trHeight w:val="300"/>
        </w:trPr>
        <w:tc>
          <w:tcPr>
            <w:tcW w:w="3690" w:type="dxa"/>
            <w:tcMar>
              <w:left w:w="105" w:type="dxa"/>
              <w:right w:w="105" w:type="dxa"/>
            </w:tcMar>
          </w:tcPr>
          <w:p w14:paraId="62B9FC7F" w14:textId="5ACCF7A5" w:rsidR="168C6140" w:rsidRDefault="168C6140" w:rsidP="168C6140">
            <w:pPr>
              <w:rPr>
                <w:rFonts w:eastAsiaTheme="minorEastAsia"/>
              </w:rPr>
            </w:pPr>
            <w:r w:rsidRPr="168C6140">
              <w:rPr>
                <w:rFonts w:eastAsiaTheme="minorEastAsia"/>
                <w:b/>
                <w:bCs/>
              </w:rPr>
              <w:t>Physical / mobility-related disabilities</w:t>
            </w:r>
          </w:p>
        </w:tc>
        <w:tc>
          <w:tcPr>
            <w:tcW w:w="3600" w:type="dxa"/>
            <w:tcMar>
              <w:left w:w="105" w:type="dxa"/>
              <w:right w:w="105" w:type="dxa"/>
            </w:tcMar>
          </w:tcPr>
          <w:p w14:paraId="2FF9D0C5" w14:textId="09297F50" w:rsidR="168C6140" w:rsidRDefault="168C6140" w:rsidP="168C6140">
            <w:pPr>
              <w:pStyle w:val="a5"/>
              <w:rPr>
                <w:rFonts w:asciiTheme="minorHAnsi" w:eastAsiaTheme="minorEastAsia" w:hAnsiTheme="minorHAnsi" w:cstheme="minorBidi"/>
                <w:sz w:val="22"/>
                <w:szCs w:val="22"/>
              </w:rPr>
            </w:pPr>
            <w:r w:rsidRPr="168C6140">
              <w:rPr>
                <w:rFonts w:asciiTheme="minorHAnsi" w:eastAsiaTheme="minorEastAsia" w:hAnsiTheme="minorHAnsi" w:cstheme="minorBidi"/>
                <w:sz w:val="22"/>
                <w:szCs w:val="22"/>
              </w:rPr>
              <w:t>Wheelchair users, cerebral palsy, spinal conditions / spinal injury / post-surgery, musculoskeletal disabilities (including arthritis, polyarthritis), muscular dystrophy (FSH), genetic neuromuscular conditions (e.g. SMA), mobility-related cardiovascular conditions, limb loss or limb shortening, general physical disabilities affecting movement</w:t>
            </w:r>
          </w:p>
        </w:tc>
        <w:tc>
          <w:tcPr>
            <w:tcW w:w="1170" w:type="dxa"/>
            <w:tcMar>
              <w:left w:w="105" w:type="dxa"/>
              <w:right w:w="105" w:type="dxa"/>
            </w:tcMar>
          </w:tcPr>
          <w:p w14:paraId="1F1E3001" w14:textId="51AEB420" w:rsidR="168C6140" w:rsidRDefault="168C6140" w:rsidP="168C6140">
            <w:pPr>
              <w:jc w:val="center"/>
              <w:rPr>
                <w:rFonts w:eastAsiaTheme="minorEastAsia"/>
              </w:rPr>
            </w:pPr>
            <w:r w:rsidRPr="168C6140">
              <w:rPr>
                <w:rFonts w:eastAsiaTheme="minorEastAsia"/>
              </w:rPr>
              <w:t>26</w:t>
            </w:r>
          </w:p>
        </w:tc>
      </w:tr>
      <w:tr w:rsidR="168C6140" w14:paraId="0252E4DA" w14:textId="77777777" w:rsidTr="168C6140">
        <w:trPr>
          <w:trHeight w:val="300"/>
        </w:trPr>
        <w:tc>
          <w:tcPr>
            <w:tcW w:w="3690" w:type="dxa"/>
            <w:tcMar>
              <w:left w:w="105" w:type="dxa"/>
              <w:right w:w="105" w:type="dxa"/>
            </w:tcMar>
          </w:tcPr>
          <w:p w14:paraId="03232F42" w14:textId="21E72B42" w:rsidR="168C6140" w:rsidRDefault="168C6140" w:rsidP="168C6140">
            <w:pPr>
              <w:rPr>
                <w:rFonts w:eastAsiaTheme="minorEastAsia"/>
              </w:rPr>
            </w:pPr>
            <w:r w:rsidRPr="168C6140">
              <w:rPr>
                <w:rFonts w:eastAsiaTheme="minorEastAsia"/>
                <w:b/>
                <w:bCs/>
              </w:rPr>
              <w:lastRenderedPageBreak/>
              <w:t>Neurological physical disabilities</w:t>
            </w:r>
          </w:p>
        </w:tc>
        <w:tc>
          <w:tcPr>
            <w:tcW w:w="3600" w:type="dxa"/>
            <w:tcMar>
              <w:left w:w="105" w:type="dxa"/>
              <w:right w:w="105" w:type="dxa"/>
            </w:tcMar>
          </w:tcPr>
          <w:p w14:paraId="4C9EB181" w14:textId="0F9C66EC" w:rsidR="168C6140" w:rsidRDefault="168C6140" w:rsidP="168C6140">
            <w:pPr>
              <w:pStyle w:val="a5"/>
              <w:rPr>
                <w:rFonts w:asciiTheme="minorHAnsi" w:eastAsiaTheme="minorEastAsia" w:hAnsiTheme="minorHAnsi" w:cstheme="minorBidi"/>
                <w:sz w:val="22"/>
                <w:szCs w:val="22"/>
              </w:rPr>
            </w:pPr>
            <w:r w:rsidRPr="168C6140">
              <w:rPr>
                <w:rFonts w:asciiTheme="minorHAnsi" w:eastAsiaTheme="minorEastAsia" w:hAnsiTheme="minorHAnsi" w:cstheme="minorBidi"/>
                <w:sz w:val="22"/>
                <w:szCs w:val="22"/>
              </w:rPr>
              <w:t>epilepsy (including post-traumatic), multiple sclerosis, cerebellar ataxia, neurological damage (brain and/or spinal involvement), neurological disabilities of mixed origin</w:t>
            </w:r>
          </w:p>
        </w:tc>
        <w:tc>
          <w:tcPr>
            <w:tcW w:w="1170" w:type="dxa"/>
            <w:tcMar>
              <w:left w:w="105" w:type="dxa"/>
              <w:right w:w="105" w:type="dxa"/>
            </w:tcMar>
          </w:tcPr>
          <w:p w14:paraId="06D7BB7B" w14:textId="69448196" w:rsidR="168C6140" w:rsidRDefault="168C6140" w:rsidP="168C6140">
            <w:pPr>
              <w:jc w:val="center"/>
              <w:rPr>
                <w:rFonts w:eastAsiaTheme="minorEastAsia"/>
              </w:rPr>
            </w:pPr>
            <w:r w:rsidRPr="168C6140">
              <w:rPr>
                <w:rFonts w:eastAsiaTheme="minorEastAsia"/>
              </w:rPr>
              <w:t>10</w:t>
            </w:r>
          </w:p>
        </w:tc>
      </w:tr>
      <w:tr w:rsidR="168C6140" w14:paraId="7A4BD280" w14:textId="77777777" w:rsidTr="168C6140">
        <w:trPr>
          <w:trHeight w:val="300"/>
        </w:trPr>
        <w:tc>
          <w:tcPr>
            <w:tcW w:w="3690" w:type="dxa"/>
            <w:tcMar>
              <w:left w:w="105" w:type="dxa"/>
              <w:right w:w="105" w:type="dxa"/>
            </w:tcMar>
          </w:tcPr>
          <w:p w14:paraId="04A927AB" w14:textId="7170E875" w:rsidR="168C6140" w:rsidRDefault="168C6140" w:rsidP="168C6140">
            <w:pPr>
              <w:rPr>
                <w:rFonts w:eastAsiaTheme="minorEastAsia"/>
              </w:rPr>
            </w:pPr>
            <w:r w:rsidRPr="168C6140">
              <w:rPr>
                <w:rFonts w:eastAsiaTheme="minorEastAsia"/>
                <w:b/>
                <w:bCs/>
              </w:rPr>
              <w:t>Sensory disabilities (visual)</w:t>
            </w:r>
          </w:p>
        </w:tc>
        <w:tc>
          <w:tcPr>
            <w:tcW w:w="3600" w:type="dxa"/>
            <w:tcMar>
              <w:left w:w="105" w:type="dxa"/>
              <w:right w:w="105" w:type="dxa"/>
            </w:tcMar>
          </w:tcPr>
          <w:p w14:paraId="3C11DC94" w14:textId="02DCF758" w:rsidR="168C6140" w:rsidRDefault="168C6140" w:rsidP="168C6140">
            <w:pPr>
              <w:pStyle w:val="a5"/>
              <w:rPr>
                <w:rFonts w:asciiTheme="minorHAnsi" w:eastAsiaTheme="minorEastAsia" w:hAnsiTheme="minorHAnsi" w:cstheme="minorBidi"/>
                <w:sz w:val="22"/>
                <w:szCs w:val="22"/>
              </w:rPr>
            </w:pPr>
            <w:r w:rsidRPr="168C6140">
              <w:rPr>
                <w:rFonts w:asciiTheme="minorHAnsi" w:eastAsiaTheme="minorEastAsia" w:hAnsiTheme="minorHAnsi" w:cstheme="minorBidi"/>
                <w:sz w:val="22"/>
                <w:szCs w:val="22"/>
              </w:rPr>
              <w:t>congenital visual impairment, partial vision loss (e.g. 90%), total vision loss, loss of one eye, glaucoma (congenital or acquired), vision impairment due to cancer or other conditions</w:t>
            </w:r>
          </w:p>
        </w:tc>
        <w:tc>
          <w:tcPr>
            <w:tcW w:w="1170" w:type="dxa"/>
            <w:tcMar>
              <w:left w:w="105" w:type="dxa"/>
              <w:right w:w="105" w:type="dxa"/>
            </w:tcMar>
          </w:tcPr>
          <w:p w14:paraId="139AB0F1" w14:textId="4203F412" w:rsidR="168C6140" w:rsidRDefault="168C6140" w:rsidP="168C6140">
            <w:pPr>
              <w:jc w:val="center"/>
              <w:rPr>
                <w:rFonts w:eastAsiaTheme="minorEastAsia"/>
              </w:rPr>
            </w:pPr>
            <w:r w:rsidRPr="168C6140">
              <w:rPr>
                <w:rFonts w:eastAsiaTheme="minorEastAsia"/>
              </w:rPr>
              <w:t>10</w:t>
            </w:r>
          </w:p>
        </w:tc>
      </w:tr>
      <w:tr w:rsidR="168C6140" w14:paraId="2DBFD87C" w14:textId="77777777" w:rsidTr="168C6140">
        <w:trPr>
          <w:trHeight w:val="300"/>
        </w:trPr>
        <w:tc>
          <w:tcPr>
            <w:tcW w:w="3690" w:type="dxa"/>
            <w:tcMar>
              <w:left w:w="105" w:type="dxa"/>
              <w:right w:w="105" w:type="dxa"/>
            </w:tcMar>
          </w:tcPr>
          <w:p w14:paraId="6D343C4F" w14:textId="39E3D321" w:rsidR="168C6140" w:rsidRDefault="168C6140" w:rsidP="168C6140">
            <w:pPr>
              <w:rPr>
                <w:rFonts w:eastAsiaTheme="minorEastAsia"/>
              </w:rPr>
            </w:pPr>
            <w:r w:rsidRPr="168C6140">
              <w:rPr>
                <w:rFonts w:eastAsiaTheme="minorEastAsia"/>
                <w:b/>
                <w:bCs/>
              </w:rPr>
              <w:t>Sensory disabilities (hearing)</w:t>
            </w:r>
          </w:p>
        </w:tc>
        <w:tc>
          <w:tcPr>
            <w:tcW w:w="3600" w:type="dxa"/>
            <w:tcMar>
              <w:left w:w="105" w:type="dxa"/>
              <w:right w:w="105" w:type="dxa"/>
            </w:tcMar>
          </w:tcPr>
          <w:p w14:paraId="27EDDA9A" w14:textId="5C3CBC90" w:rsidR="168C6140" w:rsidRDefault="168C6140" w:rsidP="168C6140">
            <w:pPr>
              <w:pStyle w:val="a5"/>
              <w:rPr>
                <w:rFonts w:asciiTheme="minorHAnsi" w:eastAsiaTheme="minorEastAsia" w:hAnsiTheme="minorHAnsi" w:cstheme="minorBidi"/>
                <w:sz w:val="22"/>
                <w:szCs w:val="22"/>
              </w:rPr>
            </w:pPr>
            <w:r w:rsidRPr="168C6140">
              <w:rPr>
                <w:rFonts w:asciiTheme="minorHAnsi" w:eastAsiaTheme="minorEastAsia" w:hAnsiTheme="minorHAnsi" w:cstheme="minorBidi"/>
                <w:sz w:val="22"/>
                <w:szCs w:val="22"/>
              </w:rPr>
              <w:t>hearing impairment, significant hearing loss (e.g. 85%), partial deafness, long-term hearing impairment</w:t>
            </w:r>
          </w:p>
        </w:tc>
        <w:tc>
          <w:tcPr>
            <w:tcW w:w="1170" w:type="dxa"/>
            <w:tcMar>
              <w:left w:w="105" w:type="dxa"/>
              <w:right w:w="105" w:type="dxa"/>
            </w:tcMar>
          </w:tcPr>
          <w:p w14:paraId="0F286A2E" w14:textId="5F12019A" w:rsidR="168C6140" w:rsidRDefault="168C6140" w:rsidP="168C6140">
            <w:pPr>
              <w:jc w:val="center"/>
              <w:rPr>
                <w:rFonts w:eastAsiaTheme="minorEastAsia"/>
              </w:rPr>
            </w:pPr>
            <w:r w:rsidRPr="168C6140">
              <w:rPr>
                <w:rFonts w:eastAsiaTheme="minorEastAsia"/>
              </w:rPr>
              <w:t>6</w:t>
            </w:r>
          </w:p>
        </w:tc>
      </w:tr>
      <w:tr w:rsidR="168C6140" w14:paraId="291155ED" w14:textId="77777777" w:rsidTr="168C6140">
        <w:trPr>
          <w:trHeight w:val="300"/>
        </w:trPr>
        <w:tc>
          <w:tcPr>
            <w:tcW w:w="3690" w:type="dxa"/>
            <w:tcMar>
              <w:left w:w="105" w:type="dxa"/>
              <w:right w:w="105" w:type="dxa"/>
            </w:tcMar>
          </w:tcPr>
          <w:p w14:paraId="75A80F00" w14:textId="50E68633" w:rsidR="168C6140" w:rsidRDefault="168C6140" w:rsidP="168C6140">
            <w:pPr>
              <w:rPr>
                <w:rFonts w:eastAsiaTheme="minorEastAsia"/>
              </w:rPr>
            </w:pPr>
            <w:r w:rsidRPr="168C6140">
              <w:rPr>
                <w:rFonts w:eastAsiaTheme="minorEastAsia"/>
                <w:b/>
                <w:bCs/>
              </w:rPr>
              <w:t>Chronic physical health conditions with functional impact</w:t>
            </w:r>
          </w:p>
        </w:tc>
        <w:tc>
          <w:tcPr>
            <w:tcW w:w="3600" w:type="dxa"/>
            <w:tcMar>
              <w:left w:w="105" w:type="dxa"/>
              <w:right w:w="105" w:type="dxa"/>
            </w:tcMar>
          </w:tcPr>
          <w:p w14:paraId="1E979B00" w14:textId="277F5F1F" w:rsidR="168C6140" w:rsidRDefault="168C6140" w:rsidP="168C6140">
            <w:pPr>
              <w:pStyle w:val="a5"/>
              <w:rPr>
                <w:rFonts w:asciiTheme="minorHAnsi" w:eastAsiaTheme="minorEastAsia" w:hAnsiTheme="minorHAnsi" w:cstheme="minorBidi"/>
                <w:sz w:val="22"/>
                <w:szCs w:val="22"/>
              </w:rPr>
            </w:pPr>
            <w:r w:rsidRPr="168C6140">
              <w:rPr>
                <w:rFonts w:asciiTheme="minorHAnsi" w:eastAsiaTheme="minorEastAsia" w:hAnsiTheme="minorHAnsi" w:cstheme="minorBidi"/>
                <w:sz w:val="22"/>
                <w:szCs w:val="22"/>
              </w:rPr>
              <w:t>severe hemophilia, type 1 diabetes, chronic inflammatory conditions, oncological conditions, respiratory disabilities (e.g. asthma, post-viral lung damage), radiation-related illnesses (e.g. Chornobyl-related conditions)</w:t>
            </w:r>
          </w:p>
        </w:tc>
        <w:tc>
          <w:tcPr>
            <w:tcW w:w="1170" w:type="dxa"/>
            <w:tcMar>
              <w:left w:w="105" w:type="dxa"/>
              <w:right w:w="105" w:type="dxa"/>
            </w:tcMar>
          </w:tcPr>
          <w:p w14:paraId="519FA871" w14:textId="6ED22D1A" w:rsidR="168C6140" w:rsidRDefault="168C6140" w:rsidP="168C6140">
            <w:pPr>
              <w:jc w:val="center"/>
              <w:rPr>
                <w:rFonts w:eastAsiaTheme="minorEastAsia"/>
              </w:rPr>
            </w:pPr>
            <w:r w:rsidRPr="168C6140">
              <w:rPr>
                <w:rFonts w:eastAsiaTheme="minorEastAsia"/>
              </w:rPr>
              <w:t>9</w:t>
            </w:r>
          </w:p>
        </w:tc>
      </w:tr>
    </w:tbl>
    <w:p w14:paraId="47748360" w14:textId="4A635CFA" w:rsidR="18E710C6" w:rsidRDefault="18E710C6" w:rsidP="168C6140">
      <w:pPr>
        <w:pStyle w:val="a5"/>
        <w:rPr>
          <w:rStyle w:val="a6"/>
          <w:rFonts w:asciiTheme="minorHAnsi" w:eastAsiaTheme="minorEastAsia" w:hAnsiTheme="minorHAnsi" w:cstheme="minorBidi"/>
          <w:i w:val="0"/>
          <w:iCs w:val="0"/>
          <w:color w:val="000000" w:themeColor="text1"/>
          <w:sz w:val="22"/>
          <w:szCs w:val="22"/>
        </w:rPr>
      </w:pPr>
      <w:r w:rsidRPr="168C6140">
        <w:rPr>
          <w:rFonts w:asciiTheme="minorHAnsi" w:eastAsiaTheme="minorEastAsia" w:hAnsiTheme="minorHAnsi" w:cstheme="minorBidi"/>
          <w:color w:val="000000" w:themeColor="text1"/>
          <w:sz w:val="22"/>
          <w:szCs w:val="22"/>
          <w:lang w:val="en-GB"/>
        </w:rPr>
        <w:t>Note:</w:t>
      </w:r>
      <w:r w:rsidRPr="168C6140">
        <w:rPr>
          <w:rFonts w:asciiTheme="minorHAnsi" w:eastAsiaTheme="minorEastAsia" w:hAnsiTheme="minorHAnsi" w:cstheme="minorBidi"/>
          <w:b/>
          <w:bCs/>
          <w:i/>
          <w:iCs/>
          <w:color w:val="000000" w:themeColor="text1"/>
          <w:sz w:val="22"/>
          <w:szCs w:val="22"/>
        </w:rPr>
        <w:t xml:space="preserve"> </w:t>
      </w:r>
      <w:r w:rsidRPr="168C6140">
        <w:rPr>
          <w:rStyle w:val="a6"/>
          <w:rFonts w:asciiTheme="minorHAnsi" w:eastAsiaTheme="minorEastAsia" w:hAnsiTheme="minorHAnsi" w:cstheme="minorBidi"/>
          <w:i w:val="0"/>
          <w:iCs w:val="0"/>
          <w:color w:val="000000" w:themeColor="text1"/>
          <w:sz w:val="22"/>
          <w:szCs w:val="22"/>
        </w:rPr>
        <w:t>Participants may fall into more than one category. Disability types are grouped into broad functional categories for descriptive purposes.</w:t>
      </w:r>
    </w:p>
    <w:p w14:paraId="60F2B205" w14:textId="59A4436E" w:rsidR="00501D21" w:rsidRDefault="00501D21" w:rsidP="168C6140">
      <w:pPr>
        <w:pStyle w:val="a5"/>
        <w:rPr>
          <w:rStyle w:val="a6"/>
          <w:rFonts w:asciiTheme="minorHAnsi" w:eastAsiaTheme="minorEastAsia" w:hAnsiTheme="minorHAnsi" w:cstheme="minorBidi"/>
          <w:i w:val="0"/>
          <w:iCs w:val="0"/>
          <w:color w:val="000000" w:themeColor="text1"/>
          <w:sz w:val="22"/>
          <w:szCs w:val="22"/>
        </w:rPr>
      </w:pPr>
    </w:p>
    <w:p w14:paraId="4D078BC4" w14:textId="660B6776" w:rsidR="168C6140" w:rsidRDefault="168C6140"/>
    <w:sectPr w:rsidR="168C61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71E"/>
    <w:multiLevelType w:val="hybridMultilevel"/>
    <w:tmpl w:val="82C2D67A"/>
    <w:lvl w:ilvl="0" w:tplc="2CF290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F1146"/>
    <w:multiLevelType w:val="hybridMultilevel"/>
    <w:tmpl w:val="3C3AD17E"/>
    <w:lvl w:ilvl="0" w:tplc="2CF290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970D5"/>
    <w:multiLevelType w:val="hybridMultilevel"/>
    <w:tmpl w:val="0F545A4C"/>
    <w:lvl w:ilvl="0" w:tplc="2CF290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DD"/>
    <w:rsid w:val="00031B17"/>
    <w:rsid w:val="000575B8"/>
    <w:rsid w:val="00132BDA"/>
    <w:rsid w:val="0017716F"/>
    <w:rsid w:val="001801D5"/>
    <w:rsid w:val="001C7929"/>
    <w:rsid w:val="001F11E5"/>
    <w:rsid w:val="002A0D00"/>
    <w:rsid w:val="00387576"/>
    <w:rsid w:val="003B340D"/>
    <w:rsid w:val="004F412D"/>
    <w:rsid w:val="00501D21"/>
    <w:rsid w:val="0058364A"/>
    <w:rsid w:val="005E66CD"/>
    <w:rsid w:val="0065464A"/>
    <w:rsid w:val="006A1286"/>
    <w:rsid w:val="0075269D"/>
    <w:rsid w:val="00820A36"/>
    <w:rsid w:val="00872CD1"/>
    <w:rsid w:val="008E40F8"/>
    <w:rsid w:val="00937FA6"/>
    <w:rsid w:val="00955281"/>
    <w:rsid w:val="0099381B"/>
    <w:rsid w:val="00A15DCD"/>
    <w:rsid w:val="00AA5B19"/>
    <w:rsid w:val="00B1542A"/>
    <w:rsid w:val="00B67775"/>
    <w:rsid w:val="00B9546E"/>
    <w:rsid w:val="00BF0935"/>
    <w:rsid w:val="00BF1781"/>
    <w:rsid w:val="00BF31A3"/>
    <w:rsid w:val="00C21354"/>
    <w:rsid w:val="00C326DD"/>
    <w:rsid w:val="00CA5F0D"/>
    <w:rsid w:val="00CB7B88"/>
    <w:rsid w:val="00D64E89"/>
    <w:rsid w:val="00DF72B3"/>
    <w:rsid w:val="00E42E1B"/>
    <w:rsid w:val="00F80E21"/>
    <w:rsid w:val="00F8259B"/>
    <w:rsid w:val="00F90372"/>
    <w:rsid w:val="00FD790E"/>
    <w:rsid w:val="0102DD56"/>
    <w:rsid w:val="013C14D9"/>
    <w:rsid w:val="0410FD6E"/>
    <w:rsid w:val="06A93A82"/>
    <w:rsid w:val="0A29015F"/>
    <w:rsid w:val="0CA562C8"/>
    <w:rsid w:val="0CD28904"/>
    <w:rsid w:val="0EAF40BD"/>
    <w:rsid w:val="1084959A"/>
    <w:rsid w:val="11CBA1F1"/>
    <w:rsid w:val="13F22BD4"/>
    <w:rsid w:val="140EBF5A"/>
    <w:rsid w:val="1441AE1D"/>
    <w:rsid w:val="147CC3BD"/>
    <w:rsid w:val="14C402FB"/>
    <w:rsid w:val="15093C57"/>
    <w:rsid w:val="1666E5F7"/>
    <w:rsid w:val="168C6140"/>
    <w:rsid w:val="16EF6F24"/>
    <w:rsid w:val="17062633"/>
    <w:rsid w:val="1894CE0B"/>
    <w:rsid w:val="18E710C6"/>
    <w:rsid w:val="19425371"/>
    <w:rsid w:val="1961470B"/>
    <w:rsid w:val="19860611"/>
    <w:rsid w:val="1BAE66E6"/>
    <w:rsid w:val="1CA2639E"/>
    <w:rsid w:val="1DE8BB57"/>
    <w:rsid w:val="1FCAA9C3"/>
    <w:rsid w:val="1FCE1C61"/>
    <w:rsid w:val="205D4380"/>
    <w:rsid w:val="20A838DE"/>
    <w:rsid w:val="20D5644E"/>
    <w:rsid w:val="21A4DE0D"/>
    <w:rsid w:val="24087DC8"/>
    <w:rsid w:val="24586184"/>
    <w:rsid w:val="24940062"/>
    <w:rsid w:val="2515DC61"/>
    <w:rsid w:val="2587BD39"/>
    <w:rsid w:val="260F6641"/>
    <w:rsid w:val="267D4BA2"/>
    <w:rsid w:val="2956F989"/>
    <w:rsid w:val="296D2F63"/>
    <w:rsid w:val="2C22D7D0"/>
    <w:rsid w:val="32B21FC5"/>
    <w:rsid w:val="339F3BFF"/>
    <w:rsid w:val="342EFE67"/>
    <w:rsid w:val="35BC540F"/>
    <w:rsid w:val="372CB193"/>
    <w:rsid w:val="375F3305"/>
    <w:rsid w:val="3835B01C"/>
    <w:rsid w:val="39C88029"/>
    <w:rsid w:val="3AFC0BFD"/>
    <w:rsid w:val="3D0F6766"/>
    <w:rsid w:val="3DE30AB4"/>
    <w:rsid w:val="40335F35"/>
    <w:rsid w:val="409458E7"/>
    <w:rsid w:val="41038A60"/>
    <w:rsid w:val="41129766"/>
    <w:rsid w:val="4257B338"/>
    <w:rsid w:val="431854FC"/>
    <w:rsid w:val="43BFF55D"/>
    <w:rsid w:val="43F2268F"/>
    <w:rsid w:val="44489499"/>
    <w:rsid w:val="44E309A3"/>
    <w:rsid w:val="459D8DAD"/>
    <w:rsid w:val="46C18936"/>
    <w:rsid w:val="47096E35"/>
    <w:rsid w:val="488F85E2"/>
    <w:rsid w:val="49ED1834"/>
    <w:rsid w:val="4B1FE9DD"/>
    <w:rsid w:val="4C0D604B"/>
    <w:rsid w:val="4EB6F119"/>
    <w:rsid w:val="5078D882"/>
    <w:rsid w:val="51555AE3"/>
    <w:rsid w:val="5188AAFE"/>
    <w:rsid w:val="52150230"/>
    <w:rsid w:val="53F0FAD8"/>
    <w:rsid w:val="55128845"/>
    <w:rsid w:val="561CD23D"/>
    <w:rsid w:val="58B9B841"/>
    <w:rsid w:val="5A0D6FCA"/>
    <w:rsid w:val="5A9C8288"/>
    <w:rsid w:val="5C48C602"/>
    <w:rsid w:val="5C7A7CA5"/>
    <w:rsid w:val="5C935DF6"/>
    <w:rsid w:val="5D26A8A4"/>
    <w:rsid w:val="5DABED81"/>
    <w:rsid w:val="5F8CA92D"/>
    <w:rsid w:val="6037DD73"/>
    <w:rsid w:val="61439040"/>
    <w:rsid w:val="627BBFA0"/>
    <w:rsid w:val="63C576A4"/>
    <w:rsid w:val="640943EF"/>
    <w:rsid w:val="651C4B54"/>
    <w:rsid w:val="66A30767"/>
    <w:rsid w:val="6709F671"/>
    <w:rsid w:val="67A0BD3E"/>
    <w:rsid w:val="67F6961D"/>
    <w:rsid w:val="68C8591B"/>
    <w:rsid w:val="6B99D243"/>
    <w:rsid w:val="6C2F3506"/>
    <w:rsid w:val="6DB67F5B"/>
    <w:rsid w:val="6DEC1B97"/>
    <w:rsid w:val="6F7BE794"/>
    <w:rsid w:val="70C0C987"/>
    <w:rsid w:val="71ACAA25"/>
    <w:rsid w:val="7540AF42"/>
    <w:rsid w:val="758EE541"/>
    <w:rsid w:val="7719FFF3"/>
    <w:rsid w:val="77CCFD5F"/>
    <w:rsid w:val="77E73DC0"/>
    <w:rsid w:val="7807DBC4"/>
    <w:rsid w:val="782A345F"/>
    <w:rsid w:val="7879ADCC"/>
    <w:rsid w:val="790E683A"/>
    <w:rsid w:val="7A790227"/>
    <w:rsid w:val="7DF5E6BD"/>
    <w:rsid w:val="7FA1D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3E6B"/>
  <w15:chartTrackingRefBased/>
  <w15:docId w15:val="{977125F5-3617-472E-8F3F-FE1AF630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412D"/>
    <w:rPr>
      <w:b/>
      <w:bCs/>
    </w:rPr>
  </w:style>
  <w:style w:type="paragraph" w:styleId="a4">
    <w:name w:val="List Paragraph"/>
    <w:basedOn w:val="a"/>
    <w:uiPriority w:val="34"/>
    <w:qFormat/>
    <w:rsid w:val="004F412D"/>
    <w:pPr>
      <w:ind w:left="720"/>
      <w:contextualSpacing/>
    </w:pPr>
  </w:style>
  <w:style w:type="character" w:customStyle="1" w:styleId="relative">
    <w:name w:val="relative"/>
    <w:basedOn w:val="a0"/>
    <w:rsid w:val="00CB7B88"/>
  </w:style>
  <w:style w:type="paragraph" w:styleId="a5">
    <w:name w:val="Normal (Web)"/>
    <w:basedOn w:val="a"/>
    <w:uiPriority w:val="99"/>
    <w:unhideWhenUsed/>
    <w:rsid w:val="001F11E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1F11E5"/>
    <w:rPr>
      <w:i/>
      <w:iCs/>
    </w:r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01D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99104">
      <w:bodyDiv w:val="1"/>
      <w:marLeft w:val="0"/>
      <w:marRight w:val="0"/>
      <w:marTop w:val="0"/>
      <w:marBottom w:val="0"/>
      <w:divBdr>
        <w:top w:val="none" w:sz="0" w:space="0" w:color="auto"/>
        <w:left w:val="none" w:sz="0" w:space="0" w:color="auto"/>
        <w:bottom w:val="none" w:sz="0" w:space="0" w:color="auto"/>
        <w:right w:val="none" w:sz="0" w:space="0" w:color="auto"/>
      </w:divBdr>
    </w:div>
    <w:div w:id="178777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2059</Words>
  <Characters>11738</Characters>
  <Application>Microsoft Office Word</Application>
  <DocSecurity>0</DocSecurity>
  <Lines>97</Lines>
  <Paragraphs>27</Paragraphs>
  <ScaleCrop>false</ScaleCrop>
  <Company>SPecialiST RePack</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36</cp:revision>
  <dcterms:created xsi:type="dcterms:W3CDTF">2026-03-11T14:30:00Z</dcterms:created>
  <dcterms:modified xsi:type="dcterms:W3CDTF">2026-06-30T11:06:00Z</dcterms:modified>
</cp:coreProperties>
</file>