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52"/>
        </w:rPr>
        <w:t>Root Cause Analysis Toolkit</w:t>
      </w:r>
    </w:p>
    <w:p>
      <w:pPr>
        <w:jc w:val="center"/>
      </w:pPr>
      <w:r>
        <w:t>5 Whys and Fishbone investigation worksheets</w:t>
      </w:r>
    </w:p>
    <w:p/>
    <w:p>
      <w:pPr>
        <w:pStyle w:val="Heading2"/>
      </w:pPr>
      <w:r>
        <w:t>5 Whys Analysis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Problem Statement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1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2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3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4</w:t>
            </w:r>
          </w:p>
        </w:tc>
        <w:tc>
          <w:tcPr>
            <w:tcW w:type="dxa" w:w="4320"/>
          </w:tcPr>
          <w:p/>
        </w:tc>
      </w:tr>
      <w:tr>
        <w:tc>
          <w:tcPr>
            <w:tcW w:type="dxa" w:w="4320"/>
          </w:tcPr>
          <w:p>
            <w:r>
              <w:t>Why 5</w:t>
            </w:r>
          </w:p>
        </w:tc>
        <w:tc>
          <w:tcPr>
            <w:tcW w:type="dxa" w:w="4320"/>
          </w:tcPr>
          <w:p/>
        </w:tc>
      </w:tr>
    </w:tbl>
    <w:p>
      <w:pPr>
        <w:pStyle w:val="Heading2"/>
      </w:pPr>
      <w:r>
        <w:t>Fishbone Cause Categories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1440"/>
          </w:tcPr>
          <w:p>
            <w:r>
              <w:t>Man</w:t>
            </w:r>
          </w:p>
        </w:tc>
        <w:tc>
          <w:tcPr>
            <w:tcW w:type="dxa" w:w="1440"/>
          </w:tcPr>
          <w:p>
            <w:r>
              <w:t>Machine</w:t>
            </w:r>
          </w:p>
        </w:tc>
        <w:tc>
          <w:tcPr>
            <w:tcW w:type="dxa" w:w="1440"/>
          </w:tcPr>
          <w:p>
            <w:r>
              <w:t>Method</w:t>
            </w:r>
          </w:p>
        </w:tc>
        <w:tc>
          <w:tcPr>
            <w:tcW w:type="dxa" w:w="1440"/>
          </w:tcPr>
          <w:p>
            <w:r>
              <w:t>Material</w:t>
            </w:r>
          </w:p>
        </w:tc>
        <w:tc>
          <w:tcPr>
            <w:tcW w:type="dxa" w:w="1440"/>
          </w:tcPr>
          <w:p>
            <w:r>
              <w:t>Measurement</w:t>
            </w:r>
          </w:p>
        </w:tc>
        <w:tc>
          <w:tcPr>
            <w:tcW w:type="dxa" w:w="1440"/>
          </w:tcPr>
          <w:p>
            <w:r>
              <w:t>Environment</w:t>
            </w:r>
          </w:p>
        </w:tc>
      </w:tr>
    </w:tbl>
    <w:p>
      <w:pPr>
        <w:pStyle w:val="Heading2"/>
      </w:pPr>
      <w:r>
        <w:t>Revision History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Version</w:t>
            </w:r>
          </w:p>
        </w:tc>
        <w:tc>
          <w:tcPr>
            <w:tcW w:type="dxa" w:w="2160"/>
          </w:tcPr>
          <w:p>
            <w:r>
              <w:t>Date</w:t>
            </w:r>
          </w:p>
        </w:tc>
        <w:tc>
          <w:tcPr>
            <w:tcW w:type="dxa" w:w="2160"/>
          </w:tcPr>
          <w:p>
            <w:r>
              <w:t>Description</w:t>
            </w:r>
          </w:p>
        </w:tc>
        <w:tc>
          <w:tcPr>
            <w:tcW w:type="dxa" w:w="2160"/>
          </w:tcPr>
          <w:p>
            <w:r>
              <w:t>Author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t>Quality Intelligence Platform | https://www.complere.tech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</w:pPr>
    <w:r>
      <w:drawing>
        <wp:inline xmlns:a="http://schemas.openxmlformats.org/drawingml/2006/main" xmlns:pic="http://schemas.openxmlformats.org/drawingml/2006/picture">
          <wp:extent cx="731520" cy="524667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complere_icon_resourc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1520" cy="524667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