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6w3sywrjqt9d" w:id="0"/>
      <w:bookmarkEnd w:id="0"/>
      <w:r w:rsidDel="00000000" w:rsidR="00000000" w:rsidRPr="00000000">
        <w:rPr>
          <w:rtl w:val="0"/>
        </w:rPr>
        <w:t xml:space="preserve">Sustainability Risk Policy</w:t>
      </w:r>
    </w:p>
    <w:p w:rsidR="00000000" w:rsidDel="00000000" w:rsidP="00000000" w:rsidRDefault="00000000" w:rsidRPr="00000000" w14:paraId="00000002">
      <w:pPr>
        <w:pStyle w:val="Heading3"/>
        <w:rPr/>
      </w:pPr>
      <w:bookmarkStart w:colFirst="0" w:colLast="0" w:name="_ux5oerestx9p" w:id="1"/>
      <w:bookmarkEnd w:id="1"/>
      <w:r w:rsidDel="00000000" w:rsidR="00000000" w:rsidRPr="00000000">
        <w:rPr>
          <w:rtl w:val="0"/>
        </w:rPr>
        <w:t xml:space="preserve">Purpose</w:t>
      </w:r>
    </w:p>
    <w:p w:rsidR="00000000" w:rsidDel="00000000" w:rsidP="00000000" w:rsidRDefault="00000000" w:rsidRPr="00000000" w14:paraId="00000003">
      <w:pPr>
        <w:rPr/>
      </w:pPr>
      <w:r w:rsidDel="00000000" w:rsidR="00000000" w:rsidRPr="00000000">
        <w:rPr>
          <w:rtl w:val="0"/>
        </w:rPr>
        <w:t xml:space="preserve">This document aims to describe how Bci Asset Management (or “The Manager”) incorporates sustainability risks into their investment process, in compliance with Article three of Regulation (EU) 2019/2088 (the Sustainable Finance Disclosure Regulation or “SFDR”).</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At Bci Asset Management, we recognize that </w:t>
      </w:r>
      <w:r w:rsidDel="00000000" w:rsidR="00000000" w:rsidRPr="00000000">
        <w:rPr>
          <w:b w:val="1"/>
          <w:bCs w:val="1"/>
          <w:rtl w:val="0"/>
        </w:rPr>
        <w:t xml:space="preserve">risks and opportunities arising from ESG factors can have relevant financial impacts on companies and the different types of assets in which they invest</w:t>
      </w:r>
      <w:r w:rsidDel="00000000" w:rsidR="00000000" w:rsidRPr="00000000">
        <w:rPr>
          <w:rtl w:val="0"/>
        </w:rPr>
        <w:t xml:space="preserve">. Indeed, the integration of environmental, social, and governance risks and opportunities allows for a deeper view of the assets that make up the investment universe. Consequently, the Manager is convinced that </w:t>
      </w:r>
      <w:r w:rsidDel="00000000" w:rsidR="00000000" w:rsidRPr="00000000">
        <w:rPr>
          <w:b w:val="1"/>
          <w:bCs w:val="1"/>
          <w:rtl w:val="0"/>
        </w:rPr>
        <w:t xml:space="preserve">integrating ESG</w:t>
      </w:r>
      <w:r w:rsidDel="00000000" w:rsidR="00000000" w:rsidRPr="00000000">
        <w:rPr>
          <w:rtl w:val="0"/>
        </w:rPr>
        <w:t xml:space="preserve"> factors into the management processes of administered assets, in interrelation with traditional financial analysis, allows for maximizing the risk-return relationship of investments, acting in the best interest of clients.</w:t>
      </w:r>
    </w:p>
    <w:p w:rsidR="00000000" w:rsidDel="00000000" w:rsidP="00000000" w:rsidRDefault="00000000" w:rsidRPr="00000000" w14:paraId="00000005">
      <w:pPr>
        <w:spacing w:after="200" w:lineRule="auto"/>
        <w:jc w:val="both"/>
        <w:rPr/>
      </w:pPr>
      <w:r w:rsidDel="00000000" w:rsidR="00000000" w:rsidRPr="00000000">
        <w:rPr>
          <w:rtl w:val="0"/>
        </w:rPr>
        <w:t xml:space="preserve">Additionally, through the exercise of </w:t>
      </w:r>
      <w:r w:rsidDel="00000000" w:rsidR="00000000" w:rsidRPr="00000000">
        <w:rPr>
          <w:b w:val="1"/>
          <w:bCs w:val="1"/>
          <w:rtl w:val="0"/>
        </w:rPr>
        <w:t xml:space="preserve">active ownership</w:t>
      </w:r>
      <w:r w:rsidDel="00000000" w:rsidR="00000000" w:rsidRPr="00000000">
        <w:rPr>
          <w:rtl w:val="0"/>
        </w:rPr>
        <w:t xml:space="preserve"> (or Stewardship), the Manager seeks to promote good sustainability practices in the companies in which it invests (or will potentially invest), generating long-term economic, environmental, and social value, and contributing to the sustainable development of the region.</w:t>
      </w:r>
    </w:p>
    <w:p w:rsidR="00000000" w:rsidDel="00000000" w:rsidP="00000000" w:rsidRDefault="00000000" w:rsidRPr="00000000" w14:paraId="00000006">
      <w:pPr>
        <w:spacing w:after="200" w:lineRule="auto"/>
        <w:jc w:val="both"/>
        <w:rPr/>
      </w:pPr>
      <w:r w:rsidDel="00000000" w:rsidR="00000000" w:rsidRPr="00000000">
        <w:rPr>
          <w:rtl w:val="0"/>
        </w:rPr>
        <w:t xml:space="preserve">In essence, this document highlights Bci Asset Management commitment to implement responsible investment principles into its investment strategy, as well as its strategic orientation towards EG Integration and Stewardship.</w:t>
      </w:r>
    </w:p>
    <w:p w:rsidR="00000000" w:rsidDel="00000000" w:rsidP="00000000" w:rsidRDefault="00000000" w:rsidRPr="00000000" w14:paraId="00000007">
      <w:pPr>
        <w:pStyle w:val="Heading3"/>
        <w:rPr/>
      </w:pPr>
      <w:bookmarkStart w:colFirst="0" w:colLast="0" w:name="_t0gvtof96uvs" w:id="2"/>
      <w:bookmarkEnd w:id="2"/>
      <w:r w:rsidDel="00000000" w:rsidR="00000000" w:rsidRPr="00000000">
        <w:rPr>
          <w:rtl w:val="0"/>
        </w:rPr>
        <w:t xml:space="preserve">Investment Philosophy</w:t>
      </w:r>
    </w:p>
    <w:p w:rsidR="00000000" w:rsidDel="00000000" w:rsidP="00000000" w:rsidRDefault="00000000" w:rsidRPr="00000000" w14:paraId="00000008">
      <w:pPr>
        <w:rPr/>
      </w:pPr>
      <w:r w:rsidDel="00000000" w:rsidR="00000000" w:rsidRPr="00000000">
        <w:rPr>
          <w:rtl w:val="0"/>
        </w:rPr>
        <w:t xml:space="preserve">Bci Asset Management seeks to maximize its clients long-term risk-adjusted returns, based on an investment philosophy that seeks to add value through the fundamental analysis of the investee assets. Bci Asset Management’s ESG incorporation strategy aligns with this investment philosophy.</w:t>
      </w:r>
      <w:r w:rsidDel="00000000" w:rsidR="00000000" w:rsidRPr="00000000">
        <w:rPr>
          <w:rtl w:val="0"/>
        </w:rPr>
      </w:r>
    </w:p>
    <w:p w:rsidR="00000000" w:rsidDel="00000000" w:rsidP="00000000" w:rsidRDefault="00000000" w:rsidRPr="00000000" w14:paraId="00000009">
      <w:pPr>
        <w:pStyle w:val="Heading3"/>
        <w:rPr>
          <w:b w:val="0"/>
          <w:bCs w:val="0"/>
          <w:color w:val="76a5af"/>
        </w:rPr>
      </w:pPr>
      <w:bookmarkStart w:colFirst="0" w:colLast="0" w:name="_5g4gx8oml0y0" w:id="3"/>
      <w:bookmarkEnd w:id="3"/>
      <w:r w:rsidDel="00000000" w:rsidR="00000000" w:rsidRPr="00000000">
        <w:rPr>
          <w:rtl w:val="0"/>
        </w:rPr>
        <w:t xml:space="preserve">Scope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This document applies to certain funds considered as direct-investment strategies. These strategies correspond to those funds and investment products where Bci Asset Management has discretionality over the selection, allocation and risk management of the underlying assets. Specifically, the document focuses on direct-investment strategies that concern Chilean and Latin America fixed income and equity funds.</w:t>
      </w:r>
    </w:p>
    <w:p w:rsidR="00000000" w:rsidDel="00000000" w:rsidP="00000000" w:rsidRDefault="00000000" w:rsidRPr="00000000" w14:paraId="0000000B">
      <w:pPr>
        <w:pStyle w:val="Heading3"/>
        <w:rPr/>
      </w:pPr>
      <w:bookmarkStart w:colFirst="0" w:colLast="0" w:name="_c0ljt69xhals" w:id="4"/>
      <w:bookmarkEnd w:id="4"/>
      <w:r w:rsidDel="00000000" w:rsidR="00000000" w:rsidRPr="00000000">
        <w:rPr>
          <w:rtl w:val="0"/>
        </w:rPr>
        <w:t xml:space="preserve">Sustainability Risk Integration</w:t>
      </w:r>
    </w:p>
    <w:p w:rsidR="00000000" w:rsidDel="00000000" w:rsidP="00000000" w:rsidRDefault="00000000" w:rsidRPr="00000000" w14:paraId="0000000C">
      <w:pPr>
        <w:rPr/>
      </w:pPr>
      <w:r w:rsidDel="00000000" w:rsidR="00000000" w:rsidRPr="00000000">
        <w:rPr>
          <w:rtl w:val="0"/>
        </w:rPr>
        <w:t xml:space="preserve">At Bci Asset Management, sustainability risk integration is systematically and gradually implemented through the assessment and integration of material environmental, social and governance (“ESG”) factors. This strategy seeks to implement the following methodological steps to the investment process:</w:t>
      </w:r>
    </w:p>
    <w:p w:rsidR="00000000" w:rsidDel="00000000" w:rsidP="00000000" w:rsidRDefault="00000000" w:rsidRPr="00000000" w14:paraId="0000000D">
      <w:pPr>
        <w:numPr>
          <w:ilvl w:val="0"/>
          <w:numId w:val="2"/>
        </w:numPr>
        <w:spacing w:after="0" w:afterAutospacing="0"/>
        <w:ind w:left="720" w:hanging="360"/>
        <w:rPr>
          <w:u w:val="none"/>
        </w:rPr>
      </w:pPr>
      <w:r w:rsidDel="00000000" w:rsidR="00000000" w:rsidRPr="00000000">
        <w:rPr>
          <w:b w:val="1"/>
          <w:bCs w:val="1"/>
          <w:rtl w:val="0"/>
        </w:rPr>
        <w:t xml:space="preserve">Industry- and security-level</w:t>
      </w:r>
      <w:r w:rsidDel="00000000" w:rsidR="00000000" w:rsidRPr="00000000">
        <w:rPr>
          <w:rtl w:val="0"/>
        </w:rPr>
        <w:t xml:space="preserve">: </w:t>
      </w:r>
    </w:p>
    <w:p w:rsidR="00000000" w:rsidDel="00000000" w:rsidP="00000000" w:rsidRDefault="00000000" w:rsidRPr="00000000" w14:paraId="0000000E">
      <w:pPr>
        <w:numPr>
          <w:ilvl w:val="1"/>
          <w:numId w:val="2"/>
        </w:numPr>
        <w:spacing w:after="0" w:afterAutospacing="0"/>
        <w:ind w:left="1440" w:hanging="360"/>
        <w:rPr>
          <w:u w:val="none"/>
        </w:rPr>
      </w:pPr>
      <w:r w:rsidDel="00000000" w:rsidR="00000000" w:rsidRPr="00000000">
        <w:rPr>
          <w:rtl w:val="0"/>
        </w:rPr>
        <w:t xml:space="preserve">Identification of material ESG factors</w:t>
      </w:r>
    </w:p>
    <w:p w:rsidR="00000000" w:rsidDel="00000000" w:rsidP="00000000" w:rsidRDefault="00000000" w:rsidRPr="00000000" w14:paraId="0000000F">
      <w:pPr>
        <w:numPr>
          <w:ilvl w:val="1"/>
          <w:numId w:val="2"/>
        </w:numPr>
        <w:spacing w:after="0" w:afterAutospacing="0"/>
        <w:ind w:left="1440" w:hanging="360"/>
        <w:rPr>
          <w:u w:val="none"/>
        </w:rPr>
      </w:pPr>
      <w:r w:rsidDel="00000000" w:rsidR="00000000" w:rsidRPr="00000000">
        <w:rPr>
          <w:rtl w:val="0"/>
        </w:rPr>
        <w:t xml:space="preserve">Qualitative analysis of the management of sustainability risks and opportunities by the investee companies</w:t>
      </w:r>
    </w:p>
    <w:p w:rsidR="00000000" w:rsidDel="00000000" w:rsidP="00000000" w:rsidRDefault="00000000" w:rsidRPr="00000000" w14:paraId="00000010">
      <w:pPr>
        <w:numPr>
          <w:ilvl w:val="1"/>
          <w:numId w:val="2"/>
        </w:numPr>
        <w:spacing w:after="0" w:afterAutospacing="0"/>
        <w:ind w:left="1440" w:hanging="360"/>
        <w:rPr>
          <w:u w:val="none"/>
        </w:rPr>
      </w:pPr>
      <w:r w:rsidDel="00000000" w:rsidR="00000000" w:rsidRPr="00000000">
        <w:rPr>
          <w:rtl w:val="0"/>
        </w:rPr>
        <w:t xml:space="preserve">Exercises of financial quantification of the most relevant sustainability risks, which are part of the base or risk scenarios of the investment case</w:t>
      </w:r>
    </w:p>
    <w:p w:rsidR="00000000" w:rsidDel="00000000" w:rsidP="00000000" w:rsidRDefault="00000000" w:rsidRPr="00000000" w14:paraId="00000011">
      <w:pPr>
        <w:numPr>
          <w:ilvl w:val="0"/>
          <w:numId w:val="2"/>
        </w:numPr>
        <w:spacing w:after="0" w:afterAutospacing="0"/>
        <w:ind w:left="720" w:hanging="360"/>
        <w:rPr>
          <w:b w:val="1"/>
          <w:bCs w:val="1"/>
        </w:rPr>
      </w:pPr>
      <w:r w:rsidDel="00000000" w:rsidR="00000000" w:rsidRPr="00000000">
        <w:rPr>
          <w:b w:val="1"/>
          <w:bCs w:val="1"/>
          <w:rtl w:val="0"/>
        </w:rPr>
        <w:t xml:space="preserve">Portfolio-level</w:t>
      </w:r>
      <w:r w:rsidDel="00000000" w:rsidR="00000000" w:rsidRPr="00000000">
        <w:rPr>
          <w:rtl w:val="0"/>
        </w:rPr>
        <w:t xml:space="preserve">:</w:t>
      </w:r>
    </w:p>
    <w:p w:rsidR="00000000" w:rsidDel="00000000" w:rsidP="00000000" w:rsidRDefault="00000000" w:rsidRPr="00000000" w14:paraId="00000012">
      <w:pPr>
        <w:numPr>
          <w:ilvl w:val="0"/>
          <w:numId w:val="1"/>
        </w:numPr>
        <w:ind w:left="1440" w:hanging="360"/>
        <w:rPr>
          <w:u w:val="none"/>
        </w:rPr>
      </w:pPr>
      <w:r w:rsidDel="00000000" w:rsidR="00000000" w:rsidRPr="00000000">
        <w:rPr>
          <w:rtl w:val="0"/>
        </w:rPr>
        <w:t xml:space="preserve">Incorporation of ESG factors in the investment decision-making process, portfolio construction and risk management</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In order to effectively cover the steps related to the “Industry- and Security-Level”, the Manager has chosen to separate the ESG evaluation process into two pillars:</w:t>
      </w:r>
    </w:p>
    <w:p w:rsidR="00000000" w:rsidDel="00000000" w:rsidP="00000000" w:rsidRDefault="00000000" w:rsidRPr="00000000" w14:paraId="00000014">
      <w:pPr>
        <w:numPr>
          <w:ilvl w:val="0"/>
          <w:numId w:val="3"/>
        </w:numPr>
        <w:spacing w:after="0" w:afterAutospacing="0"/>
        <w:ind w:left="720" w:hanging="360"/>
        <w:rPr/>
      </w:pPr>
      <w:r w:rsidDel="00000000" w:rsidR="00000000" w:rsidRPr="00000000">
        <w:rPr>
          <w:b w:val="1"/>
          <w:bCs w:val="1"/>
          <w:rtl w:val="0"/>
        </w:rPr>
        <w:t xml:space="preserve">Corporate Governance</w:t>
      </w:r>
      <w:r w:rsidDel="00000000" w:rsidR="00000000" w:rsidRPr="00000000">
        <w:rPr>
          <w:rtl w:val="0"/>
        </w:rPr>
        <w:t xml:space="preserve">: the firms’ corporate governance is evaluated based on a proprietary questionnaire. This evaluation is structured based on global principles and guides on corporate governance and idiosyncratic factors endemic to the Latin American region. This questionnaire helps to identify the main gaps and risks in relation to the corporate governance of issuers, such as: ownership structure, board effectiveness, accountability systems, alignment, transparency, and sustainability management.</w:t>
      </w:r>
    </w:p>
    <w:p w:rsidR="00000000" w:rsidDel="00000000" w:rsidP="00000000" w:rsidRDefault="00000000" w:rsidRPr="00000000" w14:paraId="00000015">
      <w:pPr>
        <w:numPr>
          <w:ilvl w:val="0"/>
          <w:numId w:val="3"/>
        </w:numPr>
        <w:ind w:left="720" w:hanging="360"/>
        <w:rPr>
          <w:u w:val="none"/>
        </w:rPr>
      </w:pPr>
      <w:r w:rsidDel="00000000" w:rsidR="00000000" w:rsidRPr="00000000">
        <w:rPr>
          <w:b w:val="1"/>
          <w:bCs w:val="1"/>
          <w:rtl w:val="0"/>
        </w:rPr>
        <w:t xml:space="preserve">Environmental and Social (“E&amp;S”)</w:t>
      </w:r>
      <w:r w:rsidDel="00000000" w:rsidR="00000000" w:rsidRPr="00000000">
        <w:rPr>
          <w:rtl w:val="0"/>
        </w:rPr>
        <w:t xml:space="preserve">: for the analysis of these factors, the Manager has first developed sectorial materiality reports, which identifies and parametrizes the E&amp;S factors that are material for each of the industries assessed. </w:t>
      </w:r>
    </w:p>
    <w:p w:rsidR="00000000" w:rsidDel="00000000" w:rsidP="00000000" w:rsidRDefault="00000000" w:rsidRPr="00000000" w14:paraId="00000016">
      <w:pPr>
        <w:rPr/>
      </w:pPr>
      <w:r w:rsidDel="00000000" w:rsidR="00000000" w:rsidRPr="00000000">
        <w:rPr>
          <w:rtl w:val="0"/>
        </w:rPr>
        <w:t xml:space="preserve">The integration of material ESG factors are at the core of the investment decision process. They are integrated into the investment cases, complementing traditional financial information, either through qualitative and/or quantitative approaches. The quantitative approach involves the financial modelling of sustainability risk factors, while the qualitative one focuses on the understanding of sustainability transitions and corporate sustainability practices to cope with sustainability risks and opportunities. </w:t>
      </w:r>
    </w:p>
    <w:p w:rsidR="00000000" w:rsidDel="00000000" w:rsidP="00000000" w:rsidRDefault="00000000" w:rsidRPr="00000000" w14:paraId="00000017">
      <w:pPr>
        <w:pStyle w:val="Heading3"/>
        <w:rPr/>
      </w:pPr>
      <w:bookmarkStart w:colFirst="0" w:colLast="0" w:name="_n21zdwewlead" w:id="5"/>
      <w:bookmarkEnd w:id="5"/>
      <w:r w:rsidDel="00000000" w:rsidR="00000000" w:rsidRPr="00000000">
        <w:rPr>
          <w:rtl w:val="0"/>
        </w:rPr>
        <w:t xml:space="preserve">Stewardship</w:t>
      </w:r>
    </w:p>
    <w:p w:rsidR="00000000" w:rsidDel="00000000" w:rsidP="00000000" w:rsidRDefault="00000000" w:rsidRPr="00000000" w14:paraId="00000018">
      <w:pPr>
        <w:rPr/>
      </w:pPr>
      <w:r w:rsidDel="00000000" w:rsidR="00000000" w:rsidRPr="00000000">
        <w:rPr>
          <w:rtl w:val="0"/>
        </w:rPr>
        <w:t xml:space="preserve">Bci Asset Management has also adopted stewardship strategies into their ESG incorporation process, notably </w:t>
      </w:r>
      <w:r w:rsidDel="00000000" w:rsidR="00000000" w:rsidRPr="00000000">
        <w:rPr>
          <w:b w:val="1"/>
          <w:bCs w:val="1"/>
          <w:rtl w:val="0"/>
        </w:rPr>
        <w:t xml:space="preserve">engagement </w:t>
      </w:r>
      <w:r w:rsidDel="00000000" w:rsidR="00000000" w:rsidRPr="00000000">
        <w:rPr>
          <w:rtl w:val="0"/>
        </w:rPr>
        <w:t xml:space="preserve">and voting </w:t>
      </w:r>
      <w:r w:rsidDel="00000000" w:rsidR="00000000" w:rsidRPr="00000000">
        <w:rPr>
          <w:b w:val="1"/>
          <w:bCs w:val="1"/>
          <w:rtl w:val="0"/>
        </w:rPr>
        <w:t xml:space="preserve">approaches</w:t>
      </w:r>
      <w:r w:rsidDel="00000000" w:rsidR="00000000" w:rsidRPr="00000000">
        <w:rPr>
          <w:rtl w:val="0"/>
        </w:rPr>
        <w:t xml:space="preserve">. The objective of these activities is to protect and generate long-term value for the managers’ investments, through the promotion of good sustainability, risk management and transparency practices.</w:t>
      </w:r>
    </w:p>
    <w:p w:rsidR="00000000" w:rsidDel="00000000" w:rsidP="00000000" w:rsidRDefault="00000000" w:rsidRPr="00000000" w14:paraId="00000019">
      <w:pPr>
        <w:rPr/>
      </w:pPr>
      <w:r w:rsidDel="00000000" w:rsidR="00000000" w:rsidRPr="00000000">
        <w:rPr>
          <w:rtl w:val="0"/>
        </w:rPr>
        <w:t xml:space="preserve">The engagement process is immersed into the ESG integration strategy, as the latter contributes to the identification of material sustainability risks and opportunities for the investee companies. In parallel, the engagement activities seek to inform the process of investment-decision making, whether the endeavour is considered successful or not. Engagement is carried on through the promotion of constructive dialogue with different stakeholders, leveraging on the strong relationship Bci Asset Management has with different market participants.</w:t>
      </w:r>
    </w:p>
    <w:p w:rsidR="00000000" w:rsidDel="00000000" w:rsidP="00000000" w:rsidRDefault="00000000" w:rsidRPr="00000000" w14:paraId="0000001A">
      <w:pPr>
        <w:rPr/>
      </w:pPr>
      <w:r w:rsidDel="00000000" w:rsidR="00000000" w:rsidRPr="00000000">
        <w:rPr>
          <w:rtl w:val="0"/>
        </w:rPr>
        <w:t xml:space="preserve">The Manager also acknowledges the potential of collaborative engagement initiatives, in terms of their capacity to generate long-term value, resource efficiency, and communicational effectiveness. Bci Asset Management looks to participate or impulse such initiatives, insofar as they align to the firm’s prioritization criteria and to the investment process.</w:t>
      </w:r>
    </w:p>
    <w:p w:rsidR="00000000" w:rsidDel="00000000" w:rsidP="00000000" w:rsidRDefault="00000000" w:rsidRPr="00000000" w14:paraId="0000001B">
      <w:pPr>
        <w:rPr/>
      </w:pPr>
      <w:r w:rsidDel="00000000" w:rsidR="00000000" w:rsidRPr="00000000">
        <w:rPr>
          <w:rtl w:val="0"/>
        </w:rPr>
        <w:t xml:space="preserve">Regarding voting, Bci Asset Management actively participates in Shareholders’ Meetings, Bondholders’ and Contributors’ Assemblies, and other corporate governance instances of which our vote is required. In this sense, the Manager has developed methodologies to prioritize the meetings and voting-subjects in which it participates. For instance, Bci Asset Management promotes good corporate governance practices in the Shareholders’ Meeting through voting in favour of measures that improve sustainability and financial disclosure, enhance board effectiveness, strengthen accountability systems, and align long-term interests within the companies.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pacing w:after="200" w:lineRule="auto"/>
        <w:jc w:val="both"/>
        <w:rPr>
          <w:b w:val="1"/>
          <w:bCs w:val="1"/>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right"/>
      <w:rPr/>
    </w:pPr>
    <w:r w:rsidDel="00000000" w:rsidR="00000000" w:rsidRPr="00000000">
      <w:rPr/>
      <w:drawing>
        <wp:inline distB="114300" distT="114300" distL="114300" distR="114300">
          <wp:extent cx="1538288" cy="49354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38288" cy="49354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ind w:left="720" w:hanging="360"/>
    </w:pPr>
    <w:rPr>
      <w:b w:val="1"/>
      <w:bCs w:val="1"/>
      <w:sz w:val="40"/>
      <w:szCs w:val="40"/>
    </w:rPr>
  </w:style>
  <w:style w:type="paragraph" w:styleId="Heading2">
    <w:name w:val="heading 2"/>
    <w:basedOn w:val="Normal"/>
    <w:next w:val="Normal"/>
    <w:pPr>
      <w:keepNext w:val="1"/>
      <w:keepLines w:val="1"/>
      <w:spacing w:after="200" w:before="360" w:lineRule="auto"/>
      <w:jc w:val="both"/>
    </w:pPr>
    <w:rPr>
      <w:color w:val="134f5c"/>
      <w:sz w:val="32"/>
      <w:szCs w:val="32"/>
    </w:rPr>
  </w:style>
  <w:style w:type="paragraph" w:styleId="Heading3">
    <w:name w:val="heading 3"/>
    <w:basedOn w:val="Normal"/>
    <w:next w:val="Normal"/>
    <w:pPr>
      <w:keepNext w:val="1"/>
      <w:keepLines w:val="1"/>
      <w:spacing w:after="80" w:before="320" w:lineRule="auto"/>
      <w:jc w:val="both"/>
    </w:pPr>
    <w:rPr>
      <w:color w:val="76a5af"/>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