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6w3sywrjqt9d" w:id="0"/>
      <w:bookmarkEnd w:id="0"/>
      <w:r w:rsidDel="00000000" w:rsidR="00000000" w:rsidRPr="00000000">
        <w:rPr>
          <w:rtl w:val="0"/>
        </w:rPr>
        <w:t xml:space="preserve">Statement on Principle Adverse Impacts (PAIs)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Bci Asset Management does not consider the principal adverse impacts of investment decisions on sustainability factors under Article 4(1)(b) of Regulation (EU) 2019/2088 (the Sustainable Finance Disclosure Regulation or “SFDR”).</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regulatory technical standards (RTS) require financial market participants to disclose highly granular, standardized quantitative data on a specific set of environmental and social indicators. At the present time, Bci Asset Management does not consider the adverse impacts of its investment decisions as determined by SFDR regulation as the Manager considers that the costs and resources required to gather the necessary data and produce the corresponding report outweigh the benefits it provides to investors.</w:t>
      </w:r>
    </w:p>
    <w:p w:rsidR="00000000" w:rsidDel="00000000" w:rsidP="00000000" w:rsidRDefault="00000000" w:rsidRPr="00000000" w14:paraId="00000004">
      <w:pPr>
        <w:rPr/>
      </w:pPr>
      <w:r w:rsidDel="00000000" w:rsidR="00000000" w:rsidRPr="00000000">
        <w:rPr>
          <w:rtl w:val="0"/>
        </w:rPr>
        <w:t xml:space="preserve">While we do not track the formal PAI indicators at the firm level, we actively integrate sustainability risks into our investment process as detailed in our Sustainability Risk Policy [</w:t>
      </w:r>
      <w:r w:rsidDel="00000000" w:rsidR="00000000" w:rsidRPr="00000000">
        <w:rPr>
          <w:highlight w:val="yellow"/>
          <w:rtl w:val="0"/>
        </w:rPr>
        <w:t xml:space="preserve">Insert Link</w:t>
      </w:r>
      <w:r w:rsidDel="00000000" w:rsidR="00000000" w:rsidRPr="00000000">
        <w:rPr>
          <w:rtl w:val="0"/>
        </w:rPr>
        <w:t xml:space="preserve">], ensuring that environmental, social and governance (“ESG”) factors that could materially impact fund returns are still thoroughly assessed.</w:t>
      </w:r>
    </w:p>
    <w:p w:rsidR="00000000" w:rsidDel="00000000" w:rsidP="00000000" w:rsidRDefault="00000000" w:rsidRPr="00000000" w14:paraId="00000005">
      <w:pPr>
        <w:rPr/>
      </w:pPr>
      <w:r w:rsidDel="00000000" w:rsidR="00000000" w:rsidRPr="00000000">
        <w:rPr>
          <w:rtl w:val="0"/>
        </w:rPr>
        <w:t xml:space="preserve">Bci Asset Management will regularly review its position of not considering principal adverse impacts of investment decisions on sustainability factors, and may adopt the Article 4 framework if it considers it to be practical, appropriate and impactful for its clients.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200" w:lineRule="auto"/>
        <w:jc w:val="both"/>
        <w:rPr>
          <w:b w:val="1"/>
          <w:bCs w:val="1"/>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jc w:val="right"/>
      <w:rPr/>
    </w:pPr>
    <w:r w:rsidDel="00000000" w:rsidR="00000000" w:rsidRPr="00000000">
      <w:rPr/>
      <w:drawing>
        <wp:inline distB="114300" distT="114300" distL="114300" distR="114300">
          <wp:extent cx="1537200" cy="49244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7200" cy="4924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720" w:hanging="360"/>
    </w:pPr>
    <w:rPr>
      <w:b w:val="1"/>
      <w:bCs w:val="1"/>
      <w:sz w:val="40"/>
      <w:szCs w:val="40"/>
    </w:rPr>
  </w:style>
  <w:style w:type="paragraph" w:styleId="Heading2">
    <w:name w:val="heading 2"/>
    <w:basedOn w:val="Normal"/>
    <w:next w:val="Normal"/>
    <w:pPr>
      <w:keepNext w:val="1"/>
      <w:keepLines w:val="1"/>
      <w:spacing w:after="200" w:before="360" w:lineRule="auto"/>
      <w:jc w:val="both"/>
    </w:pPr>
    <w:rPr>
      <w:color w:val="134f5c"/>
      <w:sz w:val="32"/>
      <w:szCs w:val="32"/>
    </w:rPr>
  </w:style>
  <w:style w:type="paragraph" w:styleId="Heading3">
    <w:name w:val="heading 3"/>
    <w:basedOn w:val="Normal"/>
    <w:next w:val="Normal"/>
    <w:pPr>
      <w:keepNext w:val="1"/>
      <w:keepLines w:val="1"/>
      <w:spacing w:after="80" w:before="320" w:lineRule="auto"/>
      <w:jc w:val="both"/>
    </w:pPr>
    <w:rPr>
      <w:color w:val="76a5af"/>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