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6w3sywrjqt9d" w:id="0"/>
      <w:bookmarkEnd w:id="0"/>
      <w:r w:rsidDel="00000000" w:rsidR="00000000" w:rsidRPr="00000000">
        <w:rPr>
          <w:rtl w:val="0"/>
        </w:rPr>
        <w:t xml:space="preserve">Remuneration Policy Alignment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Bci Asset Management maintains remuneration practices designed to promote sound and effective ESG integration.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These practices aim to correctly align both the management and investment teams with the ESG incorporate strategy, incorporating within internal compensation policies a variable component that depends, among other factors, of the compliance of the goals and objectives related to both Bci Asset Management’s and its parent company’s sustainability strategies.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537200" cy="49244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37200" cy="49244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after="20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ind w:left="720" w:hanging="360"/>
    </w:pPr>
    <w:rPr>
      <w:b w:val="1"/>
      <w:bCs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  <w:jc w:val="both"/>
    </w:pPr>
    <w:rPr>
      <w:color w:val="134f5c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jc w:val="both"/>
    </w:pPr>
    <w:rPr>
      <w:color w:val="76a5af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