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widowControl/>
        <w:jc w:val="center"/>
      </w:pPr>
      <w:r>
        <w:rPr>
          <w:rFonts w:ascii="Calibri" w:hAnsi="Calibri"/>
          <w:b/>
          <w:i w:val="0"/>
          <w:color w:val="172033"/>
          <w:sz w:val="20"/>
        </w:rPr>
        <w:t>ASSESSMENT.COM  •  EDUCATOR RESOURCE</w:t>
      </w:r>
    </w:p>
    <w:p>
      <w:pPr>
        <w:widowControl/>
      </w:pPr>
    </w:p>
    <w:p>
      <w:pPr>
        <w:widowControl/>
      </w:pPr>
    </w:p>
    <w:p>
      <w:pPr>
        <w:widowControl/>
      </w:pPr>
    </w:p>
    <w:p>
      <w:pPr>
        <w:widowControl/>
        <w:spacing w:after="200"/>
        <w:jc w:val="center"/>
      </w:pPr>
      <w:r>
        <w:rPr>
          <w:rFonts w:ascii="Calibri" w:hAnsi="Calibri"/>
          <w:b/>
          <w:i w:val="0"/>
          <w:color w:val="0B1F3A"/>
          <w:sz w:val="58"/>
        </w:rPr>
        <w:t>The MAPP® High School</w:t>
        <w:br/>
        <w:t>Implementation Guide</w:t>
      </w:r>
    </w:p>
    <w:p>
      <w:pPr>
        <w:widowControl/>
        <w:spacing w:after="560"/>
        <w:jc w:val="center"/>
      </w:pPr>
      <w:r>
        <w:rPr>
          <w:rFonts w:ascii="Calibri" w:hAnsi="Calibri"/>
          <w:b w:val="0"/>
          <w:i w:val="0"/>
          <w:color w:val="5D6878"/>
          <w:sz w:val="28"/>
        </w:rPr>
        <w:t>A comprehensive resource for career discovery, college and major planning, CTE pathways, work-based learning, family engagement and schoolwide readiness</w:t>
      </w:r>
    </w:p>
    <w:tbl>
      <w:tblPr>
        <w:tblW w:type="dxa" w:w="9360"/>
        <w:jc w:val="left"/>
        <w:tblLayout w:type="fixed"/>
        <w:tblLook w:firstColumn="1" w:firstRow="1" w:lastColumn="0" w:lastRow="0" w:noHBand="0" w:noVBand="1" w:val="04A0"/>
        <w:tblInd w:w="120" w:type="dxa"/>
        <w:tblBorders>
          <w:top w:val="single" w:sz="8" w:space="0" w:color="F4C400"/>
          <w:left w:val="single" w:sz="8" w:space="0" w:color="F4C400"/>
          <w:bottom w:val="single" w:sz="8" w:space="0" w:color="F4C400"/>
          <w:right w:val="single" w:sz="8" w:space="0" w:color="F4C400"/>
          <w:insideH w:val="single" w:sz="8" w:space="0" w:color="F4C400"/>
          <w:insideV w:val="single" w:sz="8" w:space="0" w:color="F4C400"/>
        </w:tblBorders>
      </w:tblPr>
      <w:tblGrid>
        <w:gridCol w:w="9360"/>
      </w:tblGrid>
      <w:tr>
        <w:tc>
          <w:tcPr>
            <w:tcW w:type="dxa" w:w="9360"/>
            <w:tcMar>
              <w:top w:w="100" w:type="dxa"/>
              <w:start w:w="140" w:type="dxa"/>
              <w:bottom w:w="100" w:type="dxa"/>
              <w:end w:w="140" w:type="dxa"/>
            </w:tcMar>
            <w:vAlign w:val="center"/>
            <w:shd w:fill="FFF8D8"/>
          </w:tcPr>
          <w:p>
            <w:pPr>
              <w:spacing w:after="60"/>
            </w:pPr>
            <w:r>
              <w:rPr>
                <w:rFonts w:ascii="Calibri" w:hAnsi="Calibri"/>
                <w:b/>
                <w:i w:val="0"/>
                <w:color w:val="0B1F3A"/>
                <w:sz w:val="20"/>
              </w:rPr>
              <w:t xml:space="preserve">THE CORE IDEA  </w:t>
            </w:r>
            <w:r>
              <w:rPr>
                <w:rFonts w:ascii="Calibri" w:hAnsi="Calibri"/>
                <w:b w:val="0"/>
                <w:i w:val="0"/>
                <w:color w:val="172033"/>
                <w:sz w:val="20"/>
              </w:rPr>
              <w:t>MAPP is most valuable when it begins a guided process: Discover → Explore → Connect → Plan → Act → Measure.</w:t>
            </w:r>
          </w:p>
        </w:tc>
      </w:tr>
    </w:tbl>
    <w:p>
      <w:pPr>
        <w:widowControl/>
        <w:spacing w:after="20"/>
      </w:pPr>
    </w:p>
    <w:p>
      <w:pPr>
        <w:widowControl/>
      </w:pPr>
    </w:p>
    <w:p>
      <w:pPr>
        <w:widowControl/>
      </w:pPr>
    </w:p>
    <w:p>
      <w:pPr>
        <w:widowControl/>
      </w:pPr>
    </w:p>
    <w:p>
      <w:pPr>
        <w:widowControl/>
      </w:pPr>
    </w:p>
    <w:p>
      <w:pPr>
        <w:pStyle w:val="Lead"/>
        <w:widowControl/>
        <w:jc w:val="center"/>
      </w:pPr>
      <w:r>
        <w:rPr>
          <w:rFonts w:ascii="Calibri" w:hAnsi="Calibri"/>
          <w:b w:val="0"/>
          <w:i w:val="0"/>
          <w:color w:val="172033"/>
          <w:sz w:val="24"/>
        </w:rPr>
        <w:t>For school leaders, counselors, college and career advisors, CTE teams, teachers and families</w:t>
      </w:r>
    </w:p>
    <w:p>
      <w:pPr>
        <w:pStyle w:val="Small"/>
        <w:widowControl/>
        <w:jc w:val="center"/>
      </w:pPr>
      <w:r>
        <w:rPr>
          <w:rFonts w:ascii="Calibri" w:hAnsi="Calibri"/>
          <w:b w:val="0"/>
          <w:i w:val="0"/>
          <w:color w:val="172033"/>
          <w:sz w:val="17"/>
        </w:rPr>
        <w:t>2026 Edition</w:t>
      </w:r>
    </w:p>
    <w:p>
      <w:pPr>
        <w:pStyle w:val="Small"/>
        <w:widowControl/>
        <w:jc w:val="center"/>
      </w:pPr>
      <w:r>
        <w:rPr>
          <w:rFonts w:ascii="Calibri" w:hAnsi="Calibri"/>
          <w:b w:val="0"/>
          <w:i w:val="0"/>
          <w:color w:val="172033"/>
          <w:sz w:val="17"/>
        </w:rPr>
        <w:t>International Assessment Network LLC  •  Assessment.com</w:t>
      </w:r>
    </w:p>
    <w:p>
      <w:pPr>
        <w:widowControl/>
      </w:pPr>
      <w:r>
        <w:br w:type="page"/>
      </w:r>
    </w:p>
    <w:p>
      <w:pPr>
        <w:pStyle w:val="Heading1"/>
        <w:keepNext/>
        <w:widowControl/>
      </w:pPr>
      <w:r>
        <w:rPr>
          <w:rFonts w:ascii="Calibri" w:hAnsi="Calibri"/>
          <w:b w:val="0"/>
          <w:i w:val="0"/>
          <w:color w:val="172033"/>
          <w:sz w:val="36"/>
        </w:rPr>
        <w:t>How to Use This Guide</w:t>
      </w:r>
    </w:p>
    <w:p>
      <w:pPr>
        <w:widowControl/>
      </w:pPr>
      <w:r>
        <w:rPr>
          <w:rFonts w:ascii="Calibri" w:hAnsi="Calibri"/>
          <w:b w:val="0"/>
          <w:i w:val="0"/>
          <w:color w:val="172033"/>
          <w:sz w:val="21"/>
        </w:rPr>
        <w:t>This guide is designed to function as both a planning resource and an operating manual. Leaders can use the early sections to define program strategy; counselors can use the interpretation and conversation sections; teachers and advisory staff can use the grade-level activities; and families can use the discussion tools in the appendices.</w:t>
      </w:r>
    </w:p>
    <w:tbl>
      <w:tblPr>
        <w:tblW w:type="dxa" w:w="9360"/>
        <w:jc w:val="left"/>
        <w:tblLayout w:type="fixed"/>
        <w:tblLook w:firstColumn="1" w:firstRow="1" w:lastColumn="0" w:lastRow="0" w:noHBand="0" w:noVBand="1" w:val="04A0"/>
        <w:tblInd w:w="120" w:type="dxa"/>
        <w:tblBorders>
          <w:top w:val="single" w:sz="8" w:space="0" w:color="159B64"/>
          <w:left w:val="single" w:sz="8" w:space="0" w:color="159B64"/>
          <w:bottom w:val="single" w:sz="8" w:space="0" w:color="159B64"/>
          <w:right w:val="single" w:sz="8" w:space="0" w:color="159B64"/>
          <w:insideH w:val="single" w:sz="8" w:space="0" w:color="159B64"/>
          <w:insideV w:val="single" w:sz="8" w:space="0" w:color="159B64"/>
        </w:tblBorders>
      </w:tblPr>
      <w:tblGrid>
        <w:gridCol w:w="9360"/>
      </w:tblGrid>
      <w:tr>
        <w:tc>
          <w:tcPr>
            <w:tcW w:type="dxa" w:w="9360"/>
            <w:tcMar>
              <w:top w:w="100" w:type="dxa"/>
              <w:start w:w="140" w:type="dxa"/>
              <w:bottom w:w="100" w:type="dxa"/>
              <w:end w:w="140" w:type="dxa"/>
            </w:tcMar>
            <w:vAlign w:val="center"/>
            <w:shd w:fill="EAF7F1"/>
          </w:tcPr>
          <w:p>
            <w:pPr>
              <w:spacing w:after="60"/>
            </w:pPr>
            <w:r>
              <w:rPr>
                <w:rFonts w:ascii="Calibri" w:hAnsi="Calibri"/>
                <w:b/>
                <w:i w:val="0"/>
                <w:color w:val="0B1F3A"/>
                <w:sz w:val="20"/>
              </w:rPr>
              <w:t xml:space="preserve">RESPONSIBLE-USE STANDARD  </w:t>
            </w:r>
            <w:r>
              <w:rPr>
                <w:rFonts w:ascii="Calibri" w:hAnsi="Calibri"/>
                <w:b w:val="0"/>
                <w:i w:val="0"/>
                <w:color w:val="172033"/>
                <w:sz w:val="20"/>
              </w:rPr>
              <w:t>MAPP identifies motivations, preferences and recurring patterns. It is not proof of academic ability, skill mastery, mental health status, employability or future performance. No single assessment should determine a student’s course, program, college or career.</w:t>
            </w:r>
          </w:p>
        </w:tc>
      </w:tr>
    </w:tbl>
    <w:p>
      <w:pPr>
        <w:widowControl/>
        <w:spacing w:after="20"/>
      </w:pPr>
    </w:p>
    <w:p>
      <w:pPr>
        <w:pStyle w:val="Heading2"/>
        <w:keepNext/>
        <w:widowControl/>
      </w:pPr>
      <w:r>
        <w:rPr>
          <w:rFonts w:ascii="Calibri" w:hAnsi="Calibri"/>
          <w:b w:val="0"/>
          <w:i w:val="0"/>
          <w:color w:val="172033"/>
          <w:sz w:val="28"/>
        </w:rPr>
        <w:t>Contents at a Glance</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200"/>
        <w:gridCol w:w="8160"/>
      </w:tblGrid>
      <w:tr>
        <w:trPr>
          <w:tblHeader w:val="true"/>
          <w:cantSplit/>
        </w:trPr>
        <w:tc>
          <w:tcPr>
            <w:tcW w:type="dxa" w:w="1200"/>
            <w:tcMar>
              <w:top w:w="100" w:type="dxa"/>
              <w:start w:w="140" w:type="dxa"/>
              <w:bottom w:w="100" w:type="dxa"/>
              <w:end w:w="140" w:type="dxa"/>
            </w:tcMar>
            <w:vAlign w:val="center"/>
            <w:shd w:fill="0B1F3A"/>
          </w:tcPr>
          <w:p>
            <w:pPr>
              <w:spacing w:after="0"/>
              <w:jc w:val="left"/>
            </w:pPr>
            <w:r>
              <w:rPr>
                <w:rFonts w:ascii="Calibri" w:hAnsi="Calibri"/>
                <w:b/>
                <w:i w:val="0"/>
                <w:color w:val="FFFFFF"/>
                <w:sz w:val="18"/>
              </w:rPr>
              <w:t>Part</w:t>
            </w:r>
          </w:p>
        </w:tc>
        <w:tc>
          <w:tcPr>
            <w:tcW w:type="dxa" w:w="8160"/>
            <w:tcMar>
              <w:top w:w="100" w:type="dxa"/>
              <w:start w:w="140" w:type="dxa"/>
              <w:bottom w:w="100" w:type="dxa"/>
              <w:end w:w="140" w:type="dxa"/>
            </w:tcMar>
            <w:vAlign w:val="center"/>
            <w:shd w:fill="0B1F3A"/>
          </w:tcPr>
          <w:p>
            <w:pPr>
              <w:spacing w:after="0"/>
              <w:jc w:val="left"/>
            </w:pPr>
            <w:r>
              <w:rPr>
                <w:rFonts w:ascii="Calibri" w:hAnsi="Calibri"/>
                <w:b/>
                <w:i w:val="0"/>
                <w:color w:val="FFFFFF"/>
                <w:sz w:val="18"/>
              </w:rPr>
              <w:t>Focus</w:t>
            </w:r>
          </w:p>
        </w:tc>
      </w:tr>
      <w:tr>
        <w:trPr>
          <w:cantSplit/>
        </w:trPr>
        <w:tc>
          <w:tcPr>
            <w:tcW w:type="dxa" w:w="1200"/>
            <w:tcMar>
              <w:top w:w="100" w:type="dxa"/>
              <w:start w:w="140" w:type="dxa"/>
              <w:bottom w:w="100" w:type="dxa"/>
              <w:end w:w="140" w:type="dxa"/>
            </w:tcMar>
            <w:vAlign w:val="center"/>
          </w:tcPr>
          <w:p>
            <w:pPr>
              <w:spacing w:after="0" w:line="264" w:lineRule="auto"/>
            </w:pPr>
            <w:r>
              <w:rPr>
                <w:rFonts w:ascii="Calibri" w:hAnsi="Calibri"/>
                <w:b/>
                <w:i w:val="0"/>
                <w:color w:val="172033"/>
                <w:sz w:val="18"/>
              </w:rPr>
              <w:t>1</w:t>
            </w:r>
          </w:p>
        </w:tc>
        <w:tc>
          <w:tcPr>
            <w:tcW w:type="dxa" w:w="8160"/>
            <w:tcMar>
              <w:top w:w="100" w:type="dxa"/>
              <w:start w:w="140" w:type="dxa"/>
              <w:bottom w:w="100" w:type="dxa"/>
              <w:end w:w="140" w:type="dxa"/>
            </w:tcMar>
            <w:vAlign w:val="center"/>
          </w:tcPr>
          <w:p>
            <w:pPr>
              <w:spacing w:after="0" w:line="264" w:lineRule="auto"/>
            </w:pPr>
            <w:r>
              <w:rPr>
                <w:rFonts w:ascii="Calibri" w:hAnsi="Calibri"/>
                <w:b w:val="0"/>
                <w:i w:val="0"/>
                <w:color w:val="172033"/>
                <w:sz w:val="18"/>
              </w:rPr>
              <w:t>Why high schools need a connected college, career and life readiness process</w:t>
            </w:r>
          </w:p>
        </w:tc>
      </w:tr>
      <w:tr>
        <w:trPr>
          <w:cantSplit/>
        </w:trPr>
        <w:tc>
          <w:tcPr>
            <w:tcW w:type="dxa" w:w="1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2</w:t>
            </w:r>
          </w:p>
        </w:tc>
        <w:tc>
          <w:tcPr>
            <w:tcW w:type="dxa" w:w="8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What MAPP measures, how it works and how to interpret results responsibly</w:t>
            </w:r>
          </w:p>
        </w:tc>
      </w:tr>
      <w:tr>
        <w:trPr>
          <w:cantSplit/>
        </w:trPr>
        <w:tc>
          <w:tcPr>
            <w:tcW w:type="dxa" w:w="1200"/>
            <w:tcMar>
              <w:top w:w="100" w:type="dxa"/>
              <w:start w:w="140" w:type="dxa"/>
              <w:bottom w:w="100" w:type="dxa"/>
              <w:end w:w="140" w:type="dxa"/>
            </w:tcMar>
            <w:vAlign w:val="center"/>
          </w:tcPr>
          <w:p>
            <w:pPr>
              <w:spacing w:after="0" w:line="264" w:lineRule="auto"/>
            </w:pPr>
            <w:r>
              <w:rPr>
                <w:rFonts w:ascii="Calibri" w:hAnsi="Calibri"/>
                <w:b/>
                <w:i w:val="0"/>
                <w:color w:val="172033"/>
                <w:sz w:val="18"/>
              </w:rPr>
              <w:t>3</w:t>
            </w:r>
          </w:p>
        </w:tc>
        <w:tc>
          <w:tcPr>
            <w:tcW w:type="dxa" w:w="8160"/>
            <w:tcMar>
              <w:top w:w="100" w:type="dxa"/>
              <w:start w:w="140" w:type="dxa"/>
              <w:bottom w:w="100" w:type="dxa"/>
              <w:end w:w="140" w:type="dxa"/>
            </w:tcMar>
            <w:vAlign w:val="center"/>
          </w:tcPr>
          <w:p>
            <w:pPr>
              <w:spacing w:after="0" w:line="264" w:lineRule="auto"/>
            </w:pPr>
            <w:r>
              <w:rPr>
                <w:rFonts w:ascii="Calibri" w:hAnsi="Calibri"/>
                <w:b w:val="0"/>
                <w:i w:val="0"/>
                <w:color w:val="172033"/>
                <w:sz w:val="18"/>
              </w:rPr>
              <w:t>Assessment.com capabilities that extend insight into exploration and action</w:t>
            </w:r>
          </w:p>
        </w:tc>
      </w:tr>
      <w:tr>
        <w:trPr>
          <w:cantSplit/>
        </w:trPr>
        <w:tc>
          <w:tcPr>
            <w:tcW w:type="dxa" w:w="1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4</w:t>
            </w:r>
          </w:p>
        </w:tc>
        <w:tc>
          <w:tcPr>
            <w:tcW w:type="dxa" w:w="8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A four-year Grades 9–12 implementation framework</w:t>
            </w:r>
          </w:p>
        </w:tc>
      </w:tr>
      <w:tr>
        <w:trPr>
          <w:cantSplit/>
        </w:trPr>
        <w:tc>
          <w:tcPr>
            <w:tcW w:type="dxa" w:w="1200"/>
            <w:tcMar>
              <w:top w:w="100" w:type="dxa"/>
              <w:start w:w="140" w:type="dxa"/>
              <w:bottom w:w="100" w:type="dxa"/>
              <w:end w:w="140" w:type="dxa"/>
            </w:tcMar>
            <w:vAlign w:val="center"/>
          </w:tcPr>
          <w:p>
            <w:pPr>
              <w:spacing w:after="0" w:line="264" w:lineRule="auto"/>
            </w:pPr>
            <w:r>
              <w:rPr>
                <w:rFonts w:ascii="Calibri" w:hAnsi="Calibri"/>
                <w:b/>
                <w:i w:val="0"/>
                <w:color w:val="172033"/>
                <w:sz w:val="18"/>
              </w:rPr>
              <w:t>5</w:t>
            </w:r>
          </w:p>
        </w:tc>
        <w:tc>
          <w:tcPr>
            <w:tcW w:type="dxa" w:w="8160"/>
            <w:tcMar>
              <w:top w:w="100" w:type="dxa"/>
              <w:start w:w="140" w:type="dxa"/>
              <w:bottom w:w="100" w:type="dxa"/>
              <w:end w:w="140" w:type="dxa"/>
            </w:tcMar>
            <w:vAlign w:val="center"/>
          </w:tcPr>
          <w:p>
            <w:pPr>
              <w:spacing w:after="0" w:line="264" w:lineRule="auto"/>
            </w:pPr>
            <w:r>
              <w:rPr>
                <w:rFonts w:ascii="Calibri" w:hAnsi="Calibri"/>
                <w:b w:val="0"/>
                <w:i w:val="0"/>
                <w:color w:val="172033"/>
                <w:sz w:val="18"/>
              </w:rPr>
              <w:t>Counselor workflows, student conferences and individualized planning</w:t>
            </w:r>
          </w:p>
        </w:tc>
      </w:tr>
      <w:tr>
        <w:trPr>
          <w:cantSplit/>
        </w:trPr>
        <w:tc>
          <w:tcPr>
            <w:tcW w:type="dxa" w:w="1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6</w:t>
            </w:r>
          </w:p>
        </w:tc>
        <w:tc>
          <w:tcPr>
            <w:tcW w:type="dxa" w:w="8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College, major, CTE, apprenticeship and career exploration</w:t>
            </w:r>
          </w:p>
        </w:tc>
      </w:tr>
      <w:tr>
        <w:trPr>
          <w:cantSplit/>
        </w:trPr>
        <w:tc>
          <w:tcPr>
            <w:tcW w:type="dxa" w:w="1200"/>
            <w:tcMar>
              <w:top w:w="100" w:type="dxa"/>
              <w:start w:w="140" w:type="dxa"/>
              <w:bottom w:w="100" w:type="dxa"/>
              <w:end w:w="140" w:type="dxa"/>
            </w:tcMar>
            <w:vAlign w:val="center"/>
          </w:tcPr>
          <w:p>
            <w:pPr>
              <w:spacing w:after="0" w:line="264" w:lineRule="auto"/>
            </w:pPr>
            <w:r>
              <w:rPr>
                <w:rFonts w:ascii="Calibri" w:hAnsi="Calibri"/>
                <w:b/>
                <w:i w:val="0"/>
                <w:color w:val="172033"/>
                <w:sz w:val="18"/>
              </w:rPr>
              <w:t>7</w:t>
            </w:r>
          </w:p>
        </w:tc>
        <w:tc>
          <w:tcPr>
            <w:tcW w:type="dxa" w:w="8160"/>
            <w:tcMar>
              <w:top w:w="100" w:type="dxa"/>
              <w:start w:w="140" w:type="dxa"/>
              <w:bottom w:w="100" w:type="dxa"/>
              <w:end w:w="140" w:type="dxa"/>
            </w:tcMar>
            <w:vAlign w:val="center"/>
          </w:tcPr>
          <w:p>
            <w:pPr>
              <w:spacing w:after="0" w:line="264" w:lineRule="auto"/>
            </w:pPr>
            <w:r>
              <w:rPr>
                <w:rFonts w:ascii="Calibri" w:hAnsi="Calibri"/>
                <w:b w:val="0"/>
                <w:i w:val="0"/>
                <w:color w:val="172033"/>
                <w:sz w:val="18"/>
              </w:rPr>
              <w:t>Family engagement, AI guidance, privacy, equity and accessibility</w:t>
            </w:r>
          </w:p>
        </w:tc>
      </w:tr>
      <w:tr>
        <w:trPr>
          <w:cantSplit/>
        </w:trPr>
        <w:tc>
          <w:tcPr>
            <w:tcW w:type="dxa" w:w="1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8</w:t>
            </w:r>
          </w:p>
        </w:tc>
        <w:tc>
          <w:tcPr>
            <w:tcW w:type="dxa" w:w="8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Pilot design, organizational adoption, measurement and continuous improvement</w:t>
            </w:r>
          </w:p>
        </w:tc>
      </w:tr>
      <w:tr>
        <w:trPr>
          <w:cantSplit/>
        </w:trPr>
        <w:tc>
          <w:tcPr>
            <w:tcW w:type="dxa" w:w="1200"/>
            <w:tcMar>
              <w:top w:w="100" w:type="dxa"/>
              <w:start w:w="140" w:type="dxa"/>
              <w:bottom w:w="100" w:type="dxa"/>
              <w:end w:w="140" w:type="dxa"/>
            </w:tcMar>
            <w:vAlign w:val="center"/>
          </w:tcPr>
          <w:p>
            <w:pPr>
              <w:spacing w:after="0" w:line="264" w:lineRule="auto"/>
            </w:pPr>
            <w:r>
              <w:rPr>
                <w:rFonts w:ascii="Calibri" w:hAnsi="Calibri"/>
                <w:b/>
                <w:i w:val="0"/>
                <w:color w:val="172033"/>
                <w:sz w:val="18"/>
              </w:rPr>
              <w:t>Appendices</w:t>
            </w:r>
          </w:p>
        </w:tc>
        <w:tc>
          <w:tcPr>
            <w:tcW w:type="dxa" w:w="8160"/>
            <w:tcMar>
              <w:top w:w="100" w:type="dxa"/>
              <w:start w:w="140" w:type="dxa"/>
              <w:bottom w:w="100" w:type="dxa"/>
              <w:end w:w="140" w:type="dxa"/>
            </w:tcMar>
            <w:vAlign w:val="center"/>
          </w:tcPr>
          <w:p>
            <w:pPr>
              <w:spacing w:after="0" w:line="264" w:lineRule="auto"/>
            </w:pPr>
            <w:r>
              <w:rPr>
                <w:rFonts w:ascii="Calibri" w:hAnsi="Calibri"/>
                <w:b w:val="0"/>
                <w:i w:val="0"/>
                <w:color w:val="172033"/>
                <w:sz w:val="18"/>
              </w:rPr>
              <w:t>Ready-to-use checklists, discussion guides, worksheets, prompts and sources</w:t>
            </w:r>
          </w:p>
        </w:tc>
      </w:tr>
    </w:tbl>
    <w:p>
      <w:pPr>
        <w:widowControl/>
        <w:spacing w:after="20"/>
      </w:pPr>
    </w:p>
    <w:p>
      <w:pPr>
        <w:widowControl/>
      </w:pPr>
      <w:r>
        <w:br w:type="page"/>
      </w:r>
    </w:p>
    <w:p>
      <w:pPr>
        <w:pStyle w:val="Heading1"/>
        <w:keepNext/>
        <w:widowControl/>
      </w:pPr>
      <w:r>
        <w:rPr>
          <w:rFonts w:ascii="Calibri" w:hAnsi="Calibri"/>
          <w:b w:val="0"/>
          <w:i w:val="0"/>
          <w:color w:val="172033"/>
          <w:sz w:val="36"/>
        </w:rPr>
        <w:t>Executive Summary</w:t>
      </w:r>
    </w:p>
    <w:p>
      <w:pPr>
        <w:widowControl/>
      </w:pPr>
      <w:r>
        <w:rPr>
          <w:rFonts w:ascii="Calibri" w:hAnsi="Calibri"/>
          <w:b w:val="0"/>
          <w:i w:val="0"/>
          <w:color w:val="172033"/>
          <w:sz w:val="21"/>
        </w:rPr>
        <w:t>The strongest use of MAPP in high school is not a one-time “career test.” It is a common starting point for a multi-year readiness experience. MAPP helps students put language around what naturally engages them. The Assessment.com platform then helps them test those insights against career information, education and training routes, college and major data, live job listings, additional assessments and guided next steps.</w:t>
      </w:r>
    </w:p>
    <w:p>
      <w:pPr>
        <w:widowControl/>
      </w:pPr>
      <w:r>
        <w:rPr>
          <w:rFonts w:ascii="Calibri" w:hAnsi="Calibri"/>
          <w:b w:val="0"/>
          <w:i w:val="0"/>
          <w:color w:val="172033"/>
          <w:sz w:val="21"/>
        </w:rPr>
        <w:t>For schools, the value is organizational as well as individual. A shared platform can give counselors a consistent way to prepare for meetings, help students arrive with stronger questions, support family conversations, track participation and extend guidance between appointments. ASCA recommends a 250:1 student-to-school-counselor ratio, while the reported national average for 2024–2025 was 372:1. Technology cannot solve counselor capacity by itself, but it can reduce repetitive preparation and make structured exploration available to more students.[1]</w:t>
      </w:r>
    </w:p>
    <w:p>
      <w:pPr>
        <w:pStyle w:val="Heading2"/>
        <w:keepNext/>
        <w:widowControl/>
      </w:pPr>
      <w:r>
        <w:rPr>
          <w:rFonts w:ascii="Calibri" w:hAnsi="Calibri"/>
          <w:b w:val="0"/>
          <w:i w:val="0"/>
          <w:color w:val="172033"/>
          <w:sz w:val="28"/>
        </w:rPr>
        <w:t>A sound program follows six principles:</w:t>
      </w:r>
    </w:p>
    <w:p>
      <w:pPr>
        <w:widowControl/>
        <w:numPr>
          <w:ilvl w:val="0"/>
          <w:numId w:val="10"/>
        </w:numPr>
      </w:pPr>
      <w:r>
        <w:rPr>
          <w:rFonts w:ascii="Calibri" w:hAnsi="Calibri"/>
          <w:b/>
          <w:i w:val="0"/>
          <w:color w:val="172033"/>
          <w:sz w:val="22"/>
        </w:rPr>
        <w:t xml:space="preserve">Universal access. </w:t>
      </w:r>
      <w:r>
        <w:rPr>
          <w:rFonts w:ascii="Calibri" w:hAnsi="Calibri"/>
          <w:b w:val="0"/>
          <w:i w:val="0"/>
          <w:color w:val="172033"/>
          <w:sz w:val="22"/>
        </w:rPr>
        <w:t>Every student receives structured self-discovery and pathway exploration, not only students whose families can purchase private coaching.</w:t>
      </w:r>
    </w:p>
    <w:p>
      <w:pPr>
        <w:widowControl/>
        <w:numPr>
          <w:ilvl w:val="0"/>
          <w:numId w:val="10"/>
        </w:numPr>
      </w:pPr>
      <w:r>
        <w:rPr>
          <w:rFonts w:ascii="Calibri" w:hAnsi="Calibri"/>
          <w:b/>
          <w:i w:val="0"/>
          <w:color w:val="172033"/>
          <w:sz w:val="22"/>
        </w:rPr>
        <w:t xml:space="preserve">Exploration over prescription. </w:t>
      </w:r>
      <w:r>
        <w:rPr>
          <w:rFonts w:ascii="Calibri" w:hAnsi="Calibri"/>
          <w:b w:val="0"/>
          <w:i w:val="0"/>
          <w:color w:val="172033"/>
          <w:sz w:val="22"/>
        </w:rPr>
        <w:t>Results generate hypotheses and questions; they do not assign a destiny.</w:t>
      </w:r>
    </w:p>
    <w:p>
      <w:pPr>
        <w:widowControl/>
        <w:numPr>
          <w:ilvl w:val="0"/>
          <w:numId w:val="10"/>
        </w:numPr>
      </w:pPr>
      <w:r>
        <w:rPr>
          <w:rFonts w:ascii="Calibri" w:hAnsi="Calibri"/>
          <w:b/>
          <w:i w:val="0"/>
          <w:color w:val="172033"/>
          <w:sz w:val="22"/>
        </w:rPr>
        <w:t xml:space="preserve">Multiple pathways. </w:t>
      </w:r>
      <w:r>
        <w:rPr>
          <w:rFonts w:ascii="Calibri" w:hAnsi="Calibri"/>
          <w:b w:val="0"/>
          <w:i w:val="0"/>
          <w:color w:val="172033"/>
          <w:sz w:val="22"/>
        </w:rPr>
        <w:t>College, community college, CTE, trade school, apprenticeships, military pathways, certifications, entrepreneurship and direct-to-work options are treated with equal dignity.</w:t>
      </w:r>
    </w:p>
    <w:p>
      <w:pPr>
        <w:widowControl/>
        <w:numPr>
          <w:ilvl w:val="0"/>
          <w:numId w:val="10"/>
        </w:numPr>
      </w:pPr>
      <w:r>
        <w:rPr>
          <w:rFonts w:ascii="Calibri" w:hAnsi="Calibri"/>
          <w:b/>
          <w:i w:val="0"/>
          <w:color w:val="172033"/>
          <w:sz w:val="22"/>
        </w:rPr>
        <w:t xml:space="preserve">Human guidance. </w:t>
      </w:r>
      <w:r>
        <w:rPr>
          <w:rFonts w:ascii="Calibri" w:hAnsi="Calibri"/>
          <w:b w:val="0"/>
          <w:i w:val="0"/>
          <w:color w:val="172033"/>
          <w:sz w:val="22"/>
        </w:rPr>
        <w:t>Counselors and educators retain professional judgment. AI and reports support, rather than replace, relationships.</w:t>
      </w:r>
    </w:p>
    <w:p>
      <w:pPr>
        <w:widowControl/>
        <w:numPr>
          <w:ilvl w:val="0"/>
          <w:numId w:val="10"/>
        </w:numPr>
      </w:pPr>
      <w:r>
        <w:rPr>
          <w:rFonts w:ascii="Calibri" w:hAnsi="Calibri"/>
          <w:b/>
          <w:i w:val="0"/>
          <w:color w:val="172033"/>
          <w:sz w:val="22"/>
        </w:rPr>
        <w:t xml:space="preserve">Current evidence. </w:t>
      </w:r>
      <w:r>
        <w:rPr>
          <w:rFonts w:ascii="Calibri" w:hAnsi="Calibri"/>
          <w:b w:val="0"/>
          <w:i w:val="0"/>
          <w:color w:val="172033"/>
          <w:sz w:val="22"/>
        </w:rPr>
        <w:t>Students compare interests with current occupational, salary, outlook and education data rather than static lists.</w:t>
      </w:r>
    </w:p>
    <w:p>
      <w:pPr>
        <w:widowControl/>
        <w:numPr>
          <w:ilvl w:val="0"/>
          <w:numId w:val="10"/>
        </w:numPr>
      </w:pPr>
      <w:r>
        <w:rPr>
          <w:rFonts w:ascii="Calibri" w:hAnsi="Calibri"/>
          <w:b/>
          <w:i w:val="0"/>
          <w:color w:val="172033"/>
          <w:sz w:val="22"/>
        </w:rPr>
        <w:t xml:space="preserve">Action and measurement. </w:t>
      </w:r>
      <w:r>
        <w:rPr>
          <w:rFonts w:ascii="Calibri" w:hAnsi="Calibri"/>
          <w:b w:val="0"/>
          <w:i w:val="0"/>
          <w:color w:val="172033"/>
          <w:sz w:val="22"/>
        </w:rPr>
        <w:t>Students save options, complete meaningful next steps and revisit plans; schools measure participation and action, not just assessment completion.</w:t>
      </w:r>
    </w:p>
    <w:p>
      <w:pPr>
        <w:widowControl/>
      </w:pPr>
      <w:r>
        <w:br w:type="page"/>
      </w:r>
    </w:p>
    <w:p>
      <w:pPr>
        <w:pStyle w:val="Heading1"/>
        <w:keepNext/>
        <w:widowControl/>
      </w:pPr>
      <w:r>
        <w:rPr>
          <w:rFonts w:ascii="Calibri" w:hAnsi="Calibri"/>
          <w:b w:val="0"/>
          <w:i w:val="0"/>
          <w:color w:val="172033"/>
          <w:sz w:val="36"/>
        </w:rPr>
        <w:t>1. Why MAPP Belongs in a Broader Readiness Program</w:t>
      </w:r>
    </w:p>
    <w:p>
      <w:pPr>
        <w:widowControl/>
      </w:pPr>
      <w:r>
        <w:rPr>
          <w:rFonts w:ascii="Calibri" w:hAnsi="Calibri"/>
          <w:b w:val="0"/>
          <w:i w:val="0"/>
          <w:color w:val="172033"/>
          <w:sz w:val="21"/>
        </w:rPr>
        <w:t>High school students are asked to make decisions with long consequences while their knowledge of occupations, postsecondary options and themselves is still developing. Many default to familiar professions, family expectations, perceived status or salary. Others postpone decisions because the landscape feels too large. A structured assessment can help, but only when it is connected to exploration, conversation and experience.</w:t>
      </w:r>
    </w:p>
    <w:p>
      <w:pPr>
        <w:pStyle w:val="Heading2"/>
        <w:keepNext/>
        <w:widowControl/>
      </w:pPr>
      <w:r>
        <w:rPr>
          <w:rFonts w:ascii="Calibri" w:hAnsi="Calibri"/>
          <w:b w:val="0"/>
          <w:i w:val="0"/>
          <w:color w:val="172033"/>
          <w:sz w:val="28"/>
        </w:rPr>
        <w:t>The guidance challenge</w:t>
      </w:r>
    </w:p>
    <w:p>
      <w:pPr>
        <w:widowControl/>
        <w:numPr>
          <w:ilvl w:val="0"/>
          <w:numId w:val="10"/>
        </w:numPr>
      </w:pPr>
      <w:r>
        <w:rPr>
          <w:rFonts w:ascii="Calibri" w:hAnsi="Calibri"/>
          <w:b w:val="0"/>
          <w:i w:val="0"/>
          <w:color w:val="172033"/>
          <w:sz w:val="22"/>
        </w:rPr>
        <w:t>Students may know what subjects they like without knowing which daily work activities or environments will sustain their interest.</w:t>
      </w:r>
    </w:p>
    <w:p>
      <w:pPr>
        <w:widowControl/>
        <w:numPr>
          <w:ilvl w:val="0"/>
          <w:numId w:val="10"/>
        </w:numPr>
      </w:pPr>
      <w:r>
        <w:rPr>
          <w:rFonts w:ascii="Calibri" w:hAnsi="Calibri"/>
          <w:b w:val="0"/>
          <w:i w:val="0"/>
          <w:color w:val="172033"/>
          <w:sz w:val="22"/>
        </w:rPr>
        <w:t>A major name can sound appealing while the associated coursework, credential requirements and occupations remain unclear.</w:t>
      </w:r>
    </w:p>
    <w:p>
      <w:pPr>
        <w:widowControl/>
        <w:numPr>
          <w:ilvl w:val="0"/>
          <w:numId w:val="10"/>
        </w:numPr>
      </w:pPr>
      <w:r>
        <w:rPr>
          <w:rFonts w:ascii="Calibri" w:hAnsi="Calibri"/>
          <w:b w:val="0"/>
          <w:i w:val="0"/>
          <w:color w:val="172033"/>
          <w:sz w:val="22"/>
        </w:rPr>
        <w:t>Families may focus on one preferred route without seeing lower-cost or more applied alternatives.</w:t>
      </w:r>
    </w:p>
    <w:p>
      <w:pPr>
        <w:widowControl/>
        <w:numPr>
          <w:ilvl w:val="0"/>
          <w:numId w:val="10"/>
        </w:numPr>
      </w:pPr>
      <w:r>
        <w:rPr>
          <w:rFonts w:ascii="Calibri" w:hAnsi="Calibri"/>
          <w:b w:val="0"/>
          <w:i w:val="0"/>
          <w:color w:val="172033"/>
          <w:sz w:val="22"/>
        </w:rPr>
        <w:t>Counselors must balance academic advising, mental health needs, graduation requirements, applications, financial aid, career readiness and family communication.</w:t>
      </w:r>
    </w:p>
    <w:p>
      <w:pPr>
        <w:widowControl/>
        <w:numPr>
          <w:ilvl w:val="0"/>
          <w:numId w:val="10"/>
        </w:numPr>
      </w:pPr>
      <w:r>
        <w:rPr>
          <w:rFonts w:ascii="Calibri" w:hAnsi="Calibri"/>
          <w:b w:val="0"/>
          <w:i w:val="0"/>
          <w:color w:val="172033"/>
          <w:sz w:val="22"/>
        </w:rPr>
        <w:t>Students with private coaching often receive more individualized exploration than students who depend entirely on a high-caseload school office.</w:t>
      </w:r>
    </w:p>
    <w:p>
      <w:pPr>
        <w:widowControl/>
      </w:pPr>
      <w:r>
        <w:rPr>
          <w:rFonts w:ascii="Calibri" w:hAnsi="Calibri"/>
          <w:b w:val="0"/>
          <w:i w:val="0"/>
          <w:color w:val="172033"/>
          <w:sz w:val="21"/>
        </w:rPr>
        <w:t>ASCA describes appraisal and advisement as connected processes: counselors help students understand abilities, values and career interests, then collaborate so each student develops an academic and career plan that reflects interests, goals, cultural beliefs and other relevant factors.[2] MAPP can contribute to appraisal; the counselor-guided plan is the advisement.</w:t>
      </w:r>
    </w:p>
    <w:p>
      <w:pPr>
        <w:pStyle w:val="Heading2"/>
        <w:keepNext/>
        <w:widowControl/>
      </w:pPr>
      <w:r>
        <w:rPr>
          <w:rFonts w:ascii="Calibri" w:hAnsi="Calibri"/>
          <w:b w:val="0"/>
          <w:i w:val="0"/>
          <w:color w:val="172033"/>
          <w:sz w:val="28"/>
        </w:rPr>
        <w:t>What success looks like</w:t>
      </w:r>
    </w:p>
    <w:tbl>
      <w:tblPr>
        <w:tblW w:type="dxa" w:w="9360"/>
        <w:jc w:val="left"/>
        <w:tblLayout w:type="fixed"/>
        <w:tblLook w:firstColumn="1" w:firstRow="1" w:lastColumn="0" w:lastRow="0" w:noHBand="0" w:noVBand="1" w:val="04A0"/>
        <w:tblInd w:w="120" w:type="dxa"/>
        <w:tblBorders>
          <w:top w:val="single" w:sz="8" w:space="0" w:color="F4C400"/>
          <w:left w:val="single" w:sz="8" w:space="0" w:color="F4C400"/>
          <w:bottom w:val="single" w:sz="8" w:space="0" w:color="F4C400"/>
          <w:right w:val="single" w:sz="8" w:space="0" w:color="F4C400"/>
          <w:insideH w:val="single" w:sz="8" w:space="0" w:color="F4C400"/>
          <w:insideV w:val="single" w:sz="8" w:space="0" w:color="F4C400"/>
        </w:tblBorders>
      </w:tblPr>
      <w:tblGrid>
        <w:gridCol w:w="9360"/>
      </w:tblGrid>
      <w:tr>
        <w:tc>
          <w:tcPr>
            <w:tcW w:type="dxa" w:w="9360"/>
            <w:tcMar>
              <w:top w:w="100" w:type="dxa"/>
              <w:start w:w="140" w:type="dxa"/>
              <w:bottom w:w="100" w:type="dxa"/>
              <w:end w:w="140" w:type="dxa"/>
            </w:tcMar>
            <w:vAlign w:val="center"/>
            <w:shd w:fill="FFF8D8"/>
          </w:tcPr>
          <w:p>
            <w:pPr>
              <w:spacing w:after="60"/>
            </w:pPr>
            <w:r>
              <w:rPr>
                <w:rFonts w:ascii="Calibri" w:hAnsi="Calibri"/>
                <w:b/>
                <w:i w:val="0"/>
                <w:color w:val="0B1F3A"/>
                <w:sz w:val="20"/>
              </w:rPr>
              <w:t xml:space="preserve">BETTER QUESTION  </w:t>
            </w:r>
            <w:r>
              <w:rPr>
                <w:rFonts w:ascii="Calibri" w:hAnsi="Calibri"/>
                <w:b w:val="0"/>
                <w:i w:val="0"/>
                <w:color w:val="172033"/>
                <w:sz w:val="20"/>
              </w:rPr>
              <w:t>Replace “What should I be?” with “What patterns of work, learning and contribution fit me—and what are several realistic routes I can investigate?”</w:t>
            </w:r>
          </w:p>
        </w:tc>
      </w:tr>
    </w:tbl>
    <w:p>
      <w:pPr>
        <w:widowControl/>
        <w:spacing w:after="20"/>
      </w:pPr>
    </w:p>
    <w:p>
      <w:pPr>
        <w:widowControl/>
        <w:numPr>
          <w:ilvl w:val="0"/>
          <w:numId w:val="10"/>
        </w:numPr>
      </w:pPr>
      <w:r>
        <w:rPr>
          <w:rFonts w:ascii="Calibri" w:hAnsi="Calibri"/>
          <w:b w:val="0"/>
          <w:i w:val="0"/>
          <w:color w:val="172033"/>
          <w:sz w:val="22"/>
        </w:rPr>
        <w:t>Students can explain their strongest motivational patterns in their own words.</w:t>
      </w:r>
    </w:p>
    <w:p>
      <w:pPr>
        <w:widowControl/>
        <w:numPr>
          <w:ilvl w:val="0"/>
          <w:numId w:val="10"/>
        </w:numPr>
      </w:pPr>
      <w:r>
        <w:rPr>
          <w:rFonts w:ascii="Calibri" w:hAnsi="Calibri"/>
          <w:b w:val="0"/>
          <w:i w:val="0"/>
          <w:color w:val="172033"/>
          <w:sz w:val="22"/>
        </w:rPr>
        <w:t>Students research multiple careers, including at least one unfamiliar option.</w:t>
      </w:r>
    </w:p>
    <w:p>
      <w:pPr>
        <w:widowControl/>
        <w:numPr>
          <w:ilvl w:val="0"/>
          <w:numId w:val="10"/>
        </w:numPr>
      </w:pPr>
      <w:r>
        <w:rPr>
          <w:rFonts w:ascii="Calibri" w:hAnsi="Calibri"/>
          <w:b w:val="0"/>
          <w:i w:val="0"/>
          <w:color w:val="172033"/>
          <w:sz w:val="22"/>
        </w:rPr>
        <w:t>Students compare more than one education or training route to a goal.</w:t>
      </w:r>
    </w:p>
    <w:p>
      <w:pPr>
        <w:widowControl/>
        <w:numPr>
          <w:ilvl w:val="0"/>
          <w:numId w:val="10"/>
        </w:numPr>
      </w:pPr>
      <w:r>
        <w:rPr>
          <w:rFonts w:ascii="Calibri" w:hAnsi="Calibri"/>
          <w:b w:val="0"/>
          <w:i w:val="0"/>
          <w:color w:val="172033"/>
          <w:sz w:val="22"/>
        </w:rPr>
        <w:t>Students understand the difference between motivational fit, academic readiness, affordability and admissions likelihood.</w:t>
      </w:r>
    </w:p>
    <w:p>
      <w:pPr>
        <w:widowControl/>
        <w:numPr>
          <w:ilvl w:val="0"/>
          <w:numId w:val="10"/>
        </w:numPr>
      </w:pPr>
      <w:r>
        <w:rPr>
          <w:rFonts w:ascii="Calibri" w:hAnsi="Calibri"/>
          <w:b w:val="0"/>
          <w:i w:val="0"/>
          <w:color w:val="172033"/>
          <w:sz w:val="22"/>
        </w:rPr>
        <w:t>Families can discuss tradeoffs without treating the report as a verdict.</w:t>
      </w:r>
    </w:p>
    <w:p>
      <w:pPr>
        <w:widowControl/>
        <w:numPr>
          <w:ilvl w:val="0"/>
          <w:numId w:val="10"/>
        </w:numPr>
      </w:pPr>
      <w:r>
        <w:rPr>
          <w:rFonts w:ascii="Calibri" w:hAnsi="Calibri"/>
          <w:b w:val="0"/>
          <w:i w:val="0"/>
          <w:color w:val="172033"/>
          <w:sz w:val="22"/>
        </w:rPr>
        <w:t>Counselors can see progress and focus limited meeting time on judgment, nuance and action.</w:t>
      </w:r>
    </w:p>
    <w:p>
      <w:pPr>
        <w:pStyle w:val="Heading1"/>
        <w:keepNext/>
        <w:widowControl/>
      </w:pPr>
      <w:r>
        <w:rPr>
          <w:rFonts w:ascii="Calibri" w:hAnsi="Calibri"/>
          <w:b w:val="0"/>
          <w:i w:val="0"/>
          <w:color w:val="172033"/>
          <w:sz w:val="36"/>
        </w:rPr>
        <w:t>2. What the MAPP® Assessment Is</w:t>
      </w:r>
    </w:p>
    <w:p>
      <w:pPr>
        <w:widowControl/>
      </w:pPr>
      <w:r>
        <w:rPr>
          <w:rFonts w:ascii="Calibri" w:hAnsi="Calibri"/>
          <w:b w:val="0"/>
          <w:i w:val="0"/>
          <w:color w:val="172033"/>
          <w:sz w:val="21"/>
        </w:rPr>
        <w:t>MAPP stands for Motivational Appraisal of Personal Potential. It is Assessment.com’s career and motivation assessment and has been used since 1995. Assessment.com reports more than 12.5 million users across 165 countries. The assessment is recommended for ages 13 and older.[3]</w:t>
      </w:r>
    </w:p>
    <w:p>
      <w:pPr>
        <w:pStyle w:val="Heading2"/>
        <w:keepNext/>
        <w:widowControl/>
      </w:pPr>
      <w:r>
        <w:rPr>
          <w:rFonts w:ascii="Calibri" w:hAnsi="Calibri"/>
          <w:b w:val="0"/>
          <w:i w:val="0"/>
          <w:color w:val="172033"/>
          <w:sz w:val="28"/>
        </w:rPr>
        <w:t>Assessment format</w:t>
      </w:r>
    </w:p>
    <w:p>
      <w:pPr>
        <w:widowControl/>
        <w:numPr>
          <w:ilvl w:val="0"/>
          <w:numId w:val="10"/>
        </w:numPr>
      </w:pPr>
      <w:r>
        <w:rPr>
          <w:rFonts w:ascii="Calibri" w:hAnsi="Calibri"/>
          <w:b w:val="0"/>
          <w:i w:val="0"/>
          <w:color w:val="172033"/>
          <w:sz w:val="22"/>
        </w:rPr>
        <w:t>71 triads of preferences.</w:t>
      </w:r>
    </w:p>
    <w:p>
      <w:pPr>
        <w:widowControl/>
        <w:numPr>
          <w:ilvl w:val="0"/>
          <w:numId w:val="10"/>
        </w:numPr>
      </w:pPr>
      <w:r>
        <w:rPr>
          <w:rFonts w:ascii="Calibri" w:hAnsi="Calibri"/>
          <w:b w:val="0"/>
          <w:i w:val="0"/>
          <w:color w:val="172033"/>
          <w:sz w:val="22"/>
        </w:rPr>
        <w:t>For each triad, the student selects the activity preferred most and the activity preferred least, leaving the third unselected.</w:t>
      </w:r>
    </w:p>
    <w:p>
      <w:pPr>
        <w:widowControl/>
        <w:numPr>
          <w:ilvl w:val="0"/>
          <w:numId w:val="10"/>
        </w:numPr>
      </w:pPr>
      <w:r>
        <w:rPr>
          <w:rFonts w:ascii="Calibri" w:hAnsi="Calibri"/>
          <w:b w:val="0"/>
          <w:i w:val="0"/>
          <w:color w:val="172033"/>
          <w:sz w:val="22"/>
        </w:rPr>
        <w:t>There are no right or wrong answers.</w:t>
      </w:r>
    </w:p>
    <w:p>
      <w:pPr>
        <w:widowControl/>
        <w:numPr>
          <w:ilvl w:val="0"/>
          <w:numId w:val="10"/>
        </w:numPr>
      </w:pPr>
      <w:r>
        <w:rPr>
          <w:rFonts w:ascii="Calibri" w:hAnsi="Calibri"/>
          <w:b w:val="0"/>
          <w:i w:val="0"/>
          <w:color w:val="172033"/>
          <w:sz w:val="22"/>
        </w:rPr>
        <w:t>Typical completion time is approximately 15–22 minutes.</w:t>
      </w:r>
    </w:p>
    <w:p>
      <w:pPr>
        <w:widowControl/>
        <w:numPr>
          <w:ilvl w:val="0"/>
          <w:numId w:val="10"/>
        </w:numPr>
      </w:pPr>
      <w:r>
        <w:rPr>
          <w:rFonts w:ascii="Calibri" w:hAnsi="Calibri"/>
          <w:b w:val="0"/>
          <w:i w:val="0"/>
          <w:color w:val="172033"/>
          <w:sz w:val="22"/>
        </w:rPr>
        <w:t>Students can pause and resume after creating an account.</w:t>
      </w:r>
    </w:p>
    <w:p>
      <w:pPr>
        <w:widowControl/>
        <w:numPr>
          <w:ilvl w:val="0"/>
          <w:numId w:val="10"/>
        </w:numPr>
      </w:pPr>
      <w:r>
        <w:rPr>
          <w:rFonts w:ascii="Calibri" w:hAnsi="Calibri"/>
          <w:b w:val="0"/>
          <w:i w:val="0"/>
          <w:color w:val="172033"/>
          <w:sz w:val="22"/>
        </w:rPr>
        <w:t>Language options are available; schools should confirm the current language list and any local accessibility needs during implementation.</w:t>
      </w:r>
    </w:p>
    <w:p>
      <w:pPr>
        <w:pStyle w:val="Heading2"/>
        <w:keepNext/>
        <w:widowControl/>
      </w:pPr>
      <w:r>
        <w:rPr>
          <w:rFonts w:ascii="Calibri" w:hAnsi="Calibri"/>
          <w:b w:val="0"/>
          <w:i w:val="0"/>
          <w:color w:val="172033"/>
          <w:sz w:val="28"/>
        </w:rPr>
        <w:t>What MAPP is designed to illuminate</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300"/>
        <w:gridCol w:w="7060"/>
      </w:tblGrid>
      <w:tr>
        <w:trPr>
          <w:tblHeader w:val="true"/>
          <w:cantSplit/>
        </w:trPr>
        <w:tc>
          <w:tcPr>
            <w:tcW w:type="dxa" w:w="2300"/>
            <w:tcMar>
              <w:top w:w="100" w:type="dxa"/>
              <w:start w:w="140" w:type="dxa"/>
              <w:bottom w:w="100" w:type="dxa"/>
              <w:end w:w="140" w:type="dxa"/>
            </w:tcMar>
            <w:vAlign w:val="center"/>
            <w:shd w:fill="0B1F3A"/>
          </w:tcPr>
          <w:p>
            <w:pPr>
              <w:spacing w:after="0"/>
              <w:jc w:val="left"/>
            </w:pPr>
            <w:r>
              <w:rPr>
                <w:rFonts w:ascii="Calibri" w:hAnsi="Calibri"/>
                <w:b/>
                <w:i w:val="0"/>
                <w:color w:val="FFFFFF"/>
                <w:sz w:val="18"/>
              </w:rPr>
              <w:t>Report component</w:t>
            </w:r>
          </w:p>
        </w:tc>
        <w:tc>
          <w:tcPr>
            <w:tcW w:type="dxa" w:w="7060"/>
            <w:tcMar>
              <w:top w:w="100" w:type="dxa"/>
              <w:start w:w="140" w:type="dxa"/>
              <w:bottom w:w="100" w:type="dxa"/>
              <w:end w:w="140" w:type="dxa"/>
            </w:tcMar>
            <w:vAlign w:val="center"/>
            <w:shd w:fill="0B1F3A"/>
          </w:tcPr>
          <w:p>
            <w:pPr>
              <w:spacing w:after="0"/>
              <w:jc w:val="left"/>
            </w:pPr>
            <w:r>
              <w:rPr>
                <w:rFonts w:ascii="Calibri" w:hAnsi="Calibri"/>
                <w:b/>
                <w:i w:val="0"/>
                <w:color w:val="FFFFFF"/>
                <w:sz w:val="18"/>
              </w:rPr>
              <w:t>What it helps a student discuss</w:t>
            </w:r>
          </w:p>
        </w:tc>
      </w:tr>
      <w:tr>
        <w:trPr>
          <w:cantSplit/>
        </w:trPr>
        <w:tc>
          <w:tcPr>
            <w:tcW w:type="dxa" w:w="2300"/>
            <w:tcMar>
              <w:top w:w="100" w:type="dxa"/>
              <w:start w:w="140" w:type="dxa"/>
              <w:bottom w:w="100" w:type="dxa"/>
              <w:end w:w="140" w:type="dxa"/>
            </w:tcMar>
            <w:vAlign w:val="center"/>
          </w:tcPr>
          <w:p>
            <w:pPr>
              <w:spacing w:after="0" w:line="264" w:lineRule="auto"/>
            </w:pPr>
            <w:r>
              <w:rPr>
                <w:rFonts w:ascii="Calibri" w:hAnsi="Calibri"/>
                <w:b/>
                <w:i w:val="0"/>
                <w:color w:val="172033"/>
                <w:sz w:val="18"/>
              </w:rPr>
              <w:t>Interest in Job Content</w:t>
            </w:r>
          </w:p>
        </w:tc>
        <w:tc>
          <w:tcPr>
            <w:tcW w:type="dxa" w:w="7060"/>
            <w:tcMar>
              <w:top w:w="100" w:type="dxa"/>
              <w:start w:w="140" w:type="dxa"/>
              <w:bottom w:w="100" w:type="dxa"/>
              <w:end w:w="140" w:type="dxa"/>
            </w:tcMar>
            <w:vAlign w:val="center"/>
          </w:tcPr>
          <w:p>
            <w:pPr>
              <w:spacing w:after="0" w:line="264" w:lineRule="auto"/>
            </w:pPr>
            <w:r>
              <w:rPr>
                <w:rFonts w:ascii="Calibri" w:hAnsi="Calibri"/>
                <w:b w:val="0"/>
                <w:i w:val="0"/>
                <w:color w:val="172033"/>
                <w:sz w:val="18"/>
              </w:rPr>
              <w:t>The kinds of activities and outcomes that tend to attract or repel the student.</w:t>
            </w:r>
          </w:p>
        </w:tc>
      </w:tr>
      <w:tr>
        <w:trPr>
          <w:cantSplit/>
        </w:trPr>
        <w:tc>
          <w:tcPr>
            <w:tcW w:type="dxa" w:w="23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Temperament for the Job</w:t>
            </w:r>
          </w:p>
        </w:tc>
        <w:tc>
          <w:tcPr>
            <w:tcW w:type="dxa" w:w="70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Preferred pace, structure, change, decision context and interpersonal conditions.</w:t>
            </w:r>
          </w:p>
        </w:tc>
      </w:tr>
      <w:tr>
        <w:trPr>
          <w:cantSplit/>
        </w:trPr>
        <w:tc>
          <w:tcPr>
            <w:tcW w:type="dxa" w:w="2300"/>
            <w:tcMar>
              <w:top w:w="100" w:type="dxa"/>
              <w:start w:w="140" w:type="dxa"/>
              <w:bottom w:w="100" w:type="dxa"/>
              <w:end w:w="140" w:type="dxa"/>
            </w:tcMar>
            <w:vAlign w:val="center"/>
          </w:tcPr>
          <w:p>
            <w:pPr>
              <w:spacing w:after="0" w:line="264" w:lineRule="auto"/>
            </w:pPr>
            <w:r>
              <w:rPr>
                <w:rFonts w:ascii="Calibri" w:hAnsi="Calibri"/>
                <w:b/>
                <w:i w:val="0"/>
                <w:color w:val="172033"/>
                <w:sz w:val="18"/>
              </w:rPr>
              <w:t>Aptitude Orientation</w:t>
            </w:r>
          </w:p>
        </w:tc>
        <w:tc>
          <w:tcPr>
            <w:tcW w:type="dxa" w:w="7060"/>
            <w:tcMar>
              <w:top w:w="100" w:type="dxa"/>
              <w:start w:w="140" w:type="dxa"/>
              <w:bottom w:w="100" w:type="dxa"/>
              <w:end w:w="140" w:type="dxa"/>
            </w:tcMar>
            <w:vAlign w:val="center"/>
          </w:tcPr>
          <w:p>
            <w:pPr>
              <w:spacing w:after="0" w:line="264" w:lineRule="auto"/>
            </w:pPr>
            <w:r>
              <w:rPr>
                <w:rFonts w:ascii="Calibri" w:hAnsi="Calibri"/>
                <w:b w:val="0"/>
                <w:i w:val="0"/>
                <w:color w:val="172033"/>
                <w:sz w:val="18"/>
              </w:rPr>
              <w:t>Motivationally linked patterns involving mental, perceptual and sensory/physical activity; these are not verified skill scores.</w:t>
            </w:r>
          </w:p>
        </w:tc>
      </w:tr>
      <w:tr>
        <w:trPr>
          <w:cantSplit/>
        </w:trPr>
        <w:tc>
          <w:tcPr>
            <w:tcW w:type="dxa" w:w="23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People</w:t>
            </w:r>
          </w:p>
        </w:tc>
        <w:tc>
          <w:tcPr>
            <w:tcW w:type="dxa" w:w="70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Preferred ways of relating, serving, leading, influencing or working with others.</w:t>
            </w:r>
          </w:p>
        </w:tc>
      </w:tr>
      <w:tr>
        <w:trPr>
          <w:cantSplit/>
        </w:trPr>
        <w:tc>
          <w:tcPr>
            <w:tcW w:type="dxa" w:w="2300"/>
            <w:tcMar>
              <w:top w:w="100" w:type="dxa"/>
              <w:start w:w="140" w:type="dxa"/>
              <w:bottom w:w="100" w:type="dxa"/>
              <w:end w:w="140" w:type="dxa"/>
            </w:tcMar>
            <w:vAlign w:val="center"/>
          </w:tcPr>
          <w:p>
            <w:pPr>
              <w:spacing w:after="0" w:line="264" w:lineRule="auto"/>
            </w:pPr>
            <w:r>
              <w:rPr>
                <w:rFonts w:ascii="Calibri" w:hAnsi="Calibri"/>
                <w:b/>
                <w:i w:val="0"/>
                <w:color w:val="172033"/>
                <w:sz w:val="18"/>
              </w:rPr>
              <w:t>Things</w:t>
            </w:r>
          </w:p>
        </w:tc>
        <w:tc>
          <w:tcPr>
            <w:tcW w:type="dxa" w:w="7060"/>
            <w:tcMar>
              <w:top w:w="100" w:type="dxa"/>
              <w:start w:w="140" w:type="dxa"/>
              <w:bottom w:w="100" w:type="dxa"/>
              <w:end w:w="140" w:type="dxa"/>
            </w:tcMar>
            <w:vAlign w:val="center"/>
          </w:tcPr>
          <w:p>
            <w:pPr>
              <w:spacing w:after="0" w:line="264" w:lineRule="auto"/>
            </w:pPr>
            <w:r>
              <w:rPr>
                <w:rFonts w:ascii="Calibri" w:hAnsi="Calibri"/>
                <w:b w:val="0"/>
                <w:i w:val="0"/>
                <w:color w:val="172033"/>
                <w:sz w:val="18"/>
              </w:rPr>
              <w:t>Interest in materials, tools, equipment, processes and tangible work.</w:t>
            </w:r>
          </w:p>
        </w:tc>
      </w:tr>
      <w:tr>
        <w:trPr>
          <w:cantSplit/>
        </w:trPr>
        <w:tc>
          <w:tcPr>
            <w:tcW w:type="dxa" w:w="23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Data</w:t>
            </w:r>
          </w:p>
        </w:tc>
        <w:tc>
          <w:tcPr>
            <w:tcW w:type="dxa" w:w="70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Preferences for detail, records, information, analysis and organized data activity.</w:t>
            </w:r>
          </w:p>
        </w:tc>
      </w:tr>
      <w:tr>
        <w:trPr>
          <w:cantSplit/>
        </w:trPr>
        <w:tc>
          <w:tcPr>
            <w:tcW w:type="dxa" w:w="2300"/>
            <w:tcMar>
              <w:top w:w="100" w:type="dxa"/>
              <w:start w:w="140" w:type="dxa"/>
              <w:bottom w:w="100" w:type="dxa"/>
              <w:end w:w="140" w:type="dxa"/>
            </w:tcMar>
            <w:vAlign w:val="center"/>
          </w:tcPr>
          <w:p>
            <w:pPr>
              <w:spacing w:after="0" w:line="264" w:lineRule="auto"/>
            </w:pPr>
            <w:r>
              <w:rPr>
                <w:rFonts w:ascii="Calibri" w:hAnsi="Calibri"/>
                <w:b/>
                <w:i w:val="0"/>
                <w:color w:val="172033"/>
                <w:sz w:val="18"/>
              </w:rPr>
              <w:t>Reasoning</w:t>
            </w:r>
          </w:p>
        </w:tc>
        <w:tc>
          <w:tcPr>
            <w:tcW w:type="dxa" w:w="7060"/>
            <w:tcMar>
              <w:top w:w="100" w:type="dxa"/>
              <w:start w:w="140" w:type="dxa"/>
              <w:bottom w:w="100" w:type="dxa"/>
              <w:end w:w="140" w:type="dxa"/>
            </w:tcMar>
            <w:vAlign w:val="center"/>
          </w:tcPr>
          <w:p>
            <w:pPr>
              <w:spacing w:after="0" w:line="264" w:lineRule="auto"/>
            </w:pPr>
            <w:r>
              <w:rPr>
                <w:rFonts w:ascii="Calibri" w:hAnsi="Calibri"/>
                <w:b w:val="0"/>
                <w:i w:val="0"/>
                <w:color w:val="172033"/>
                <w:sz w:val="18"/>
              </w:rPr>
              <w:t>Preferences involving problem solving, analysis, judgment and conceptual thought.</w:t>
            </w:r>
          </w:p>
        </w:tc>
      </w:tr>
      <w:tr>
        <w:trPr>
          <w:cantSplit/>
        </w:trPr>
        <w:tc>
          <w:tcPr>
            <w:tcW w:type="dxa" w:w="23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Mathematics</w:t>
            </w:r>
          </w:p>
        </w:tc>
        <w:tc>
          <w:tcPr>
            <w:tcW w:type="dxa" w:w="70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Motivational orientation toward numerical, computational or quantitative activity.</w:t>
            </w:r>
          </w:p>
        </w:tc>
      </w:tr>
      <w:tr>
        <w:trPr>
          <w:cantSplit/>
        </w:trPr>
        <w:tc>
          <w:tcPr>
            <w:tcW w:type="dxa" w:w="2300"/>
            <w:tcMar>
              <w:top w:w="100" w:type="dxa"/>
              <w:start w:w="140" w:type="dxa"/>
              <w:bottom w:w="100" w:type="dxa"/>
              <w:end w:w="140" w:type="dxa"/>
            </w:tcMar>
            <w:vAlign w:val="center"/>
          </w:tcPr>
          <w:p>
            <w:pPr>
              <w:spacing w:after="0" w:line="264" w:lineRule="auto"/>
            </w:pPr>
            <w:r>
              <w:rPr>
                <w:rFonts w:ascii="Calibri" w:hAnsi="Calibri"/>
                <w:b/>
                <w:i w:val="0"/>
                <w:color w:val="172033"/>
                <w:sz w:val="18"/>
              </w:rPr>
              <w:t>Language</w:t>
            </w:r>
          </w:p>
        </w:tc>
        <w:tc>
          <w:tcPr>
            <w:tcW w:type="dxa" w:w="7060"/>
            <w:tcMar>
              <w:top w:w="100" w:type="dxa"/>
              <w:start w:w="140" w:type="dxa"/>
              <w:bottom w:w="100" w:type="dxa"/>
              <w:end w:w="140" w:type="dxa"/>
            </w:tcMar>
            <w:vAlign w:val="center"/>
          </w:tcPr>
          <w:p>
            <w:pPr>
              <w:spacing w:after="0" w:line="264" w:lineRule="auto"/>
            </w:pPr>
            <w:r>
              <w:rPr>
                <w:rFonts w:ascii="Calibri" w:hAnsi="Calibri"/>
                <w:b w:val="0"/>
                <w:i w:val="0"/>
                <w:color w:val="172033"/>
                <w:sz w:val="18"/>
              </w:rPr>
              <w:t>Preferences involving written, verbal, expressive or interpretive language activity.</w:t>
            </w:r>
          </w:p>
        </w:tc>
      </w:tr>
      <w:tr>
        <w:trPr>
          <w:cantSplit/>
        </w:trPr>
        <w:tc>
          <w:tcPr>
            <w:tcW w:type="dxa" w:w="23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Learning Styles</w:t>
            </w:r>
          </w:p>
        </w:tc>
        <w:tc>
          <w:tcPr>
            <w:tcW w:type="dxa" w:w="70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Preferred ways of processing information, receiving input, learning, interacting with teachers and demonstrating knowledge.</w:t>
            </w:r>
          </w:p>
        </w:tc>
      </w:tr>
      <w:tr>
        <w:trPr>
          <w:cantSplit/>
        </w:trPr>
        <w:tc>
          <w:tcPr>
            <w:tcW w:type="dxa" w:w="2300"/>
            <w:tcMar>
              <w:top w:w="100" w:type="dxa"/>
              <w:start w:w="140" w:type="dxa"/>
              <w:bottom w:w="100" w:type="dxa"/>
              <w:end w:w="140" w:type="dxa"/>
            </w:tcMar>
            <w:vAlign w:val="center"/>
          </w:tcPr>
          <w:p>
            <w:pPr>
              <w:spacing w:after="0" w:line="264" w:lineRule="auto"/>
            </w:pPr>
            <w:r>
              <w:rPr>
                <w:rFonts w:ascii="Calibri" w:hAnsi="Calibri"/>
                <w:b/>
                <w:i w:val="0"/>
                <w:color w:val="172033"/>
                <w:sz w:val="18"/>
              </w:rPr>
              <w:t>Personal Traits</w:t>
            </w:r>
          </w:p>
        </w:tc>
        <w:tc>
          <w:tcPr>
            <w:tcW w:type="dxa" w:w="7060"/>
            <w:tcMar>
              <w:top w:w="100" w:type="dxa"/>
              <w:start w:w="140" w:type="dxa"/>
              <w:bottom w:w="100" w:type="dxa"/>
              <w:end w:w="140" w:type="dxa"/>
            </w:tcMar>
            <w:vAlign w:val="center"/>
          </w:tcPr>
          <w:p>
            <w:pPr>
              <w:spacing w:after="0" w:line="264" w:lineRule="auto"/>
            </w:pPr>
            <w:r>
              <w:rPr>
                <w:rFonts w:ascii="Calibri" w:hAnsi="Calibri"/>
                <w:b w:val="0"/>
                <w:i w:val="0"/>
                <w:color w:val="172033"/>
                <w:sz w:val="18"/>
              </w:rPr>
              <w:t>Motivational themes outside work that can help students connect identity, values and future choices.</w:t>
            </w:r>
          </w:p>
        </w:tc>
      </w:tr>
      <w:tr>
        <w:trPr>
          <w:cantSplit/>
        </w:trPr>
        <w:tc>
          <w:tcPr>
            <w:tcW w:type="dxa" w:w="23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Vocational Areas &amp; Matching</w:t>
            </w:r>
          </w:p>
        </w:tc>
        <w:tc>
          <w:tcPr>
            <w:tcW w:type="dxa" w:w="70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Career areas and occupations to investigate, followed by detailed match comparisons and external career data.</w:t>
            </w:r>
          </w:p>
        </w:tc>
      </w:tr>
    </w:tbl>
    <w:p>
      <w:pPr>
        <w:widowControl/>
        <w:spacing w:after="20"/>
      </w:pPr>
    </w:p>
    <w:p>
      <w:pPr>
        <w:pStyle w:val="Heading2"/>
        <w:keepNext/>
        <w:widowControl/>
      </w:pPr>
      <w:r>
        <w:rPr>
          <w:rFonts w:ascii="Calibri" w:hAnsi="Calibri"/>
          <w:b w:val="0"/>
          <w:i w:val="0"/>
          <w:color w:val="172033"/>
          <w:sz w:val="28"/>
        </w:rPr>
        <w:t>What MAPP does not establish</w:t>
      </w:r>
    </w:p>
    <w:p>
      <w:pPr>
        <w:widowControl/>
        <w:numPr>
          <w:ilvl w:val="0"/>
          <w:numId w:val="10"/>
        </w:numPr>
      </w:pPr>
      <w:r>
        <w:rPr>
          <w:rFonts w:ascii="Calibri" w:hAnsi="Calibri"/>
          <w:b w:val="0"/>
          <w:i w:val="0"/>
          <w:color w:val="172033"/>
          <w:sz w:val="22"/>
        </w:rPr>
        <w:t>It does not prove that a student currently has a skill, credential or academic prerequisite.</w:t>
      </w:r>
    </w:p>
    <w:p>
      <w:pPr>
        <w:widowControl/>
        <w:numPr>
          <w:ilvl w:val="0"/>
          <w:numId w:val="10"/>
        </w:numPr>
      </w:pPr>
      <w:r>
        <w:rPr>
          <w:rFonts w:ascii="Calibri" w:hAnsi="Calibri"/>
          <w:b w:val="0"/>
          <w:i w:val="0"/>
          <w:color w:val="172033"/>
          <w:sz w:val="22"/>
        </w:rPr>
        <w:t>It does not diagnose a disability, learning disorder, mental health condition or behavioral risk.</w:t>
      </w:r>
    </w:p>
    <w:p>
      <w:pPr>
        <w:widowControl/>
        <w:numPr>
          <w:ilvl w:val="0"/>
          <w:numId w:val="10"/>
        </w:numPr>
      </w:pPr>
      <w:r>
        <w:rPr>
          <w:rFonts w:ascii="Calibri" w:hAnsi="Calibri"/>
          <w:b w:val="0"/>
          <w:i w:val="0"/>
          <w:color w:val="172033"/>
          <w:sz w:val="22"/>
        </w:rPr>
        <w:t>It does not predict admission to a college or program.</w:t>
      </w:r>
    </w:p>
    <w:p>
      <w:pPr>
        <w:widowControl/>
        <w:numPr>
          <w:ilvl w:val="0"/>
          <w:numId w:val="10"/>
        </w:numPr>
      </w:pPr>
      <w:r>
        <w:rPr>
          <w:rFonts w:ascii="Calibri" w:hAnsi="Calibri"/>
          <w:b w:val="0"/>
          <w:i w:val="0"/>
          <w:color w:val="172033"/>
          <w:sz w:val="22"/>
        </w:rPr>
        <w:t>It does not guarantee satisfaction, persistence, employment or earnings.</w:t>
      </w:r>
    </w:p>
    <w:p>
      <w:pPr>
        <w:widowControl/>
        <w:numPr>
          <w:ilvl w:val="0"/>
          <w:numId w:val="10"/>
        </w:numPr>
      </w:pPr>
      <w:r>
        <w:rPr>
          <w:rFonts w:ascii="Calibri" w:hAnsi="Calibri"/>
          <w:b w:val="0"/>
          <w:i w:val="0"/>
          <w:color w:val="172033"/>
          <w:sz w:val="22"/>
        </w:rPr>
        <w:t>It should not be used alone to place, exclude or track a student into or out of a course, CTE pathway or opportunity.</w:t>
      </w:r>
    </w:p>
    <w:tbl>
      <w:tblPr>
        <w:tblW w:type="dxa" w:w="9360"/>
        <w:jc w:val="left"/>
        <w:tblLayout w:type="fixed"/>
        <w:tblLook w:firstColumn="1" w:firstRow="1" w:lastColumn="0" w:lastRow="0" w:noHBand="0" w:noVBand="1" w:val="04A0"/>
        <w:tblInd w:w="120" w:type="dxa"/>
        <w:tblBorders>
          <w:top w:val="single" w:sz="8" w:space="0" w:color="7057E8"/>
          <w:left w:val="single" w:sz="8" w:space="0" w:color="7057E8"/>
          <w:bottom w:val="single" w:sz="8" w:space="0" w:color="7057E8"/>
          <w:right w:val="single" w:sz="8" w:space="0" w:color="7057E8"/>
          <w:insideH w:val="single" w:sz="8" w:space="0" w:color="7057E8"/>
          <w:insideV w:val="single" w:sz="8" w:space="0" w:color="7057E8"/>
        </w:tblBorders>
      </w:tblPr>
      <w:tblGrid>
        <w:gridCol w:w="9360"/>
      </w:tblGrid>
      <w:tr>
        <w:tc>
          <w:tcPr>
            <w:tcW w:type="dxa" w:w="9360"/>
            <w:tcMar>
              <w:top w:w="100" w:type="dxa"/>
              <w:start w:w="140" w:type="dxa"/>
              <w:bottom w:w="100" w:type="dxa"/>
              <w:end w:w="140" w:type="dxa"/>
            </w:tcMar>
            <w:vAlign w:val="center"/>
            <w:shd w:fill="F1EEFF"/>
          </w:tcPr>
          <w:p>
            <w:pPr>
              <w:spacing w:after="60"/>
            </w:pPr>
            <w:r>
              <w:rPr>
                <w:rFonts w:ascii="Calibri" w:hAnsi="Calibri"/>
                <w:b/>
                <w:i w:val="0"/>
                <w:color w:val="0B1F3A"/>
                <w:sz w:val="20"/>
              </w:rPr>
              <w:t xml:space="preserve">LANGUAGE MATTERS  </w:t>
            </w:r>
            <w:r>
              <w:rPr>
                <w:rFonts w:ascii="Calibri" w:hAnsi="Calibri"/>
                <w:b w:val="0"/>
                <w:i w:val="0"/>
                <w:color w:val="172033"/>
                <w:sz w:val="20"/>
              </w:rPr>
              <w:t>Say “This pattern may be worth exploring” rather than “MAPP says you should become…” The first invites agency and evidence; the second creates an unnecessary label.</w:t>
            </w:r>
          </w:p>
        </w:tc>
      </w:tr>
    </w:tbl>
    <w:p>
      <w:pPr>
        <w:widowControl/>
        <w:spacing w:after="20"/>
      </w:pPr>
    </w:p>
    <w:p>
      <w:pPr>
        <w:pStyle w:val="Heading2"/>
        <w:keepNext/>
        <w:widowControl/>
      </w:pPr>
      <w:r>
        <w:rPr>
          <w:rFonts w:ascii="Calibri" w:hAnsi="Calibri"/>
          <w:b w:val="0"/>
          <w:i w:val="0"/>
          <w:color w:val="172033"/>
          <w:sz w:val="28"/>
        </w:rPr>
        <w:t>Published validation information</w:t>
      </w:r>
    </w:p>
    <w:p>
      <w:pPr>
        <w:widowControl/>
      </w:pPr>
      <w:r>
        <w:rPr>
          <w:rFonts w:ascii="Calibri" w:hAnsi="Calibri"/>
          <w:b w:val="0"/>
          <w:i w:val="0"/>
          <w:color w:val="172033"/>
          <w:sz w:val="21"/>
        </w:rPr>
        <w:t>Assessment.com publishes a validity summary comparing MAPP occupational predictions with the Strong Vocational Interest Inventory. The site describes an initial 1997 study with 30 participants and a 2001 follow-up with 133 participants, primarily in technology-related roles. It reports 149 occupational correlations, a median correlation of 0.56, and interpretable positive relationships among thematically similar occupations.[4]</w:t>
      </w:r>
    </w:p>
    <w:p>
      <w:pPr>
        <w:widowControl/>
      </w:pPr>
      <w:r>
        <w:rPr>
          <w:rFonts w:ascii="Calibri" w:hAnsi="Calibri"/>
          <w:b w:val="0"/>
          <w:i w:val="0"/>
          <w:color w:val="172033"/>
          <w:sz w:val="21"/>
        </w:rPr>
        <w:t>This is useful evidence for career exploration, but schools should represent it accurately: the follow-up sample was modest and occupationally concentrated, and correlation with another inventory does not make MAPP a measure of academic achievement or future job performance. The responsible claim is that published evidence supports its use as one input in guided career exploration—not that it makes deterministic predictions.</w:t>
      </w:r>
    </w:p>
    <w:p>
      <w:pPr>
        <w:pStyle w:val="Heading1"/>
        <w:keepNext/>
        <w:widowControl/>
      </w:pPr>
      <w:r>
        <w:rPr>
          <w:rFonts w:ascii="Calibri" w:hAnsi="Calibri"/>
          <w:b w:val="0"/>
          <w:i w:val="0"/>
          <w:color w:val="172033"/>
          <w:sz w:val="36"/>
        </w:rPr>
        <w:t>3. Reading and Discussing MAPP Results</w:t>
      </w:r>
    </w:p>
    <w:p>
      <w:pPr>
        <w:widowControl/>
      </w:pPr>
      <w:r>
        <w:rPr>
          <w:rFonts w:ascii="Calibri" w:hAnsi="Calibri"/>
          <w:b w:val="0"/>
          <w:i w:val="0"/>
          <w:color w:val="172033"/>
          <w:sz w:val="21"/>
        </w:rPr>
        <w:t>MAPP reports motivation levels from 1 through 5. In the interpretation guide, Levels 1 and 2 represent the strongest motivational priorities; Level 3 often reflects flexibility or moderate preference; and Levels 4 and 5 reflect lower motivation or activities the person may prefer to avoid. A low preference does not mean inability. A high preference does not prove competence.[5]</w:t>
      </w:r>
    </w:p>
    <w:p>
      <w:pPr>
        <w:pStyle w:val="Heading2"/>
        <w:keepNext/>
        <w:widowControl/>
      </w:pPr>
      <w:r>
        <w:rPr>
          <w:rFonts w:ascii="Calibri" w:hAnsi="Calibri"/>
          <w:b w:val="0"/>
          <w:i w:val="0"/>
          <w:color w:val="172033"/>
          <w:sz w:val="28"/>
        </w:rPr>
        <w:t>A recommended interpretation sequence</w:t>
      </w:r>
    </w:p>
    <w:p>
      <w:pPr>
        <w:widowControl/>
        <w:numPr>
          <w:ilvl w:val="0"/>
          <w:numId w:val="11"/>
        </w:numPr>
      </w:pPr>
      <w:r>
        <w:rPr>
          <w:rFonts w:ascii="Calibri" w:hAnsi="Calibri"/>
          <w:b/>
          <w:i w:val="0"/>
          <w:color w:val="172033"/>
          <w:sz w:val="22"/>
        </w:rPr>
        <w:t xml:space="preserve">Start with the student’s reaction. </w:t>
      </w:r>
      <w:r>
        <w:rPr>
          <w:rFonts w:ascii="Calibri" w:hAnsi="Calibri"/>
          <w:b w:val="0"/>
          <w:i w:val="0"/>
          <w:color w:val="172033"/>
          <w:sz w:val="22"/>
        </w:rPr>
        <w:t>Ask what feels accurate, surprising, incomplete or context-dependent.</w:t>
      </w:r>
    </w:p>
    <w:p>
      <w:pPr>
        <w:widowControl/>
        <w:numPr>
          <w:ilvl w:val="0"/>
          <w:numId w:val="11"/>
        </w:numPr>
      </w:pPr>
      <w:r>
        <w:rPr>
          <w:rFonts w:ascii="Calibri" w:hAnsi="Calibri"/>
          <w:b/>
          <w:i w:val="0"/>
          <w:color w:val="172033"/>
          <w:sz w:val="22"/>
        </w:rPr>
        <w:t xml:space="preserve">Review the strongest preferences. </w:t>
      </w:r>
      <w:r>
        <w:rPr>
          <w:rFonts w:ascii="Calibri" w:hAnsi="Calibri"/>
          <w:b w:val="0"/>
          <w:i w:val="0"/>
          <w:color w:val="172033"/>
          <w:sz w:val="22"/>
        </w:rPr>
        <w:t>Focus first on Level 1 and Level 2 themes and how they combine.</w:t>
      </w:r>
    </w:p>
    <w:p>
      <w:pPr>
        <w:widowControl/>
        <w:numPr>
          <w:ilvl w:val="0"/>
          <w:numId w:val="11"/>
        </w:numPr>
      </w:pPr>
      <w:r>
        <w:rPr>
          <w:rFonts w:ascii="Calibri" w:hAnsi="Calibri"/>
          <w:b/>
          <w:i w:val="0"/>
          <w:color w:val="172033"/>
          <w:sz w:val="22"/>
        </w:rPr>
        <w:t xml:space="preserve">Review aversions carefully. </w:t>
      </w:r>
      <w:r>
        <w:rPr>
          <w:rFonts w:ascii="Calibri" w:hAnsi="Calibri"/>
          <w:b w:val="0"/>
          <w:i w:val="0"/>
          <w:color w:val="172033"/>
          <w:sz w:val="22"/>
        </w:rPr>
        <w:t>Levels 4 and 5 can clarify environments or tasks that may drain energy, but should never become a prohibition.</w:t>
      </w:r>
    </w:p>
    <w:p>
      <w:pPr>
        <w:widowControl/>
        <w:numPr>
          <w:ilvl w:val="0"/>
          <w:numId w:val="11"/>
        </w:numPr>
      </w:pPr>
      <w:r>
        <w:rPr>
          <w:rFonts w:ascii="Calibri" w:hAnsi="Calibri"/>
          <w:b/>
          <w:i w:val="0"/>
          <w:color w:val="172033"/>
          <w:sz w:val="22"/>
        </w:rPr>
        <w:t xml:space="preserve">Look for patterns, not isolated traits. </w:t>
      </w:r>
      <w:r>
        <w:rPr>
          <w:rFonts w:ascii="Calibri" w:hAnsi="Calibri"/>
          <w:b w:val="0"/>
          <w:i w:val="0"/>
          <w:color w:val="172033"/>
          <w:sz w:val="22"/>
        </w:rPr>
        <w:t>A combination of analysis, people contact and visible results tells more than any single rating.</w:t>
      </w:r>
    </w:p>
    <w:p>
      <w:pPr>
        <w:widowControl/>
        <w:numPr>
          <w:ilvl w:val="0"/>
          <w:numId w:val="11"/>
        </w:numPr>
      </w:pPr>
      <w:r>
        <w:rPr>
          <w:rFonts w:ascii="Calibri" w:hAnsi="Calibri"/>
          <w:b/>
          <w:i w:val="0"/>
          <w:color w:val="172033"/>
          <w:sz w:val="22"/>
        </w:rPr>
        <w:t xml:space="preserve">Connect to lived evidence. </w:t>
      </w:r>
      <w:r>
        <w:rPr>
          <w:rFonts w:ascii="Calibri" w:hAnsi="Calibri"/>
          <w:b w:val="0"/>
          <w:i w:val="0"/>
          <w:color w:val="172033"/>
          <w:sz w:val="22"/>
        </w:rPr>
        <w:t>Ask for examples from classes, projects, jobs, clubs, caregiving, sports or hobbies.</w:t>
      </w:r>
    </w:p>
    <w:p>
      <w:pPr>
        <w:widowControl/>
        <w:numPr>
          <w:ilvl w:val="0"/>
          <w:numId w:val="11"/>
        </w:numPr>
      </w:pPr>
      <w:r>
        <w:rPr>
          <w:rFonts w:ascii="Calibri" w:hAnsi="Calibri"/>
          <w:b/>
          <w:i w:val="0"/>
          <w:color w:val="172033"/>
          <w:sz w:val="22"/>
        </w:rPr>
        <w:t xml:space="preserve">Review learning preferences. </w:t>
      </w:r>
      <w:r>
        <w:rPr>
          <w:rFonts w:ascii="Calibri" w:hAnsi="Calibri"/>
          <w:b w:val="0"/>
          <w:i w:val="0"/>
          <w:color w:val="172033"/>
          <w:sz w:val="22"/>
        </w:rPr>
        <w:t>Discuss conditions that help the student engage; do not treat these preferences as formal accommodations.</w:t>
      </w:r>
    </w:p>
    <w:p>
      <w:pPr>
        <w:widowControl/>
        <w:numPr>
          <w:ilvl w:val="0"/>
          <w:numId w:val="11"/>
        </w:numPr>
      </w:pPr>
      <w:r>
        <w:rPr>
          <w:rFonts w:ascii="Calibri" w:hAnsi="Calibri"/>
          <w:b/>
          <w:i w:val="0"/>
          <w:color w:val="172033"/>
          <w:sz w:val="22"/>
        </w:rPr>
        <w:t xml:space="preserve">Explore vocational areas. </w:t>
      </w:r>
      <w:r>
        <w:rPr>
          <w:rFonts w:ascii="Calibri" w:hAnsi="Calibri"/>
          <w:b w:val="0"/>
          <w:i w:val="0"/>
          <w:color w:val="172033"/>
          <w:sz w:val="22"/>
        </w:rPr>
        <w:t>Use broad areas to generate possibilities and explain the activities that connect apparently different occupations.</w:t>
      </w:r>
    </w:p>
    <w:p>
      <w:pPr>
        <w:widowControl/>
        <w:numPr>
          <w:ilvl w:val="0"/>
          <w:numId w:val="11"/>
        </w:numPr>
      </w:pPr>
      <w:r>
        <w:rPr>
          <w:rFonts w:ascii="Calibri" w:hAnsi="Calibri"/>
          <w:b/>
          <w:i w:val="0"/>
          <w:color w:val="172033"/>
          <w:sz w:val="22"/>
        </w:rPr>
        <w:t xml:space="preserve">Compare several careers. </w:t>
      </w:r>
      <w:r>
        <w:rPr>
          <w:rFonts w:ascii="Calibri" w:hAnsi="Calibri"/>
          <w:b w:val="0"/>
          <w:i w:val="0"/>
          <w:color w:val="172033"/>
          <w:sz w:val="22"/>
        </w:rPr>
        <w:t>Review responsibilities, work context, education, skills, outlook and match patterns.</w:t>
      </w:r>
    </w:p>
    <w:p>
      <w:pPr>
        <w:widowControl/>
        <w:numPr>
          <w:ilvl w:val="0"/>
          <w:numId w:val="11"/>
        </w:numPr>
      </w:pPr>
      <w:r>
        <w:rPr>
          <w:rFonts w:ascii="Calibri" w:hAnsi="Calibri"/>
          <w:b/>
          <w:i w:val="0"/>
          <w:color w:val="172033"/>
          <w:sz w:val="22"/>
        </w:rPr>
        <w:t xml:space="preserve">Create one or two experiments. </w:t>
      </w:r>
      <w:r>
        <w:rPr>
          <w:rFonts w:ascii="Calibri" w:hAnsi="Calibri"/>
          <w:b w:val="0"/>
          <w:i w:val="0"/>
          <w:color w:val="172033"/>
          <w:sz w:val="22"/>
        </w:rPr>
        <w:t>An informational interview, introductory course, job shadow, project or club can test a hypothesis.</w:t>
      </w:r>
    </w:p>
    <w:p>
      <w:pPr>
        <w:pStyle w:val="Heading2"/>
        <w:keepNext/>
        <w:widowControl/>
      </w:pPr>
      <w:r>
        <w:rPr>
          <w:rFonts w:ascii="Calibri" w:hAnsi="Calibri"/>
          <w:b w:val="0"/>
          <w:i w:val="0"/>
          <w:color w:val="172033"/>
          <w:sz w:val="28"/>
        </w:rPr>
        <w:t>Common result patterns</w:t>
      </w:r>
    </w:p>
    <w:p>
      <w:pPr>
        <w:widowControl/>
        <w:numPr>
          <w:ilvl w:val="0"/>
          <w:numId w:val="10"/>
        </w:numPr>
      </w:pPr>
      <w:r>
        <w:rPr>
          <w:rFonts w:ascii="Calibri" w:hAnsi="Calibri"/>
          <w:b/>
          <w:i w:val="0"/>
          <w:color w:val="172033"/>
          <w:sz w:val="22"/>
        </w:rPr>
        <w:t xml:space="preserve">Many 1s and 5s. </w:t>
      </w:r>
      <w:r>
        <w:rPr>
          <w:rFonts w:ascii="Calibri" w:hAnsi="Calibri"/>
          <w:b w:val="0"/>
          <w:i w:val="0"/>
          <w:color w:val="172033"/>
          <w:sz w:val="22"/>
        </w:rPr>
        <w:t>The student may have sharply defined preferences and aversions. This can create clarity but may also require discussion of flexibility and unavoidable tasks.</w:t>
      </w:r>
    </w:p>
    <w:p>
      <w:pPr>
        <w:widowControl/>
        <w:numPr>
          <w:ilvl w:val="0"/>
          <w:numId w:val="10"/>
        </w:numPr>
      </w:pPr>
      <w:r>
        <w:rPr>
          <w:rFonts w:ascii="Calibri" w:hAnsi="Calibri"/>
          <w:b/>
          <w:i w:val="0"/>
          <w:color w:val="172033"/>
          <w:sz w:val="22"/>
        </w:rPr>
        <w:t xml:space="preserve">Mostly 2s and 3s. </w:t>
      </w:r>
      <w:r>
        <w:rPr>
          <w:rFonts w:ascii="Calibri" w:hAnsi="Calibri"/>
          <w:b w:val="0"/>
          <w:i w:val="0"/>
          <w:color w:val="172033"/>
          <w:sz w:val="22"/>
        </w:rPr>
        <w:t>The student may be adaptable across a wider range of activities. The counselor may need to use values, context, academic interests and real-world experiences to differentiate options.</w:t>
      </w:r>
    </w:p>
    <w:p>
      <w:pPr>
        <w:widowControl/>
        <w:numPr>
          <w:ilvl w:val="0"/>
          <w:numId w:val="10"/>
        </w:numPr>
      </w:pPr>
      <w:r>
        <w:rPr>
          <w:rFonts w:ascii="Calibri" w:hAnsi="Calibri"/>
          <w:b/>
          <w:i w:val="0"/>
          <w:color w:val="172033"/>
          <w:sz w:val="22"/>
        </w:rPr>
        <w:t xml:space="preserve">Unexpected match. </w:t>
      </w:r>
      <w:r>
        <w:rPr>
          <w:rFonts w:ascii="Calibri" w:hAnsi="Calibri"/>
          <w:b w:val="0"/>
          <w:i w:val="0"/>
          <w:color w:val="172033"/>
          <w:sz w:val="22"/>
        </w:rPr>
        <w:t>Ask which underlying activities connect the occupation to the profile. The useful insight may be the task pattern, not the occupation title.</w:t>
      </w:r>
    </w:p>
    <w:p>
      <w:pPr>
        <w:widowControl/>
        <w:numPr>
          <w:ilvl w:val="0"/>
          <w:numId w:val="10"/>
        </w:numPr>
      </w:pPr>
      <w:r>
        <w:rPr>
          <w:rFonts w:ascii="Calibri" w:hAnsi="Calibri"/>
          <w:b/>
          <w:i w:val="0"/>
          <w:color w:val="172033"/>
          <w:sz w:val="22"/>
        </w:rPr>
        <w:t xml:space="preserve">Student disagrees. </w:t>
      </w:r>
      <w:r>
        <w:rPr>
          <w:rFonts w:ascii="Calibri" w:hAnsi="Calibri"/>
          <w:b w:val="0"/>
          <w:i w:val="0"/>
          <w:color w:val="172033"/>
          <w:sz w:val="22"/>
        </w:rPr>
        <w:t>Treat disagreement as data. Clarify item understanding, context, self-perception and whether the result captures a preference that has not yet been expressed.</w:t>
      </w:r>
    </w:p>
    <w:p>
      <w:pPr>
        <w:pStyle w:val="Heading2"/>
        <w:keepNext/>
        <w:widowControl/>
      </w:pPr>
      <w:r>
        <w:rPr>
          <w:rFonts w:ascii="Calibri" w:hAnsi="Calibri"/>
          <w:b w:val="0"/>
          <w:i w:val="0"/>
          <w:color w:val="172033"/>
          <w:sz w:val="28"/>
        </w:rPr>
        <w:t>Counselor conversation guardrails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3300"/>
        <w:gridCol w:w="6060"/>
      </w:tblGrid>
      <w:tr>
        <w:trPr>
          <w:tblHeader w:val="true"/>
          <w:cantSplit/>
        </w:trPr>
        <w:tc>
          <w:tcPr>
            <w:tcW w:type="dxa" w:w="3300"/>
            <w:tcMar>
              <w:top w:w="100" w:type="dxa"/>
              <w:start w:w="140" w:type="dxa"/>
              <w:bottom w:w="100" w:type="dxa"/>
              <w:end w:w="140" w:type="dxa"/>
            </w:tcMar>
            <w:vAlign w:val="center"/>
            <w:shd w:fill="7057E8"/>
          </w:tcPr>
          <w:p>
            <w:pPr>
              <w:spacing w:after="0"/>
              <w:jc w:val="left"/>
            </w:pPr>
            <w:r>
              <w:rPr>
                <w:rFonts w:ascii="Calibri" w:hAnsi="Calibri"/>
                <w:b/>
                <w:i w:val="0"/>
                <w:color w:val="FFFFFF"/>
                <w:sz w:val="18"/>
              </w:rPr>
              <w:t>Avoid</w:t>
            </w:r>
          </w:p>
        </w:tc>
        <w:tc>
          <w:tcPr>
            <w:tcW w:type="dxa" w:w="6060"/>
            <w:tcMar>
              <w:top w:w="100" w:type="dxa"/>
              <w:start w:w="140" w:type="dxa"/>
              <w:bottom w:w="100" w:type="dxa"/>
              <w:end w:w="140" w:type="dxa"/>
            </w:tcMar>
            <w:vAlign w:val="center"/>
            <w:shd w:fill="7057E8"/>
          </w:tcPr>
          <w:p>
            <w:pPr>
              <w:spacing w:after="0"/>
              <w:jc w:val="left"/>
            </w:pPr>
            <w:r>
              <w:rPr>
                <w:rFonts w:ascii="Calibri" w:hAnsi="Calibri"/>
                <w:b/>
                <w:i w:val="0"/>
                <w:color w:val="FFFFFF"/>
                <w:sz w:val="18"/>
              </w:rPr>
              <w:t>Use instead</w:t>
            </w:r>
          </w:p>
        </w:tc>
      </w:tr>
      <w:tr>
        <w:trPr>
          <w:cantSplit/>
        </w:trPr>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8"/>
              </w:rPr>
              <w:t>“You are a…”</w:t>
            </w:r>
          </w:p>
        </w:tc>
        <w:tc>
          <w:tcPr>
            <w:tcW w:type="dxa" w:w="6060"/>
            <w:tcMar>
              <w:top w:w="100" w:type="dxa"/>
              <w:start w:w="140" w:type="dxa"/>
              <w:bottom w:w="100" w:type="dxa"/>
              <w:end w:w="140" w:type="dxa"/>
            </w:tcMar>
            <w:vAlign w:val="center"/>
          </w:tcPr>
          <w:p>
            <w:pPr>
              <w:spacing w:after="0" w:line="264" w:lineRule="auto"/>
            </w:pPr>
            <w:r>
              <w:rPr>
                <w:rFonts w:ascii="Calibri" w:hAnsi="Calibri"/>
                <w:b w:val="0"/>
                <w:i w:val="0"/>
                <w:color w:val="172033"/>
                <w:sz w:val="18"/>
              </w:rPr>
              <w:t>“Your results suggest a preference for…”</w:t>
            </w:r>
          </w:p>
        </w:tc>
      </w:tr>
      <w:tr>
        <w:trPr>
          <w:cantSplit/>
        </w:trPr>
        <w:tc>
          <w:tcPr>
            <w:tcW w:type="dxa" w:w="33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“This is your best career.”</w:t>
            </w:r>
          </w:p>
        </w:tc>
        <w:tc>
          <w:tcPr>
            <w:tcW w:type="dxa" w:w="60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“This is one option with several matching features. Let’s compare it with others.”</w:t>
            </w:r>
          </w:p>
        </w:tc>
      </w:tr>
      <w:tr>
        <w:trPr>
          <w:cantSplit/>
        </w:trPr>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8"/>
              </w:rPr>
              <w:t>“You are not good at detail.”</w:t>
            </w:r>
          </w:p>
        </w:tc>
        <w:tc>
          <w:tcPr>
            <w:tcW w:type="dxa" w:w="6060"/>
            <w:tcMar>
              <w:top w:w="100" w:type="dxa"/>
              <w:start w:w="140" w:type="dxa"/>
              <w:bottom w:w="100" w:type="dxa"/>
              <w:end w:w="140" w:type="dxa"/>
            </w:tcMar>
            <w:vAlign w:val="center"/>
          </w:tcPr>
          <w:p>
            <w:pPr>
              <w:spacing w:after="0" w:line="264" w:lineRule="auto"/>
            </w:pPr>
            <w:r>
              <w:rPr>
                <w:rFonts w:ascii="Calibri" w:hAnsi="Calibri"/>
                <w:b w:val="0"/>
                <w:i w:val="0"/>
                <w:color w:val="172033"/>
                <w:sz w:val="18"/>
              </w:rPr>
              <w:t>“Sustained detail may be less motivating; let’s separate preference from demonstrated ability.”</w:t>
            </w:r>
          </w:p>
        </w:tc>
      </w:tr>
      <w:tr>
        <w:trPr>
          <w:cantSplit/>
        </w:trPr>
        <w:tc>
          <w:tcPr>
            <w:tcW w:type="dxa" w:w="33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“This college is your best match.”</w:t>
            </w:r>
          </w:p>
        </w:tc>
        <w:tc>
          <w:tcPr>
            <w:tcW w:type="dxa" w:w="60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“This school may fit some of your criteria. We still need to examine academics, cost, support and admissions.”</w:t>
            </w:r>
          </w:p>
        </w:tc>
      </w:tr>
      <w:tr>
        <w:trPr>
          <w:cantSplit/>
        </w:trPr>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8"/>
              </w:rPr>
              <w:t>“AI risk means this job will disappear.”</w:t>
            </w:r>
          </w:p>
        </w:tc>
        <w:tc>
          <w:tcPr>
            <w:tcW w:type="dxa" w:w="6060"/>
            <w:tcMar>
              <w:top w:w="100" w:type="dxa"/>
              <w:start w:w="140" w:type="dxa"/>
              <w:bottom w:w="100" w:type="dxa"/>
              <w:end w:w="140" w:type="dxa"/>
            </w:tcMar>
            <w:vAlign w:val="center"/>
          </w:tcPr>
          <w:p>
            <w:pPr>
              <w:spacing w:after="0" w:line="264" w:lineRule="auto"/>
            </w:pPr>
            <w:r>
              <w:rPr>
                <w:rFonts w:ascii="Calibri" w:hAnsi="Calibri"/>
                <w:b w:val="0"/>
                <w:i w:val="0"/>
                <w:color w:val="172033"/>
                <w:sz w:val="18"/>
              </w:rPr>
              <w:t>“This score is a prompt to examine changing tasks and resilient skills, not a forecast.”</w:t>
            </w:r>
          </w:p>
        </w:tc>
      </w:tr>
    </w:tbl>
    <w:p>
      <w:pPr>
        <w:widowControl/>
        <w:spacing w:after="20"/>
      </w:pPr>
    </w:p>
    <w:p>
      <w:pPr>
        <w:pStyle w:val="Heading1"/>
        <w:keepNext/>
        <w:widowControl/>
      </w:pPr>
      <w:r>
        <w:rPr>
          <w:rFonts w:ascii="Calibri" w:hAnsi="Calibri"/>
          <w:b w:val="0"/>
          <w:i w:val="0"/>
          <w:color w:val="172033"/>
          <w:sz w:val="36"/>
        </w:rPr>
        <w:t>4. From Assessment to Action: The Assessment.com Platform</w:t>
      </w:r>
    </w:p>
    <w:p>
      <w:pPr>
        <w:widowControl/>
      </w:pPr>
      <w:r>
        <w:rPr>
          <w:rFonts w:ascii="Calibri" w:hAnsi="Calibri"/>
          <w:b w:val="0"/>
          <w:i w:val="0"/>
          <w:color w:val="172033"/>
          <w:sz w:val="21"/>
        </w:rPr>
        <w:t>MAPP provides the foundational profile. The surrounding platform is what turns that profile into an ongoing student-success workflow. Feature availability may vary by package, school settings and implementation configuration; schools should confirm exact entitlements during procurement and setup.</w:t>
      </w:r>
    </w:p>
    <w:p>
      <w:pPr>
        <w:pStyle w:val="Heading2"/>
        <w:keepNext/>
        <w:widowControl/>
      </w:pPr>
      <w:r>
        <w:rPr>
          <w:rFonts w:ascii="Calibri" w:hAnsi="Calibri"/>
          <w:b w:val="0"/>
          <w:i w:val="0"/>
          <w:color w:val="172033"/>
          <w:sz w:val="28"/>
        </w:rPr>
        <w:t>Student-facing capabilities</w:t>
      </w:r>
    </w:p>
    <w:p>
      <w:pPr>
        <w:widowControl/>
        <w:numPr>
          <w:ilvl w:val="0"/>
          <w:numId w:val="10"/>
        </w:numPr>
      </w:pPr>
      <w:r>
        <w:rPr>
          <w:rFonts w:ascii="Calibri" w:hAnsi="Calibri"/>
          <w:b/>
          <w:i w:val="0"/>
          <w:color w:val="172033"/>
          <w:sz w:val="22"/>
        </w:rPr>
        <w:t xml:space="preserve">Career matching and exploration. </w:t>
      </w:r>
      <w:r>
        <w:rPr>
          <w:rFonts w:ascii="Calibri" w:hAnsi="Calibri"/>
          <w:b w:val="0"/>
          <w:i w:val="0"/>
          <w:color w:val="172033"/>
          <w:sz w:val="22"/>
        </w:rPr>
        <w:t>Students review individual match scores and explore career responsibilities, work environment, education, skills, related occupations, videos, salary and outlook.</w:t>
      </w:r>
    </w:p>
    <w:p>
      <w:pPr>
        <w:widowControl/>
        <w:numPr>
          <w:ilvl w:val="0"/>
          <w:numId w:val="10"/>
        </w:numPr>
      </w:pPr>
      <w:r>
        <w:rPr>
          <w:rFonts w:ascii="Calibri" w:hAnsi="Calibri"/>
          <w:b/>
          <w:i w:val="0"/>
          <w:color w:val="172033"/>
          <w:sz w:val="22"/>
        </w:rPr>
        <w:t xml:space="preserve">Live job listings. </w:t>
      </w:r>
      <w:r>
        <w:rPr>
          <w:rFonts w:ascii="Calibri" w:hAnsi="Calibri"/>
          <w:b w:val="0"/>
          <w:i w:val="0"/>
          <w:color w:val="172033"/>
          <w:sz w:val="22"/>
        </w:rPr>
        <w:t>Students can examine real openings connected to careers they are considering. In high school, listings are best used to understand employer language, common requirements, locations and emerging skills—not only to apply.</w:t>
      </w:r>
    </w:p>
    <w:p>
      <w:pPr>
        <w:widowControl/>
        <w:numPr>
          <w:ilvl w:val="0"/>
          <w:numId w:val="10"/>
        </w:numPr>
      </w:pPr>
      <w:r>
        <w:rPr>
          <w:rFonts w:ascii="Calibri" w:hAnsi="Calibri"/>
          <w:b/>
          <w:i w:val="0"/>
          <w:color w:val="172033"/>
          <w:sz w:val="22"/>
        </w:rPr>
        <w:t xml:space="preserve">AI Risk Scores. </w:t>
      </w:r>
      <w:r>
        <w:rPr>
          <w:rFonts w:ascii="Calibri" w:hAnsi="Calibri"/>
          <w:b w:val="0"/>
          <w:i w:val="0"/>
          <w:color w:val="172033"/>
          <w:sz w:val="22"/>
        </w:rPr>
        <w:t>Each career can include a score intended to support discussion of how AI may affect tasks and skills. Use it as a conversation starter, never a precise forecast.</w:t>
      </w:r>
    </w:p>
    <w:p>
      <w:pPr>
        <w:widowControl/>
        <w:numPr>
          <w:ilvl w:val="0"/>
          <w:numId w:val="10"/>
        </w:numPr>
      </w:pPr>
      <w:r>
        <w:rPr>
          <w:rFonts w:ascii="Calibri" w:hAnsi="Calibri"/>
          <w:b/>
          <w:i w:val="0"/>
          <w:color w:val="172033"/>
          <w:sz w:val="22"/>
        </w:rPr>
        <w:t xml:space="preserve">Education pathways. </w:t>
      </w:r>
      <w:r>
        <w:rPr>
          <w:rFonts w:ascii="Calibri" w:hAnsi="Calibri"/>
          <w:b w:val="0"/>
          <w:i w:val="0"/>
          <w:color w:val="172033"/>
          <w:sz w:val="22"/>
        </w:rPr>
        <w:t>Students connect careers with majors, degree programs, colleges, community colleges, trade schools, apprenticeships, certifications, military pathways and workforce training.</w:t>
      </w:r>
    </w:p>
    <w:p>
      <w:pPr>
        <w:widowControl/>
        <w:numPr>
          <w:ilvl w:val="0"/>
          <w:numId w:val="10"/>
        </w:numPr>
      </w:pPr>
      <w:r>
        <w:rPr>
          <w:rFonts w:ascii="Calibri" w:hAnsi="Calibri"/>
          <w:b/>
          <w:i w:val="0"/>
          <w:color w:val="172033"/>
          <w:sz w:val="22"/>
        </w:rPr>
        <w:t xml:space="preserve">College and program data. </w:t>
      </w:r>
      <w:r>
        <w:rPr>
          <w:rFonts w:ascii="Calibri" w:hAnsi="Calibri"/>
          <w:b w:val="0"/>
          <w:i w:val="0"/>
          <w:color w:val="172033"/>
          <w:sz w:val="22"/>
        </w:rPr>
        <w:t>College Scorecard-linked information can include tuition or cost measures, graduation rates, school type, delivery format and program information.</w:t>
      </w:r>
    </w:p>
    <w:p>
      <w:pPr>
        <w:widowControl/>
        <w:numPr>
          <w:ilvl w:val="0"/>
          <w:numId w:val="10"/>
        </w:numPr>
      </w:pPr>
      <w:r>
        <w:rPr>
          <w:rFonts w:ascii="Calibri" w:hAnsi="Calibri"/>
          <w:b/>
          <w:i w:val="0"/>
          <w:color w:val="172033"/>
          <w:sz w:val="22"/>
        </w:rPr>
        <w:t xml:space="preserve">Career and education dashboard. </w:t>
      </w:r>
      <w:r>
        <w:rPr>
          <w:rFonts w:ascii="Calibri" w:hAnsi="Calibri"/>
          <w:b w:val="0"/>
          <w:i w:val="0"/>
          <w:color w:val="172033"/>
          <w:sz w:val="22"/>
        </w:rPr>
        <w:t>Students can return to results, saved options, tools and suggested next steps rather than treating the assessment as a one-time report.</w:t>
      </w:r>
    </w:p>
    <w:p>
      <w:pPr>
        <w:widowControl/>
        <w:numPr>
          <w:ilvl w:val="0"/>
          <w:numId w:val="10"/>
        </w:numPr>
      </w:pPr>
      <w:r>
        <w:rPr>
          <w:rFonts w:ascii="Calibri" w:hAnsi="Calibri"/>
          <w:b/>
          <w:i w:val="0"/>
          <w:color w:val="172033"/>
          <w:sz w:val="22"/>
        </w:rPr>
        <w:t xml:space="preserve">Optional AI coaching. </w:t>
      </w:r>
      <w:r>
        <w:rPr>
          <w:rFonts w:ascii="Calibri" w:hAnsi="Calibri"/>
          <w:b w:val="0"/>
          <w:i w:val="0"/>
          <w:color w:val="172033"/>
          <w:sz w:val="22"/>
        </w:rPr>
        <w:t>Students can ask plain-language questions about results, careers, majors, schools and next steps between counseling meetings.</w:t>
      </w:r>
    </w:p>
    <w:p>
      <w:pPr>
        <w:pStyle w:val="Heading2"/>
        <w:keepNext/>
        <w:widowControl/>
      </w:pPr>
      <w:r>
        <w:rPr>
          <w:rFonts w:ascii="Calibri" w:hAnsi="Calibri"/>
          <w:b w:val="0"/>
          <w:i w:val="0"/>
          <w:color w:val="172033"/>
          <w:sz w:val="28"/>
        </w:rPr>
        <w:t>Counselor and school capabilities</w:t>
      </w:r>
    </w:p>
    <w:p>
      <w:pPr>
        <w:widowControl/>
        <w:numPr>
          <w:ilvl w:val="0"/>
          <w:numId w:val="10"/>
        </w:numPr>
      </w:pPr>
      <w:r>
        <w:rPr>
          <w:rFonts w:ascii="Calibri" w:hAnsi="Calibri"/>
          <w:b/>
          <w:i w:val="0"/>
          <w:color w:val="172033"/>
          <w:sz w:val="22"/>
        </w:rPr>
        <w:t xml:space="preserve">Flexible delivery. </w:t>
      </w:r>
      <w:r>
        <w:rPr>
          <w:rFonts w:ascii="Calibri" w:hAnsi="Calibri"/>
          <w:b w:val="0"/>
          <w:i w:val="0"/>
          <w:color w:val="172033"/>
          <w:sz w:val="22"/>
        </w:rPr>
        <w:t>Email invitations, live links, access codes and cohorts can organize a class, grade, program or school.</w:t>
      </w:r>
    </w:p>
    <w:p>
      <w:pPr>
        <w:widowControl/>
        <w:numPr>
          <w:ilvl w:val="0"/>
          <w:numId w:val="10"/>
        </w:numPr>
      </w:pPr>
      <w:r>
        <w:rPr>
          <w:rFonts w:ascii="Calibri" w:hAnsi="Calibri"/>
          <w:b/>
          <w:i w:val="0"/>
          <w:color w:val="172033"/>
          <w:sz w:val="22"/>
        </w:rPr>
        <w:t xml:space="preserve">Progress visibility. </w:t>
      </w:r>
      <w:r>
        <w:rPr>
          <w:rFonts w:ascii="Calibri" w:hAnsi="Calibri"/>
          <w:b w:val="0"/>
          <w:i w:val="0"/>
          <w:color w:val="172033"/>
          <w:sz w:val="22"/>
        </w:rPr>
        <w:t>Counselors and administrators can review registration, completion and relevant activity according to role and configuration.</w:t>
      </w:r>
    </w:p>
    <w:p>
      <w:pPr>
        <w:widowControl/>
        <w:numPr>
          <w:ilvl w:val="0"/>
          <w:numId w:val="10"/>
        </w:numPr>
      </w:pPr>
      <w:r>
        <w:rPr>
          <w:rFonts w:ascii="Calibri" w:hAnsi="Calibri"/>
          <w:b/>
          <w:i w:val="0"/>
          <w:color w:val="172033"/>
          <w:sz w:val="22"/>
        </w:rPr>
        <w:t xml:space="preserve">Individual and cohort reporting. </w:t>
      </w:r>
      <w:r>
        <w:rPr>
          <w:rFonts w:ascii="Calibri" w:hAnsi="Calibri"/>
          <w:b w:val="0"/>
          <w:i w:val="0"/>
          <w:color w:val="172033"/>
          <w:sz w:val="22"/>
        </w:rPr>
        <w:t>Results can support student meetings, cohort patterns, program planning, exports and presentation-ready summaries.</w:t>
      </w:r>
    </w:p>
    <w:p>
      <w:pPr>
        <w:widowControl/>
        <w:numPr>
          <w:ilvl w:val="0"/>
          <w:numId w:val="10"/>
        </w:numPr>
      </w:pPr>
      <w:r>
        <w:rPr>
          <w:rFonts w:ascii="Calibri" w:hAnsi="Calibri"/>
          <w:b/>
          <w:i w:val="0"/>
          <w:color w:val="172033"/>
          <w:sz w:val="22"/>
        </w:rPr>
        <w:t xml:space="preserve">Parent-oriented reporting. </w:t>
      </w:r>
      <w:r>
        <w:rPr>
          <w:rFonts w:ascii="Calibri" w:hAnsi="Calibri"/>
          <w:b w:val="0"/>
          <w:i w:val="0"/>
          <w:color w:val="172033"/>
          <w:sz w:val="22"/>
        </w:rPr>
        <w:t>Schools can create shared language for family discussions and, where enabled, provide a parent/guardian AI perspective.</w:t>
      </w:r>
    </w:p>
    <w:p>
      <w:pPr>
        <w:widowControl/>
        <w:numPr>
          <w:ilvl w:val="0"/>
          <w:numId w:val="10"/>
        </w:numPr>
      </w:pPr>
      <w:r>
        <w:rPr>
          <w:rFonts w:ascii="Calibri" w:hAnsi="Calibri"/>
          <w:b/>
          <w:i w:val="0"/>
          <w:color w:val="172033"/>
          <w:sz w:val="22"/>
        </w:rPr>
        <w:t xml:space="preserve">Assessment Marketplace. </w:t>
      </w:r>
      <w:r>
        <w:rPr>
          <w:rFonts w:ascii="Calibri" w:hAnsi="Calibri"/>
          <w:b w:val="0"/>
          <w:i w:val="0"/>
          <w:color w:val="172033"/>
          <w:sz w:val="22"/>
        </w:rPr>
        <w:t>More than 100 free and premium assessments can extend MAPP into learning, skills, personality, leadership, communication, emotional intelligence, wellness, study habits and student-success topics.</w:t>
      </w:r>
    </w:p>
    <w:p>
      <w:pPr>
        <w:widowControl/>
        <w:numPr>
          <w:ilvl w:val="0"/>
          <w:numId w:val="10"/>
        </w:numPr>
      </w:pPr>
      <w:r>
        <w:rPr>
          <w:rFonts w:ascii="Calibri" w:hAnsi="Calibri"/>
          <w:b/>
          <w:i w:val="0"/>
          <w:color w:val="172033"/>
          <w:sz w:val="22"/>
        </w:rPr>
        <w:t xml:space="preserve">AI Assessment Builder. </w:t>
      </w:r>
      <w:r>
        <w:rPr>
          <w:rFonts w:ascii="Calibri" w:hAnsi="Calibri"/>
          <w:b w:val="0"/>
          <w:i w:val="0"/>
          <w:color w:val="172033"/>
          <w:sz w:val="22"/>
        </w:rPr>
        <w:t>Schools can create surveys, intake forms, reflections, knowledge checks, readiness tools, practice assessments and local program evaluations.</w:t>
      </w:r>
    </w:p>
    <w:p>
      <w:pPr>
        <w:widowControl/>
        <w:numPr>
          <w:ilvl w:val="0"/>
          <w:numId w:val="10"/>
        </w:numPr>
      </w:pPr>
      <w:r>
        <w:rPr>
          <w:rFonts w:ascii="Calibri" w:hAnsi="Calibri"/>
          <w:b/>
          <w:i w:val="0"/>
          <w:color w:val="172033"/>
          <w:sz w:val="22"/>
        </w:rPr>
        <w:t xml:space="preserve">Branding and integration options. </w:t>
      </w:r>
      <w:r>
        <w:rPr>
          <w:rFonts w:ascii="Calibri" w:hAnsi="Calibri"/>
          <w:b w:val="0"/>
          <w:i w:val="0"/>
          <w:color w:val="172033"/>
          <w:sz w:val="22"/>
        </w:rPr>
        <w:t>White-label branding, multilingual delivery, APIs, webhooks, LMS/SIS connections and enterprise options may be available by configuration.</w:t>
      </w:r>
    </w:p>
    <w:p>
      <w:pPr>
        <w:pStyle w:val="Heading2"/>
        <w:keepNext/>
        <w:widowControl/>
      </w:pPr>
      <w:r>
        <w:rPr>
          <w:rFonts w:ascii="Calibri" w:hAnsi="Calibri"/>
          <w:b w:val="0"/>
          <w:i w:val="0"/>
          <w:color w:val="172033"/>
          <w:sz w:val="28"/>
        </w:rPr>
        <w:t>The connected student journey</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150"/>
        <w:gridCol w:w="2400"/>
        <w:gridCol w:w="2700"/>
        <w:gridCol w:w="3110"/>
      </w:tblGrid>
      <w:tr>
        <w:trPr>
          <w:tblHeader w:val="true"/>
          <w:cantSplit/>
        </w:trPr>
        <w:tc>
          <w:tcPr>
            <w:tcW w:type="dxa" w:w="1150"/>
            <w:tcMar>
              <w:top w:w="100" w:type="dxa"/>
              <w:start w:w="140" w:type="dxa"/>
              <w:bottom w:w="100" w:type="dxa"/>
              <w:end w:w="140" w:type="dxa"/>
            </w:tcMar>
            <w:vAlign w:val="center"/>
            <w:shd w:fill="159B64"/>
          </w:tcPr>
          <w:p>
            <w:pPr>
              <w:spacing w:after="0"/>
              <w:jc w:val="left"/>
            </w:pPr>
            <w:r>
              <w:rPr>
                <w:rFonts w:ascii="Calibri" w:hAnsi="Calibri"/>
                <w:b/>
                <w:i w:val="0"/>
                <w:color w:val="FFFFFF"/>
                <w:sz w:val="18"/>
              </w:rPr>
              <w:t>Stage</w:t>
            </w:r>
          </w:p>
        </w:tc>
        <w:tc>
          <w:tcPr>
            <w:tcW w:type="dxa" w:w="2400"/>
            <w:tcMar>
              <w:top w:w="100" w:type="dxa"/>
              <w:start w:w="140" w:type="dxa"/>
              <w:bottom w:w="100" w:type="dxa"/>
              <w:end w:w="140" w:type="dxa"/>
            </w:tcMar>
            <w:vAlign w:val="center"/>
            <w:shd w:fill="159B64"/>
          </w:tcPr>
          <w:p>
            <w:pPr>
              <w:spacing w:after="0"/>
              <w:jc w:val="left"/>
            </w:pPr>
            <w:r>
              <w:rPr>
                <w:rFonts w:ascii="Calibri" w:hAnsi="Calibri"/>
                <w:b/>
                <w:i w:val="0"/>
                <w:color w:val="FFFFFF"/>
                <w:sz w:val="18"/>
              </w:rPr>
              <w:t>Student action</w:t>
            </w:r>
          </w:p>
        </w:tc>
        <w:tc>
          <w:tcPr>
            <w:tcW w:type="dxa" w:w="2700"/>
            <w:tcMar>
              <w:top w:w="100" w:type="dxa"/>
              <w:start w:w="140" w:type="dxa"/>
              <w:bottom w:w="100" w:type="dxa"/>
              <w:end w:w="140" w:type="dxa"/>
            </w:tcMar>
            <w:vAlign w:val="center"/>
            <w:shd w:fill="159B64"/>
          </w:tcPr>
          <w:p>
            <w:pPr>
              <w:spacing w:after="0"/>
              <w:jc w:val="left"/>
            </w:pPr>
            <w:r>
              <w:rPr>
                <w:rFonts w:ascii="Calibri" w:hAnsi="Calibri"/>
                <w:b/>
                <w:i w:val="0"/>
                <w:color w:val="FFFFFF"/>
                <w:sz w:val="18"/>
              </w:rPr>
              <w:t>Counselor contribution</w:t>
            </w:r>
          </w:p>
        </w:tc>
        <w:tc>
          <w:tcPr>
            <w:tcW w:type="dxa" w:w="3110"/>
            <w:tcMar>
              <w:top w:w="100" w:type="dxa"/>
              <w:start w:w="140" w:type="dxa"/>
              <w:bottom w:w="100" w:type="dxa"/>
              <w:end w:w="140" w:type="dxa"/>
            </w:tcMar>
            <w:vAlign w:val="center"/>
            <w:shd w:fill="159B64"/>
          </w:tcPr>
          <w:p>
            <w:pPr>
              <w:spacing w:after="0"/>
              <w:jc w:val="left"/>
            </w:pPr>
            <w:r>
              <w:rPr>
                <w:rFonts w:ascii="Calibri" w:hAnsi="Calibri"/>
                <w:b/>
                <w:i w:val="0"/>
                <w:color w:val="FFFFFF"/>
                <w:sz w:val="18"/>
              </w:rPr>
              <w:t>Evidence of progress</w:t>
            </w:r>
          </w:p>
        </w:tc>
      </w:tr>
      <w:tr>
        <w:trPr>
          <w:cantSplit/>
        </w:trPr>
        <w:tc>
          <w:tcPr>
            <w:tcW w:type="dxa" w:w="1150"/>
            <w:tcMar>
              <w:top w:w="100" w:type="dxa"/>
              <w:start w:w="140" w:type="dxa"/>
              <w:bottom w:w="100" w:type="dxa"/>
              <w:end w:w="140" w:type="dxa"/>
            </w:tcMar>
            <w:vAlign w:val="center"/>
          </w:tcPr>
          <w:p>
            <w:pPr>
              <w:spacing w:after="0" w:line="264" w:lineRule="auto"/>
            </w:pPr>
            <w:r>
              <w:rPr>
                <w:rFonts w:ascii="Calibri" w:hAnsi="Calibri"/>
                <w:b w:val="0"/>
                <w:i w:val="0"/>
                <w:color w:val="172033"/>
                <w:sz w:val="17"/>
              </w:rPr>
              <w:t>Discover</w:t>
            </w:r>
          </w:p>
        </w:tc>
        <w:tc>
          <w:tcPr>
            <w:tcW w:type="dxa" w:w="2400"/>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Complete MAPP and reflect on motivations.</w:t>
            </w:r>
          </w:p>
        </w:tc>
        <w:tc>
          <w:tcPr>
            <w:tcW w:type="dxa" w:w="2700"/>
            <w:tcMar>
              <w:top w:w="100" w:type="dxa"/>
              <w:start w:w="140" w:type="dxa"/>
              <w:bottom w:w="100" w:type="dxa"/>
              <w:end w:w="140" w:type="dxa"/>
            </w:tcMar>
            <w:vAlign w:val="center"/>
          </w:tcPr>
          <w:p>
            <w:pPr>
              <w:spacing w:after="0" w:line="264" w:lineRule="auto"/>
            </w:pPr>
            <w:r>
              <w:rPr>
                <w:rFonts w:ascii="Calibri" w:hAnsi="Calibri"/>
                <w:b w:val="0"/>
                <w:i w:val="0"/>
                <w:color w:val="172033"/>
                <w:sz w:val="17"/>
              </w:rPr>
              <w:t>Frame results as exploratory and clarify themes.</w:t>
            </w:r>
          </w:p>
        </w:tc>
        <w:tc>
          <w:tcPr>
            <w:tcW w:type="dxa" w:w="3110"/>
            <w:tcMar>
              <w:top w:w="100" w:type="dxa"/>
              <w:start w:w="140" w:type="dxa"/>
              <w:bottom w:w="100" w:type="dxa"/>
              <w:end w:w="140" w:type="dxa"/>
            </w:tcMar>
            <w:vAlign w:val="center"/>
          </w:tcPr>
          <w:p>
            <w:pPr>
              <w:spacing w:after="0" w:line="264" w:lineRule="auto"/>
            </w:pPr>
            <w:r>
              <w:rPr>
                <w:rFonts w:ascii="Calibri" w:hAnsi="Calibri"/>
                <w:b w:val="0"/>
                <w:i w:val="0"/>
                <w:color w:val="172033"/>
                <w:sz w:val="17"/>
              </w:rPr>
              <w:t>Student can describe 3–5 patterns.</w:t>
            </w:r>
          </w:p>
        </w:tc>
      </w:tr>
      <w:tr>
        <w:trPr>
          <w:cantSplit/>
        </w:trPr>
        <w:tc>
          <w:tcPr>
            <w:tcW w:type="dxa" w:w="11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Explore</w:t>
            </w:r>
          </w:p>
        </w:tc>
        <w:tc>
          <w:tcPr>
            <w:tcW w:type="dxa" w:w="24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Compare career areas and occupations.</w:t>
            </w:r>
          </w:p>
        </w:tc>
        <w:tc>
          <w:tcPr>
            <w:tcW w:type="dxa" w:w="27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Broaden options and challenge assumptions.</w:t>
            </w:r>
          </w:p>
        </w:tc>
        <w:tc>
          <w:tcPr>
            <w:tcW w:type="dxa" w:w="31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At least three researched careers.</w:t>
            </w:r>
          </w:p>
        </w:tc>
      </w:tr>
      <w:tr>
        <w:trPr>
          <w:cantSplit/>
        </w:trPr>
        <w:tc>
          <w:tcPr>
            <w:tcW w:type="dxa" w:w="1150"/>
            <w:tcMar>
              <w:top w:w="100" w:type="dxa"/>
              <w:start w:w="140" w:type="dxa"/>
              <w:bottom w:w="100" w:type="dxa"/>
              <w:end w:w="140" w:type="dxa"/>
            </w:tcMar>
            <w:vAlign w:val="center"/>
          </w:tcPr>
          <w:p>
            <w:pPr>
              <w:spacing w:after="0" w:line="264" w:lineRule="auto"/>
            </w:pPr>
            <w:r>
              <w:rPr>
                <w:rFonts w:ascii="Calibri" w:hAnsi="Calibri"/>
                <w:b w:val="0"/>
                <w:i w:val="0"/>
                <w:color w:val="172033"/>
                <w:sz w:val="17"/>
              </w:rPr>
              <w:t>Connect</w:t>
            </w:r>
          </w:p>
        </w:tc>
        <w:tc>
          <w:tcPr>
            <w:tcW w:type="dxa" w:w="2400"/>
            <w:tcMar>
              <w:top w:w="100" w:type="dxa"/>
              <w:start w:w="140" w:type="dxa"/>
              <w:bottom w:w="100" w:type="dxa"/>
              <w:end w:w="140" w:type="dxa"/>
            </w:tcMar>
            <w:vAlign w:val="center"/>
          </w:tcPr>
          <w:p>
            <w:pPr>
              <w:spacing w:after="0" w:line="264" w:lineRule="auto"/>
            </w:pPr>
            <w:r>
              <w:rPr>
                <w:rFonts w:ascii="Calibri" w:hAnsi="Calibri"/>
                <w:b w:val="0"/>
                <w:i w:val="0"/>
                <w:color w:val="172033"/>
                <w:sz w:val="17"/>
              </w:rPr>
              <w:t>Link careers to majors, programs and training.</w:t>
            </w:r>
          </w:p>
        </w:tc>
        <w:tc>
          <w:tcPr>
            <w:tcW w:type="dxa" w:w="2700"/>
            <w:tcMar>
              <w:top w:w="100" w:type="dxa"/>
              <w:start w:w="140" w:type="dxa"/>
              <w:bottom w:w="100" w:type="dxa"/>
              <w:end w:w="140" w:type="dxa"/>
            </w:tcMar>
            <w:vAlign w:val="center"/>
          </w:tcPr>
          <w:p>
            <w:pPr>
              <w:spacing w:after="0" w:line="264" w:lineRule="auto"/>
            </w:pPr>
            <w:r>
              <w:rPr>
                <w:rFonts w:ascii="Calibri" w:hAnsi="Calibri"/>
                <w:b w:val="0"/>
                <w:i w:val="0"/>
                <w:color w:val="172033"/>
                <w:sz w:val="17"/>
              </w:rPr>
              <w:t>Help evaluate routes and prerequisites.</w:t>
            </w:r>
          </w:p>
        </w:tc>
        <w:tc>
          <w:tcPr>
            <w:tcW w:type="dxa" w:w="3110"/>
            <w:tcMar>
              <w:top w:w="100" w:type="dxa"/>
              <w:start w:w="140" w:type="dxa"/>
              <w:bottom w:w="100" w:type="dxa"/>
              <w:end w:w="140" w:type="dxa"/>
            </w:tcMar>
            <w:vAlign w:val="center"/>
          </w:tcPr>
          <w:p>
            <w:pPr>
              <w:spacing w:after="0" w:line="264" w:lineRule="auto"/>
            </w:pPr>
            <w:r>
              <w:rPr>
                <w:rFonts w:ascii="Calibri" w:hAnsi="Calibri"/>
                <w:b w:val="0"/>
                <w:i w:val="0"/>
                <w:color w:val="172033"/>
                <w:sz w:val="17"/>
              </w:rPr>
              <w:t>Two or more routes per priority career.</w:t>
            </w:r>
          </w:p>
        </w:tc>
      </w:tr>
      <w:tr>
        <w:trPr>
          <w:cantSplit/>
        </w:trPr>
        <w:tc>
          <w:tcPr>
            <w:tcW w:type="dxa" w:w="11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Plan</w:t>
            </w:r>
          </w:p>
        </w:tc>
        <w:tc>
          <w:tcPr>
            <w:tcW w:type="dxa" w:w="24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Build an academic and experience plan.</w:t>
            </w:r>
          </w:p>
        </w:tc>
        <w:tc>
          <w:tcPr>
            <w:tcW w:type="dxa" w:w="27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Integrate coursework, activities and constraints.</w:t>
            </w:r>
          </w:p>
        </w:tc>
        <w:tc>
          <w:tcPr>
            <w:tcW w:type="dxa" w:w="31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Documented next steps and dates.</w:t>
            </w:r>
          </w:p>
        </w:tc>
      </w:tr>
      <w:tr>
        <w:trPr>
          <w:cantSplit/>
        </w:trPr>
        <w:tc>
          <w:tcPr>
            <w:tcW w:type="dxa" w:w="1150"/>
            <w:tcMar>
              <w:top w:w="100" w:type="dxa"/>
              <w:start w:w="140" w:type="dxa"/>
              <w:bottom w:w="100" w:type="dxa"/>
              <w:end w:w="140" w:type="dxa"/>
            </w:tcMar>
            <w:vAlign w:val="center"/>
          </w:tcPr>
          <w:p>
            <w:pPr>
              <w:spacing w:after="0" w:line="264" w:lineRule="auto"/>
            </w:pPr>
            <w:r>
              <w:rPr>
                <w:rFonts w:ascii="Calibri" w:hAnsi="Calibri"/>
                <w:b w:val="0"/>
                <w:i w:val="0"/>
                <w:color w:val="172033"/>
                <w:sz w:val="17"/>
              </w:rPr>
              <w:t>Act</w:t>
            </w:r>
          </w:p>
        </w:tc>
        <w:tc>
          <w:tcPr>
            <w:tcW w:type="dxa" w:w="2400"/>
            <w:tcMar>
              <w:top w:w="100" w:type="dxa"/>
              <w:start w:w="140" w:type="dxa"/>
              <w:bottom w:w="100" w:type="dxa"/>
              <w:end w:w="140" w:type="dxa"/>
            </w:tcMar>
            <w:vAlign w:val="center"/>
          </w:tcPr>
          <w:p>
            <w:pPr>
              <w:spacing w:after="0" w:line="264" w:lineRule="auto"/>
            </w:pPr>
            <w:r>
              <w:rPr>
                <w:rFonts w:ascii="Calibri" w:hAnsi="Calibri"/>
                <w:b w:val="0"/>
                <w:i w:val="0"/>
                <w:color w:val="172033"/>
                <w:sz w:val="17"/>
              </w:rPr>
              <w:t>Save choices, apply, interview, visit or gain experience.</w:t>
            </w:r>
          </w:p>
        </w:tc>
        <w:tc>
          <w:tcPr>
            <w:tcW w:type="dxa" w:w="2700"/>
            <w:tcMar>
              <w:top w:w="100" w:type="dxa"/>
              <w:start w:w="140" w:type="dxa"/>
              <w:bottom w:w="100" w:type="dxa"/>
              <w:end w:w="140" w:type="dxa"/>
            </w:tcMar>
            <w:vAlign w:val="center"/>
          </w:tcPr>
          <w:p>
            <w:pPr>
              <w:spacing w:after="0" w:line="264" w:lineRule="auto"/>
            </w:pPr>
            <w:r>
              <w:rPr>
                <w:rFonts w:ascii="Calibri" w:hAnsi="Calibri"/>
                <w:b w:val="0"/>
                <w:i w:val="0"/>
                <w:color w:val="172033"/>
                <w:sz w:val="17"/>
              </w:rPr>
              <w:t>Coach decisions and remove barriers.</w:t>
            </w:r>
          </w:p>
        </w:tc>
        <w:tc>
          <w:tcPr>
            <w:tcW w:type="dxa" w:w="3110"/>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Completed milestones and artifacts.</w:t>
            </w:r>
          </w:p>
        </w:tc>
      </w:tr>
      <w:tr>
        <w:trPr>
          <w:cantSplit/>
        </w:trPr>
        <w:tc>
          <w:tcPr>
            <w:tcW w:type="dxa" w:w="11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Measure</w:t>
            </w:r>
          </w:p>
        </w:tc>
        <w:tc>
          <w:tcPr>
            <w:tcW w:type="dxa" w:w="24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Revisit choices and record learning.</w:t>
            </w:r>
          </w:p>
        </w:tc>
        <w:tc>
          <w:tcPr>
            <w:tcW w:type="dxa" w:w="27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Review participation, equity and outcomes.</w:t>
            </w:r>
          </w:p>
        </w:tc>
        <w:tc>
          <w:tcPr>
            <w:tcW w:type="dxa" w:w="31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Updated plan based on new evidence.</w:t>
            </w:r>
          </w:p>
        </w:tc>
      </w:tr>
    </w:tbl>
    <w:p>
      <w:pPr>
        <w:widowControl/>
        <w:spacing w:after="20"/>
      </w:pPr>
    </w:p>
    <w:p>
      <w:pPr>
        <w:pStyle w:val="Heading1"/>
        <w:keepNext/>
        <w:widowControl/>
      </w:pPr>
      <w:r>
        <w:rPr>
          <w:rFonts w:ascii="Calibri" w:hAnsi="Calibri"/>
          <w:b w:val="0"/>
          <w:i w:val="0"/>
          <w:color w:val="172033"/>
          <w:sz w:val="36"/>
        </w:rPr>
        <w:t>5. A Four-Year Framework for Grades 9–12</w:t>
      </w:r>
    </w:p>
    <w:p>
      <w:pPr>
        <w:widowControl/>
      </w:pPr>
      <w:r>
        <w:rPr>
          <w:rFonts w:ascii="Calibri" w:hAnsi="Calibri"/>
          <w:b w:val="0"/>
          <w:i w:val="0"/>
          <w:color w:val="172033"/>
          <w:sz w:val="21"/>
        </w:rPr>
        <w:t>The following framework prevents the common failure mode of administering MAPP once and never returning to it. The assessment can be introduced in Grade 9 or at the school’s chosen entry point, then reused as a reference while the student adds academic, experiential and market evidence.</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200"/>
        <w:gridCol w:w="2100"/>
        <w:gridCol w:w="3860"/>
        <w:gridCol w:w="2200"/>
      </w:tblGrid>
      <w:tr>
        <w:trPr>
          <w:tblHeader w:val="true"/>
          <w:cantSplit/>
        </w:trPr>
        <w:tc>
          <w:tcPr>
            <w:tcW w:type="dxa" w:w="1200"/>
            <w:tcMar>
              <w:top w:w="100" w:type="dxa"/>
              <w:start w:w="140" w:type="dxa"/>
              <w:bottom w:w="100" w:type="dxa"/>
              <w:end w:w="140" w:type="dxa"/>
            </w:tcMar>
            <w:vAlign w:val="center"/>
            <w:shd w:fill="2E6BE6"/>
          </w:tcPr>
          <w:p>
            <w:pPr>
              <w:spacing w:after="0"/>
              <w:jc w:val="left"/>
            </w:pPr>
            <w:r>
              <w:rPr>
                <w:rFonts w:ascii="Calibri" w:hAnsi="Calibri"/>
                <w:b/>
                <w:i w:val="0"/>
                <w:color w:val="FFFFFF"/>
                <w:sz w:val="18"/>
              </w:rPr>
              <w:t>Grade</w:t>
            </w:r>
          </w:p>
        </w:tc>
        <w:tc>
          <w:tcPr>
            <w:tcW w:type="dxa" w:w="2100"/>
            <w:tcMar>
              <w:top w:w="100" w:type="dxa"/>
              <w:start w:w="140" w:type="dxa"/>
              <w:bottom w:w="100" w:type="dxa"/>
              <w:end w:w="140" w:type="dxa"/>
            </w:tcMar>
            <w:vAlign w:val="center"/>
            <w:shd w:fill="2E6BE6"/>
          </w:tcPr>
          <w:p>
            <w:pPr>
              <w:spacing w:after="0"/>
              <w:jc w:val="left"/>
            </w:pPr>
            <w:r>
              <w:rPr>
                <w:rFonts w:ascii="Calibri" w:hAnsi="Calibri"/>
                <w:b/>
                <w:i w:val="0"/>
                <w:color w:val="FFFFFF"/>
                <w:sz w:val="18"/>
              </w:rPr>
              <w:t>Developmental focus</w:t>
            </w:r>
          </w:p>
        </w:tc>
        <w:tc>
          <w:tcPr>
            <w:tcW w:type="dxa" w:w="3860"/>
            <w:tcMar>
              <w:top w:w="100" w:type="dxa"/>
              <w:start w:w="140" w:type="dxa"/>
              <w:bottom w:w="100" w:type="dxa"/>
              <w:end w:w="140" w:type="dxa"/>
            </w:tcMar>
            <w:vAlign w:val="center"/>
            <w:shd w:fill="2E6BE6"/>
          </w:tcPr>
          <w:p>
            <w:pPr>
              <w:spacing w:after="0"/>
              <w:jc w:val="left"/>
            </w:pPr>
            <w:r>
              <w:rPr>
                <w:rFonts w:ascii="Calibri" w:hAnsi="Calibri"/>
                <w:b/>
                <w:i w:val="0"/>
                <w:color w:val="FFFFFF"/>
                <w:sz w:val="18"/>
              </w:rPr>
              <w:t>Core activities</w:t>
            </w:r>
          </w:p>
        </w:tc>
        <w:tc>
          <w:tcPr>
            <w:tcW w:type="dxa" w:w="2200"/>
            <w:tcMar>
              <w:top w:w="100" w:type="dxa"/>
              <w:start w:w="140" w:type="dxa"/>
              <w:bottom w:w="100" w:type="dxa"/>
              <w:end w:w="140" w:type="dxa"/>
            </w:tcMar>
            <w:vAlign w:val="center"/>
            <w:shd w:fill="2E6BE6"/>
          </w:tcPr>
          <w:p>
            <w:pPr>
              <w:spacing w:after="0"/>
              <w:jc w:val="left"/>
            </w:pPr>
            <w:r>
              <w:rPr>
                <w:rFonts w:ascii="Calibri" w:hAnsi="Calibri"/>
                <w:b/>
                <w:i w:val="0"/>
                <w:color w:val="FFFFFF"/>
                <w:sz w:val="18"/>
              </w:rPr>
              <w:t>Student output</w:t>
            </w:r>
          </w:p>
        </w:tc>
      </w:tr>
      <w:tr>
        <w:trPr>
          <w:cantSplit/>
        </w:trPr>
        <w:tc>
          <w:tcPr>
            <w:tcW w:type="dxa" w:w="1200"/>
            <w:tcMar>
              <w:top w:w="100" w:type="dxa"/>
              <w:start w:w="140" w:type="dxa"/>
              <w:bottom w:w="100" w:type="dxa"/>
              <w:end w:w="140" w:type="dxa"/>
            </w:tcMar>
            <w:vAlign w:val="center"/>
          </w:tcPr>
          <w:p>
            <w:pPr>
              <w:spacing w:after="0" w:line="264" w:lineRule="auto"/>
            </w:pPr>
            <w:r>
              <w:rPr>
                <w:rFonts w:ascii="Calibri" w:hAnsi="Calibri"/>
                <w:b w:val="0"/>
                <w:i w:val="0"/>
                <w:color w:val="172033"/>
                <w:sz w:val="16"/>
              </w:rPr>
              <w:t>9 — Discover</w:t>
            </w:r>
          </w:p>
        </w:tc>
        <w:tc>
          <w:tcPr>
            <w:tcW w:type="dxa" w:w="2100"/>
            <w:tcMar>
              <w:top w:w="100" w:type="dxa"/>
              <w:start w:w="140" w:type="dxa"/>
              <w:bottom w:w="100" w:type="dxa"/>
              <w:end w:w="140" w:type="dxa"/>
            </w:tcMar>
            <w:vAlign w:val="center"/>
          </w:tcPr>
          <w:p>
            <w:pPr>
              <w:spacing w:after="0" w:line="264" w:lineRule="auto"/>
            </w:pPr>
            <w:r>
              <w:rPr>
                <w:rFonts w:ascii="Calibri" w:hAnsi="Calibri"/>
                <w:b w:val="0"/>
                <w:i w:val="0"/>
                <w:color w:val="172033"/>
                <w:sz w:val="16"/>
              </w:rPr>
              <w:t>Self-awareness before pressure to choose</w:t>
            </w:r>
          </w:p>
        </w:tc>
        <w:tc>
          <w:tcPr>
            <w:tcW w:type="dxa" w:w="3860"/>
            <w:tcMar>
              <w:top w:w="100" w:type="dxa"/>
              <w:start w:w="140" w:type="dxa"/>
              <w:bottom w:w="100" w:type="dxa"/>
              <w:end w:w="140" w:type="dxa"/>
            </w:tcMar>
            <w:vAlign w:val="center"/>
          </w:tcPr>
          <w:p>
            <w:pPr>
              <w:spacing w:after="0" w:line="264" w:lineRule="auto"/>
            </w:pPr>
            <w:r>
              <w:rPr>
                <w:rFonts w:ascii="Calibri" w:hAnsi="Calibri"/>
                <w:b w:val="0"/>
                <w:i w:val="0"/>
                <w:color w:val="172033"/>
                <w:sz w:val="16"/>
              </w:rPr>
              <w:t>Complete MAPP; learn result language; explore broad career families; identify learning and work preferences; begin a portfolio.</w:t>
            </w:r>
          </w:p>
        </w:tc>
        <w:tc>
          <w:tcPr>
            <w:tcW w:type="dxa" w:w="2200"/>
            <w:tcMar>
              <w:top w:w="100" w:type="dxa"/>
              <w:start w:w="140" w:type="dxa"/>
              <w:bottom w:w="100" w:type="dxa"/>
              <w:end w:w="140" w:type="dxa"/>
            </w:tcMar>
            <w:vAlign w:val="center"/>
          </w:tcPr>
          <w:p>
            <w:pPr>
              <w:spacing w:after="0" w:line="264" w:lineRule="auto"/>
            </w:pPr>
            <w:r>
              <w:rPr>
                <w:rFonts w:ascii="Calibri" w:hAnsi="Calibri"/>
                <w:b w:val="0"/>
                <w:i w:val="0"/>
                <w:color w:val="172033"/>
                <w:sz w:val="16"/>
              </w:rPr>
              <w:t>One-page “What motivates me” profile and three career families to explore.</w:t>
            </w:r>
          </w:p>
        </w:tc>
      </w:tr>
      <w:tr>
        <w:trPr>
          <w:cantSplit/>
        </w:trPr>
        <w:tc>
          <w:tcPr>
            <w:tcW w:type="dxa" w:w="1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10 — Explore</w:t>
            </w:r>
          </w:p>
        </w:tc>
        <w:tc>
          <w:tcPr>
            <w:tcW w:type="dxa" w:w="21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Expand exposure and test hypotheses</w:t>
            </w:r>
          </w:p>
        </w:tc>
        <w:tc>
          <w:tcPr>
            <w:tcW w:type="dxa" w:w="38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Compare occupations; investigate CTE, trades and professional routes; add skills/learning assessments; complete a project, job shadow or informational interview.</w:t>
            </w:r>
          </w:p>
        </w:tc>
        <w:tc>
          <w:tcPr>
            <w:tcW w:type="dxa" w:w="2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Career-area shortlist with evidence for and against each option.</w:t>
            </w:r>
          </w:p>
        </w:tc>
      </w:tr>
      <w:tr>
        <w:trPr>
          <w:cantSplit/>
        </w:trPr>
        <w:tc>
          <w:tcPr>
            <w:tcW w:type="dxa" w:w="1200"/>
            <w:tcMar>
              <w:top w:w="100" w:type="dxa"/>
              <w:start w:w="140" w:type="dxa"/>
              <w:bottom w:w="100" w:type="dxa"/>
              <w:end w:w="140" w:type="dxa"/>
            </w:tcMar>
            <w:vAlign w:val="center"/>
          </w:tcPr>
          <w:p>
            <w:pPr>
              <w:spacing w:after="0" w:line="264" w:lineRule="auto"/>
            </w:pPr>
            <w:r>
              <w:rPr>
                <w:rFonts w:ascii="Calibri" w:hAnsi="Calibri"/>
                <w:b w:val="0"/>
                <w:i w:val="0"/>
                <w:color w:val="172033"/>
                <w:sz w:val="16"/>
              </w:rPr>
              <w:t>11 — Connect</w:t>
            </w:r>
          </w:p>
        </w:tc>
        <w:tc>
          <w:tcPr>
            <w:tcW w:type="dxa" w:w="2100"/>
            <w:tcMar>
              <w:top w:w="100" w:type="dxa"/>
              <w:start w:w="140" w:type="dxa"/>
              <w:bottom w:w="100" w:type="dxa"/>
              <w:end w:w="140" w:type="dxa"/>
            </w:tcMar>
            <w:vAlign w:val="center"/>
          </w:tcPr>
          <w:p>
            <w:pPr>
              <w:spacing w:after="0" w:line="264" w:lineRule="auto"/>
            </w:pPr>
            <w:r>
              <w:rPr>
                <w:rFonts w:ascii="Calibri" w:hAnsi="Calibri"/>
                <w:b w:val="0"/>
                <w:i w:val="0"/>
                <w:color w:val="172033"/>
                <w:sz w:val="16"/>
              </w:rPr>
              <w:t>Translate direction into pathways</w:t>
            </w:r>
          </w:p>
        </w:tc>
        <w:tc>
          <w:tcPr>
            <w:tcW w:type="dxa" w:w="3860"/>
            <w:tcMar>
              <w:top w:w="100" w:type="dxa"/>
              <w:start w:w="140" w:type="dxa"/>
              <w:bottom w:w="100" w:type="dxa"/>
              <w:end w:w="140" w:type="dxa"/>
            </w:tcMar>
            <w:vAlign w:val="center"/>
          </w:tcPr>
          <w:p>
            <w:pPr>
              <w:spacing w:after="0" w:line="264" w:lineRule="auto"/>
            </w:pPr>
            <w:r>
              <w:rPr>
                <w:rFonts w:ascii="Calibri" w:hAnsi="Calibri"/>
                <w:b w:val="0"/>
                <w:i w:val="0"/>
                <w:color w:val="172033"/>
                <w:sz w:val="16"/>
              </w:rPr>
              <w:t>Compare majors, colleges, certificates, apprenticeships and training; review live job requirements; examine costs, graduation data, outlook and AI-related task change.</w:t>
            </w:r>
          </w:p>
        </w:tc>
        <w:tc>
          <w:tcPr>
            <w:tcW w:type="dxa" w:w="2200"/>
            <w:tcMar>
              <w:top w:w="100" w:type="dxa"/>
              <w:start w:w="140" w:type="dxa"/>
              <w:bottom w:w="100" w:type="dxa"/>
              <w:end w:w="140" w:type="dxa"/>
            </w:tcMar>
            <w:vAlign w:val="center"/>
          </w:tcPr>
          <w:p>
            <w:pPr>
              <w:spacing w:after="0" w:line="264" w:lineRule="auto"/>
            </w:pPr>
            <w:r>
              <w:rPr>
                <w:rFonts w:ascii="Calibri" w:hAnsi="Calibri"/>
                <w:b w:val="0"/>
                <w:i w:val="0"/>
                <w:color w:val="172033"/>
                <w:sz w:val="16"/>
              </w:rPr>
              <w:t>Postsecondary pathway comparison and preliminary application/experience plan.</w:t>
            </w:r>
          </w:p>
        </w:tc>
      </w:tr>
      <w:tr>
        <w:trPr>
          <w:cantSplit/>
        </w:trPr>
        <w:tc>
          <w:tcPr>
            <w:tcW w:type="dxa" w:w="1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12 — Act</w:t>
            </w:r>
          </w:p>
        </w:tc>
        <w:tc>
          <w:tcPr>
            <w:tcW w:type="dxa" w:w="21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Transition with a documented plan</w:t>
            </w:r>
          </w:p>
        </w:tc>
        <w:tc>
          <w:tcPr>
            <w:tcW w:type="dxa" w:w="38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Finalize priority routes; complete applications and financial-aid milestones; prepare résumé and interviews; search live opportunities; create a 90-day post-graduation plan.</w:t>
            </w:r>
          </w:p>
        </w:tc>
        <w:tc>
          <w:tcPr>
            <w:tcW w:type="dxa" w:w="2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Transition-ready portfolio with Plan A, Plan B and immediate next actions.</w:t>
            </w:r>
          </w:p>
        </w:tc>
      </w:tr>
    </w:tbl>
    <w:p>
      <w:pPr>
        <w:widowControl/>
        <w:spacing w:after="20"/>
      </w:pPr>
    </w:p>
    <w:p>
      <w:pPr>
        <w:pStyle w:val="Heading2"/>
        <w:keepNext/>
        <w:widowControl/>
      </w:pPr>
      <w:r>
        <w:rPr>
          <w:rFonts w:ascii="Calibri" w:hAnsi="Calibri"/>
          <w:b w:val="0"/>
          <w:i w:val="0"/>
          <w:color w:val="172033"/>
          <w:sz w:val="28"/>
        </w:rPr>
        <w:t>Grade 9: Discover</w:t>
      </w:r>
    </w:p>
    <w:p>
      <w:pPr>
        <w:widowControl/>
        <w:numPr>
          <w:ilvl w:val="0"/>
          <w:numId w:val="10"/>
        </w:numPr>
      </w:pPr>
      <w:r>
        <w:rPr>
          <w:rFonts w:ascii="Calibri" w:hAnsi="Calibri"/>
          <w:b w:val="0"/>
          <w:i w:val="0"/>
          <w:color w:val="172033"/>
          <w:sz w:val="22"/>
        </w:rPr>
        <w:t>Introduce MAPP as a vocabulary-building activity, not a placement test.</w:t>
      </w:r>
    </w:p>
    <w:p>
      <w:pPr>
        <w:widowControl/>
        <w:numPr>
          <w:ilvl w:val="0"/>
          <w:numId w:val="10"/>
        </w:numPr>
      </w:pPr>
      <w:r>
        <w:rPr>
          <w:rFonts w:ascii="Calibri" w:hAnsi="Calibri"/>
          <w:b w:val="0"/>
          <w:i w:val="0"/>
          <w:color w:val="172033"/>
          <w:sz w:val="22"/>
        </w:rPr>
        <w:t>Ask students to identify three results that fit and one that requires more thought.</w:t>
      </w:r>
    </w:p>
    <w:p>
      <w:pPr>
        <w:widowControl/>
        <w:numPr>
          <w:ilvl w:val="0"/>
          <w:numId w:val="10"/>
        </w:numPr>
      </w:pPr>
      <w:r>
        <w:rPr>
          <w:rFonts w:ascii="Calibri" w:hAnsi="Calibri"/>
          <w:b w:val="0"/>
          <w:i w:val="0"/>
          <w:color w:val="172033"/>
          <w:sz w:val="22"/>
        </w:rPr>
        <w:t>Explore broad career families and unfamiliar occupations without requiring a commitment.</w:t>
      </w:r>
    </w:p>
    <w:p>
      <w:pPr>
        <w:widowControl/>
        <w:numPr>
          <w:ilvl w:val="0"/>
          <w:numId w:val="10"/>
        </w:numPr>
      </w:pPr>
      <w:r>
        <w:rPr>
          <w:rFonts w:ascii="Calibri" w:hAnsi="Calibri"/>
          <w:b w:val="0"/>
          <w:i w:val="0"/>
          <w:color w:val="172033"/>
          <w:sz w:val="22"/>
        </w:rPr>
        <w:t>Connect learning preferences with self-advocacy: “What helps me engage?” rather than “How must teachers teach me?”</w:t>
      </w:r>
    </w:p>
    <w:p>
      <w:pPr>
        <w:widowControl/>
        <w:numPr>
          <w:ilvl w:val="0"/>
          <w:numId w:val="10"/>
        </w:numPr>
      </w:pPr>
      <w:r>
        <w:rPr>
          <w:rFonts w:ascii="Calibri" w:hAnsi="Calibri"/>
          <w:b w:val="0"/>
          <w:i w:val="0"/>
          <w:color w:val="172033"/>
          <w:sz w:val="22"/>
        </w:rPr>
        <w:t>Begin a digital or physical career portfolio containing results, reflections and saved options.</w:t>
      </w:r>
    </w:p>
    <w:p>
      <w:pPr>
        <w:pStyle w:val="Heading2"/>
        <w:keepNext/>
        <w:widowControl/>
      </w:pPr>
      <w:r>
        <w:rPr>
          <w:rFonts w:ascii="Calibri" w:hAnsi="Calibri"/>
          <w:b w:val="0"/>
          <w:i w:val="0"/>
          <w:color w:val="172033"/>
          <w:sz w:val="28"/>
        </w:rPr>
        <w:t>Grade 10: Explore and experiment</w:t>
      </w:r>
    </w:p>
    <w:p>
      <w:pPr>
        <w:widowControl/>
        <w:numPr>
          <w:ilvl w:val="0"/>
          <w:numId w:val="10"/>
        </w:numPr>
      </w:pPr>
      <w:r>
        <w:rPr>
          <w:rFonts w:ascii="Calibri" w:hAnsi="Calibri"/>
          <w:b w:val="0"/>
          <w:i w:val="0"/>
          <w:color w:val="172033"/>
          <w:sz w:val="22"/>
        </w:rPr>
        <w:t>Compare career activities, not just titles or salaries.</w:t>
      </w:r>
    </w:p>
    <w:p>
      <w:pPr>
        <w:widowControl/>
        <w:numPr>
          <w:ilvl w:val="0"/>
          <w:numId w:val="10"/>
        </w:numPr>
      </w:pPr>
      <w:r>
        <w:rPr>
          <w:rFonts w:ascii="Calibri" w:hAnsi="Calibri"/>
          <w:b w:val="0"/>
          <w:i w:val="0"/>
          <w:color w:val="172033"/>
          <w:sz w:val="22"/>
        </w:rPr>
        <w:t>Use CTE pathway selection to connect motivational themes with hands-on programs while keeping options open.</w:t>
      </w:r>
    </w:p>
    <w:p>
      <w:pPr>
        <w:widowControl/>
        <w:numPr>
          <w:ilvl w:val="0"/>
          <w:numId w:val="10"/>
        </w:numPr>
      </w:pPr>
      <w:r>
        <w:rPr>
          <w:rFonts w:ascii="Calibri" w:hAnsi="Calibri"/>
          <w:b w:val="0"/>
          <w:i w:val="0"/>
          <w:color w:val="172033"/>
          <w:sz w:val="22"/>
        </w:rPr>
        <w:t>Assign an informational interview, job shadow, short project or Day-in-the-Life activity.</w:t>
      </w:r>
    </w:p>
    <w:p>
      <w:pPr>
        <w:widowControl/>
        <w:numPr>
          <w:ilvl w:val="0"/>
          <w:numId w:val="10"/>
        </w:numPr>
      </w:pPr>
      <w:r>
        <w:rPr>
          <w:rFonts w:ascii="Calibri" w:hAnsi="Calibri"/>
          <w:b w:val="0"/>
          <w:i w:val="0"/>
          <w:color w:val="172033"/>
          <w:sz w:val="22"/>
        </w:rPr>
        <w:t>Use additional assessments selectively when a specific question exists—for example, study habits, digital skills, leadership or communication.</w:t>
      </w:r>
    </w:p>
    <w:p>
      <w:pPr>
        <w:widowControl/>
        <w:numPr>
          <w:ilvl w:val="0"/>
          <w:numId w:val="10"/>
        </w:numPr>
      </w:pPr>
      <w:r>
        <w:rPr>
          <w:rFonts w:ascii="Calibri" w:hAnsi="Calibri"/>
          <w:b w:val="0"/>
          <w:i w:val="0"/>
          <w:color w:val="172033"/>
          <w:sz w:val="22"/>
        </w:rPr>
        <w:t>Record what the student learned from experience that confirmed or challenged the MAPP hypothesis.</w:t>
      </w:r>
    </w:p>
    <w:p>
      <w:pPr>
        <w:pStyle w:val="Heading2"/>
        <w:keepNext/>
        <w:widowControl/>
      </w:pPr>
      <w:r>
        <w:rPr>
          <w:rFonts w:ascii="Calibri" w:hAnsi="Calibri"/>
          <w:b w:val="0"/>
          <w:i w:val="0"/>
          <w:color w:val="172033"/>
          <w:sz w:val="28"/>
        </w:rPr>
        <w:t>Grade 11: Connect careers to education</w:t>
      </w:r>
    </w:p>
    <w:p>
      <w:pPr>
        <w:widowControl/>
        <w:numPr>
          <w:ilvl w:val="0"/>
          <w:numId w:val="10"/>
        </w:numPr>
      </w:pPr>
      <w:r>
        <w:rPr>
          <w:rFonts w:ascii="Calibri" w:hAnsi="Calibri"/>
          <w:b w:val="0"/>
          <w:i w:val="0"/>
          <w:color w:val="172033"/>
          <w:sz w:val="22"/>
        </w:rPr>
        <w:t>Select three priority careers and identify several education or training routes for each.</w:t>
      </w:r>
    </w:p>
    <w:p>
      <w:pPr>
        <w:widowControl/>
        <w:numPr>
          <w:ilvl w:val="0"/>
          <w:numId w:val="10"/>
        </w:numPr>
      </w:pPr>
      <w:r>
        <w:rPr>
          <w:rFonts w:ascii="Calibri" w:hAnsi="Calibri"/>
          <w:b w:val="0"/>
          <w:i w:val="0"/>
          <w:color w:val="172033"/>
          <w:sz w:val="22"/>
        </w:rPr>
        <w:t>Compare majors and institutions using program availability, academic fit, cost, graduation outcomes, delivery format, location and student support.</w:t>
      </w:r>
    </w:p>
    <w:p>
      <w:pPr>
        <w:widowControl/>
        <w:numPr>
          <w:ilvl w:val="0"/>
          <w:numId w:val="10"/>
        </w:numPr>
      </w:pPr>
      <w:r>
        <w:rPr>
          <w:rFonts w:ascii="Calibri" w:hAnsi="Calibri"/>
          <w:b w:val="0"/>
          <w:i w:val="0"/>
          <w:color w:val="172033"/>
          <w:sz w:val="22"/>
        </w:rPr>
        <w:t>Review live job listings to identify recurring skills, credentials, tools and experience requirements.</w:t>
      </w:r>
    </w:p>
    <w:p>
      <w:pPr>
        <w:widowControl/>
        <w:numPr>
          <w:ilvl w:val="0"/>
          <w:numId w:val="10"/>
        </w:numPr>
      </w:pPr>
      <w:r>
        <w:rPr>
          <w:rFonts w:ascii="Calibri" w:hAnsi="Calibri"/>
          <w:b w:val="0"/>
          <w:i w:val="0"/>
          <w:color w:val="172033"/>
          <w:sz w:val="22"/>
        </w:rPr>
        <w:t>Discuss AI-related task change and identify durable capabilities such as judgment, communication, domain knowledge, adaptability and ethical reasoning.</w:t>
      </w:r>
    </w:p>
    <w:p>
      <w:pPr>
        <w:widowControl/>
        <w:numPr>
          <w:ilvl w:val="0"/>
          <w:numId w:val="10"/>
        </w:numPr>
      </w:pPr>
      <w:r>
        <w:rPr>
          <w:rFonts w:ascii="Calibri" w:hAnsi="Calibri"/>
          <w:b w:val="0"/>
          <w:i w:val="0"/>
          <w:color w:val="172033"/>
          <w:sz w:val="22"/>
        </w:rPr>
        <w:t>Build a balanced list of postsecondary options without confusing motivational fit with admissions probability.</w:t>
      </w:r>
    </w:p>
    <w:p>
      <w:pPr>
        <w:pStyle w:val="Heading2"/>
        <w:keepNext/>
        <w:widowControl/>
      </w:pPr>
      <w:r>
        <w:rPr>
          <w:rFonts w:ascii="Calibri" w:hAnsi="Calibri"/>
          <w:b w:val="0"/>
          <w:i w:val="0"/>
          <w:color w:val="172033"/>
          <w:sz w:val="28"/>
        </w:rPr>
        <w:t>Grade 12: Act and transition</w:t>
      </w:r>
    </w:p>
    <w:p>
      <w:pPr>
        <w:widowControl/>
        <w:numPr>
          <w:ilvl w:val="0"/>
          <w:numId w:val="10"/>
        </w:numPr>
      </w:pPr>
      <w:r>
        <w:rPr>
          <w:rFonts w:ascii="Calibri" w:hAnsi="Calibri"/>
          <w:b w:val="0"/>
          <w:i w:val="0"/>
          <w:color w:val="172033"/>
          <w:sz w:val="22"/>
        </w:rPr>
        <w:t>Confirm a priority pathway and at least one viable alternative.</w:t>
      </w:r>
    </w:p>
    <w:p>
      <w:pPr>
        <w:widowControl/>
        <w:numPr>
          <w:ilvl w:val="0"/>
          <w:numId w:val="10"/>
        </w:numPr>
      </w:pPr>
      <w:r>
        <w:rPr>
          <w:rFonts w:ascii="Calibri" w:hAnsi="Calibri"/>
          <w:b w:val="0"/>
          <w:i w:val="0"/>
          <w:color w:val="172033"/>
          <w:sz w:val="22"/>
        </w:rPr>
        <w:t>Translate MAPP language into authentic résumé themes, interview examples and personal reflection—never copy generated claims that the student cannot support.</w:t>
      </w:r>
    </w:p>
    <w:p>
      <w:pPr>
        <w:widowControl/>
        <w:numPr>
          <w:ilvl w:val="0"/>
          <w:numId w:val="10"/>
        </w:numPr>
      </w:pPr>
      <w:r>
        <w:rPr>
          <w:rFonts w:ascii="Calibri" w:hAnsi="Calibri"/>
          <w:b w:val="0"/>
          <w:i w:val="0"/>
          <w:color w:val="172033"/>
          <w:sz w:val="22"/>
        </w:rPr>
        <w:t>Track applications, financial aid, scholarships, credential steps, interviews and onboarding requirements.</w:t>
      </w:r>
    </w:p>
    <w:p>
      <w:pPr>
        <w:widowControl/>
        <w:numPr>
          <w:ilvl w:val="0"/>
          <w:numId w:val="10"/>
        </w:numPr>
      </w:pPr>
      <w:r>
        <w:rPr>
          <w:rFonts w:ascii="Calibri" w:hAnsi="Calibri"/>
          <w:b w:val="0"/>
          <w:i w:val="0"/>
          <w:color w:val="172033"/>
          <w:sz w:val="22"/>
        </w:rPr>
        <w:t>Use live listings for part-time work, internships, apprenticeships or entry-level opportunities where appropriate.</w:t>
      </w:r>
    </w:p>
    <w:p>
      <w:pPr>
        <w:widowControl/>
        <w:numPr>
          <w:ilvl w:val="0"/>
          <w:numId w:val="10"/>
        </w:numPr>
      </w:pPr>
      <w:r>
        <w:rPr>
          <w:rFonts w:ascii="Calibri" w:hAnsi="Calibri"/>
          <w:b w:val="0"/>
          <w:i w:val="0"/>
          <w:color w:val="172033"/>
          <w:sz w:val="22"/>
        </w:rPr>
        <w:t>Create a post-graduation check-in date and a 90-day plan for the chosen route.</w:t>
      </w:r>
    </w:p>
    <w:tbl>
      <w:tblPr>
        <w:tblW w:type="dxa" w:w="9360"/>
        <w:jc w:val="left"/>
        <w:tblLayout w:type="fixed"/>
        <w:tblLook w:firstColumn="1" w:firstRow="1" w:lastColumn="0" w:lastRow="0" w:noHBand="0" w:noVBand="1" w:val="04A0"/>
        <w:tblInd w:w="120" w:type="dxa"/>
        <w:tblBorders>
          <w:top w:val="single" w:sz="8" w:space="0" w:color="F4C400"/>
          <w:left w:val="single" w:sz="8" w:space="0" w:color="F4C400"/>
          <w:bottom w:val="single" w:sz="8" w:space="0" w:color="F4C400"/>
          <w:right w:val="single" w:sz="8" w:space="0" w:color="F4C400"/>
          <w:insideH w:val="single" w:sz="8" w:space="0" w:color="F4C400"/>
          <w:insideV w:val="single" w:sz="8" w:space="0" w:color="F4C400"/>
        </w:tblBorders>
      </w:tblPr>
      <w:tblGrid>
        <w:gridCol w:w="9360"/>
      </w:tblGrid>
      <w:tr>
        <w:tc>
          <w:tcPr>
            <w:tcW w:type="dxa" w:w="9360"/>
            <w:tcMar>
              <w:top w:w="100" w:type="dxa"/>
              <w:start w:w="140" w:type="dxa"/>
              <w:bottom w:w="100" w:type="dxa"/>
              <w:end w:w="140" w:type="dxa"/>
            </w:tcMar>
            <w:vAlign w:val="center"/>
            <w:shd w:fill="FFF8D8"/>
          </w:tcPr>
          <w:p>
            <w:pPr>
              <w:spacing w:after="60"/>
            </w:pPr>
            <w:r>
              <w:rPr>
                <w:rFonts w:ascii="Calibri" w:hAnsi="Calibri"/>
                <w:b/>
                <w:i w:val="0"/>
                <w:color w:val="0B1F3A"/>
                <w:sz w:val="20"/>
              </w:rPr>
              <w:t xml:space="preserve">RETESTING GUIDANCE  </w:t>
            </w:r>
            <w:r>
              <w:rPr>
                <w:rFonts w:ascii="Calibri" w:hAnsi="Calibri"/>
                <w:b w:val="0"/>
                <w:i w:val="0"/>
                <w:color w:val="172033"/>
                <w:sz w:val="20"/>
              </w:rPr>
              <w:t>Review results annually, but do not require automatic annual retesting. MAPP’s own FAQ says motivations generally remain stable while intensity may shift. Retest when the original administration was compromised, the student reports substantial change, or a fresh assessment has a clear counseling purpose.</w:t>
            </w:r>
          </w:p>
        </w:tc>
      </w:tr>
    </w:tbl>
    <w:p>
      <w:pPr>
        <w:widowControl/>
        <w:spacing w:after="20"/>
      </w:pPr>
    </w:p>
    <w:p>
      <w:pPr>
        <w:pStyle w:val="Heading1"/>
        <w:keepNext/>
        <w:widowControl/>
      </w:pPr>
      <w:r>
        <w:rPr>
          <w:rFonts w:ascii="Calibri" w:hAnsi="Calibri"/>
          <w:b w:val="0"/>
          <w:i w:val="0"/>
          <w:color w:val="172033"/>
          <w:sz w:val="36"/>
        </w:rPr>
        <w:t>6. School and District Implementation Playbook</w:t>
      </w:r>
    </w:p>
    <w:p>
      <w:pPr>
        <w:widowControl/>
      </w:pPr>
      <w:r>
        <w:rPr>
          <w:rFonts w:ascii="Calibri" w:hAnsi="Calibri"/>
          <w:b w:val="0"/>
          <w:i w:val="0"/>
          <w:color w:val="172033"/>
          <w:sz w:val="21"/>
        </w:rPr>
        <w:t>A good implementation is a change-management initiative, not a link-distribution exercise. The school must decide who owns the program, how results will be discussed, where activities fit in the calendar, what data staff can see and how students who need extra support will receive it.</w:t>
      </w:r>
    </w:p>
    <w:p>
      <w:pPr>
        <w:pStyle w:val="Heading2"/>
        <w:keepNext/>
        <w:widowControl/>
      </w:pPr>
      <w:r>
        <w:rPr>
          <w:rFonts w:ascii="Calibri" w:hAnsi="Calibri"/>
          <w:b w:val="0"/>
          <w:i w:val="0"/>
          <w:color w:val="172033"/>
          <w:sz w:val="28"/>
        </w:rPr>
        <w:t>Step 1: Define the use case and success criteria</w:t>
      </w:r>
    </w:p>
    <w:p>
      <w:pPr>
        <w:widowControl/>
        <w:numPr>
          <w:ilvl w:val="0"/>
          <w:numId w:val="10"/>
        </w:numPr>
      </w:pPr>
      <w:r>
        <w:rPr>
          <w:rFonts w:ascii="Calibri" w:hAnsi="Calibri"/>
          <w:b w:val="0"/>
          <w:i w:val="0"/>
          <w:color w:val="172033"/>
          <w:sz w:val="22"/>
        </w:rPr>
        <w:t>Target population: one grade, multiple grades, CTE applicants, advisory cohorts, seniors without a plan or the full school.</w:t>
      </w:r>
    </w:p>
    <w:p>
      <w:pPr>
        <w:widowControl/>
        <w:numPr>
          <w:ilvl w:val="0"/>
          <w:numId w:val="10"/>
        </w:numPr>
      </w:pPr>
      <w:r>
        <w:rPr>
          <w:rFonts w:ascii="Calibri" w:hAnsi="Calibri"/>
          <w:b w:val="0"/>
          <w:i w:val="0"/>
          <w:color w:val="172033"/>
          <w:sz w:val="22"/>
        </w:rPr>
        <w:t>Primary purpose: career awareness, four-year planning, major selection, CTE pathway choice, work-based learning, transition planning or a connected program.</w:t>
      </w:r>
    </w:p>
    <w:p>
      <w:pPr>
        <w:widowControl/>
        <w:numPr>
          <w:ilvl w:val="0"/>
          <w:numId w:val="10"/>
        </w:numPr>
      </w:pPr>
      <w:r>
        <w:rPr>
          <w:rFonts w:ascii="Calibri" w:hAnsi="Calibri"/>
          <w:b w:val="0"/>
          <w:i w:val="0"/>
          <w:color w:val="172033"/>
          <w:sz w:val="22"/>
        </w:rPr>
        <w:t>Required outcomes: specific student artifacts and behaviors, not only assessment completion.</w:t>
      </w:r>
    </w:p>
    <w:p>
      <w:pPr>
        <w:widowControl/>
        <w:numPr>
          <w:ilvl w:val="0"/>
          <w:numId w:val="10"/>
        </w:numPr>
      </w:pPr>
      <w:r>
        <w:rPr>
          <w:rFonts w:ascii="Calibri" w:hAnsi="Calibri"/>
          <w:b w:val="0"/>
          <w:i w:val="0"/>
          <w:color w:val="172033"/>
          <w:sz w:val="22"/>
        </w:rPr>
        <w:t>Equity goal: the students who typically receive the least individualized guidance must receive equal access and follow-up.</w:t>
      </w:r>
    </w:p>
    <w:p>
      <w:pPr>
        <w:pStyle w:val="Heading2"/>
        <w:keepNext/>
        <w:widowControl/>
      </w:pPr>
      <w:r>
        <w:rPr>
          <w:rFonts w:ascii="Calibri" w:hAnsi="Calibri"/>
          <w:b w:val="0"/>
          <w:i w:val="0"/>
          <w:color w:val="172033"/>
          <w:sz w:val="28"/>
        </w:rPr>
        <w:t>Step 2: Establish governance and ownership</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200"/>
        <w:gridCol w:w="7160"/>
      </w:tblGrid>
      <w:tr>
        <w:trPr>
          <w:tblHeader w:val="true"/>
          <w:cantSplit/>
        </w:trPr>
        <w:tc>
          <w:tcPr>
            <w:tcW w:type="dxa" w:w="2200"/>
            <w:tcMar>
              <w:top w:w="100" w:type="dxa"/>
              <w:start w:w="140" w:type="dxa"/>
              <w:bottom w:w="100" w:type="dxa"/>
              <w:end w:w="140" w:type="dxa"/>
            </w:tcMar>
            <w:vAlign w:val="center"/>
            <w:shd w:fill="0B1F3A"/>
          </w:tcPr>
          <w:p>
            <w:pPr>
              <w:spacing w:after="0"/>
              <w:jc w:val="left"/>
            </w:pPr>
            <w:r>
              <w:rPr>
                <w:rFonts w:ascii="Calibri" w:hAnsi="Calibri"/>
                <w:b/>
                <w:i w:val="0"/>
                <w:color w:val="FFFFFF"/>
                <w:sz w:val="18"/>
              </w:rPr>
              <w:t>Role</w:t>
            </w:r>
          </w:p>
        </w:tc>
        <w:tc>
          <w:tcPr>
            <w:tcW w:type="dxa" w:w="7160"/>
            <w:tcMar>
              <w:top w:w="100" w:type="dxa"/>
              <w:start w:w="140" w:type="dxa"/>
              <w:bottom w:w="100" w:type="dxa"/>
              <w:end w:w="140" w:type="dxa"/>
            </w:tcMar>
            <w:vAlign w:val="center"/>
            <w:shd w:fill="0B1F3A"/>
          </w:tcPr>
          <w:p>
            <w:pPr>
              <w:spacing w:after="0"/>
              <w:jc w:val="left"/>
            </w:pPr>
            <w:r>
              <w:rPr>
                <w:rFonts w:ascii="Calibri" w:hAnsi="Calibri"/>
                <w:b/>
                <w:i w:val="0"/>
                <w:color w:val="FFFFFF"/>
                <w:sz w:val="18"/>
              </w:rPr>
              <w:t>Core responsibility</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i w:val="0"/>
                <w:color w:val="172033"/>
                <w:sz w:val="18"/>
              </w:rPr>
              <w:t>Executive sponsor</w:t>
            </w:r>
          </w:p>
        </w:tc>
        <w:tc>
          <w:tcPr>
            <w:tcW w:type="dxa" w:w="7160"/>
            <w:tcMar>
              <w:top w:w="100" w:type="dxa"/>
              <w:start w:w="140" w:type="dxa"/>
              <w:bottom w:w="100" w:type="dxa"/>
              <w:end w:w="140" w:type="dxa"/>
            </w:tcMar>
            <w:vAlign w:val="center"/>
          </w:tcPr>
          <w:p>
            <w:pPr>
              <w:spacing w:after="0" w:line="264" w:lineRule="auto"/>
            </w:pPr>
            <w:r>
              <w:rPr>
                <w:rFonts w:ascii="Calibri" w:hAnsi="Calibri"/>
                <w:b w:val="0"/>
                <w:i w:val="0"/>
                <w:color w:val="172033"/>
                <w:sz w:val="18"/>
              </w:rPr>
              <w:t>Sets purpose, secures resources and removes cross-department barriers.</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Program lead</w:t>
            </w:r>
          </w:p>
        </w:tc>
        <w:tc>
          <w:tcPr>
            <w:tcW w:type="dxa" w:w="7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Owns timeline, configuration, training, communication and evaluation.</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i w:val="0"/>
                <w:color w:val="172033"/>
                <w:sz w:val="18"/>
              </w:rPr>
              <w:t>School counselors</w:t>
            </w:r>
          </w:p>
        </w:tc>
        <w:tc>
          <w:tcPr>
            <w:tcW w:type="dxa" w:w="7160"/>
            <w:tcMar>
              <w:top w:w="100" w:type="dxa"/>
              <w:start w:w="140" w:type="dxa"/>
              <w:bottom w:w="100" w:type="dxa"/>
              <w:end w:w="140" w:type="dxa"/>
            </w:tcMar>
            <w:vAlign w:val="center"/>
          </w:tcPr>
          <w:p>
            <w:pPr>
              <w:spacing w:after="0" w:line="264" w:lineRule="auto"/>
            </w:pPr>
            <w:r>
              <w:rPr>
                <w:rFonts w:ascii="Calibri" w:hAnsi="Calibri"/>
                <w:b w:val="0"/>
                <w:i w:val="0"/>
                <w:color w:val="172033"/>
                <w:sz w:val="18"/>
              </w:rPr>
              <w:t>Interpret results, guide decisions, manage escalation and protect student agency.</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CTE/college-career staff</w:t>
            </w:r>
          </w:p>
        </w:tc>
        <w:tc>
          <w:tcPr>
            <w:tcW w:type="dxa" w:w="7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Connect results to courses, programs, work-based learning and external partners.</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i w:val="0"/>
                <w:color w:val="172033"/>
                <w:sz w:val="18"/>
              </w:rPr>
              <w:t>Advisory teachers</w:t>
            </w:r>
          </w:p>
        </w:tc>
        <w:tc>
          <w:tcPr>
            <w:tcW w:type="dxa" w:w="7160"/>
            <w:tcMar>
              <w:top w:w="100" w:type="dxa"/>
              <w:start w:w="140" w:type="dxa"/>
              <w:bottom w:w="100" w:type="dxa"/>
              <w:end w:w="140" w:type="dxa"/>
            </w:tcMar>
            <w:vAlign w:val="center"/>
          </w:tcPr>
          <w:p>
            <w:pPr>
              <w:spacing w:after="0" w:line="264" w:lineRule="auto"/>
            </w:pPr>
            <w:r>
              <w:rPr>
                <w:rFonts w:ascii="Calibri" w:hAnsi="Calibri"/>
                <w:b w:val="0"/>
                <w:i w:val="0"/>
                <w:color w:val="172033"/>
                <w:sz w:val="18"/>
              </w:rPr>
              <w:t>Facilitate structured reflection and activities within defined boundaries.</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IT/data/privacy</w:t>
            </w:r>
          </w:p>
        </w:tc>
        <w:tc>
          <w:tcPr>
            <w:tcW w:type="dxa" w:w="7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Reviews security, access, integration, retention and support requirements.</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i w:val="0"/>
                <w:color w:val="172033"/>
                <w:sz w:val="18"/>
              </w:rPr>
              <w:t>Families</w:t>
            </w:r>
          </w:p>
        </w:tc>
        <w:tc>
          <w:tcPr>
            <w:tcW w:type="dxa" w:w="7160"/>
            <w:tcMar>
              <w:top w:w="100" w:type="dxa"/>
              <w:start w:w="140" w:type="dxa"/>
              <w:bottom w:w="100" w:type="dxa"/>
              <w:end w:w="140" w:type="dxa"/>
            </w:tcMar>
            <w:vAlign w:val="center"/>
          </w:tcPr>
          <w:p>
            <w:pPr>
              <w:spacing w:after="0" w:line="264" w:lineRule="auto"/>
            </w:pPr>
            <w:r>
              <w:rPr>
                <w:rFonts w:ascii="Calibri" w:hAnsi="Calibri"/>
                <w:b w:val="0"/>
                <w:i w:val="0"/>
                <w:color w:val="172033"/>
                <w:sz w:val="18"/>
              </w:rPr>
              <w:t>Contribute context, discuss tradeoffs and support next steps without overriding student voice.</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Students</w:t>
            </w:r>
          </w:p>
        </w:tc>
        <w:tc>
          <w:tcPr>
            <w:tcW w:type="dxa" w:w="7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Own reflection, exploration, evidence gathering and decisions.</w:t>
            </w:r>
          </w:p>
        </w:tc>
      </w:tr>
    </w:tbl>
    <w:p>
      <w:pPr>
        <w:widowControl/>
        <w:spacing w:after="20"/>
      </w:pPr>
    </w:p>
    <w:p>
      <w:pPr>
        <w:pStyle w:val="Heading2"/>
        <w:keepNext/>
        <w:widowControl/>
      </w:pPr>
      <w:r>
        <w:rPr>
          <w:rFonts w:ascii="Calibri" w:hAnsi="Calibri"/>
          <w:b w:val="0"/>
          <w:i w:val="0"/>
          <w:color w:val="172033"/>
          <w:sz w:val="28"/>
        </w:rPr>
        <w:t>Step 3: Configure before inviting students</w:t>
      </w:r>
    </w:p>
    <w:p>
      <w:pPr>
        <w:widowControl/>
        <w:numPr>
          <w:ilvl w:val="0"/>
          <w:numId w:val="10"/>
        </w:numPr>
      </w:pPr>
      <w:r>
        <w:rPr>
          <w:rFonts w:ascii="Calibri" w:hAnsi="Calibri"/>
          <w:b w:val="0"/>
          <w:i w:val="0"/>
          <w:color w:val="172033"/>
          <w:sz w:val="22"/>
        </w:rPr>
        <w:t>Create cohorts that reflect the school’s operating structure: grade, counselor, advisory, academy or program.</w:t>
      </w:r>
    </w:p>
    <w:p>
      <w:pPr>
        <w:widowControl/>
        <w:numPr>
          <w:ilvl w:val="0"/>
          <w:numId w:val="10"/>
        </w:numPr>
      </w:pPr>
      <w:r>
        <w:rPr>
          <w:rFonts w:ascii="Calibri" w:hAnsi="Calibri"/>
          <w:b w:val="0"/>
          <w:i w:val="0"/>
          <w:color w:val="172033"/>
          <w:sz w:val="22"/>
        </w:rPr>
        <w:t>Assign least-privilege staff roles and confirm who can see individual results.</w:t>
      </w:r>
    </w:p>
    <w:p>
      <w:pPr>
        <w:widowControl/>
        <w:numPr>
          <w:ilvl w:val="0"/>
          <w:numId w:val="10"/>
        </w:numPr>
      </w:pPr>
      <w:r>
        <w:rPr>
          <w:rFonts w:ascii="Calibri" w:hAnsi="Calibri"/>
          <w:b w:val="0"/>
          <w:i w:val="0"/>
          <w:color w:val="172033"/>
          <w:sz w:val="22"/>
        </w:rPr>
        <w:t>Decide which result sections, career matches, education tools, live jobs and AI features students can access.</w:t>
      </w:r>
    </w:p>
    <w:p>
      <w:pPr>
        <w:widowControl/>
        <w:numPr>
          <w:ilvl w:val="0"/>
          <w:numId w:val="10"/>
        </w:numPr>
      </w:pPr>
      <w:r>
        <w:rPr>
          <w:rFonts w:ascii="Calibri" w:hAnsi="Calibri"/>
          <w:b w:val="0"/>
          <w:i w:val="0"/>
          <w:color w:val="172033"/>
          <w:sz w:val="22"/>
        </w:rPr>
        <w:t>Confirm language, accessibility, branding, parent reporting and notification settings.</w:t>
      </w:r>
    </w:p>
    <w:p>
      <w:pPr>
        <w:widowControl/>
        <w:numPr>
          <w:ilvl w:val="0"/>
          <w:numId w:val="10"/>
        </w:numPr>
      </w:pPr>
      <w:r>
        <w:rPr>
          <w:rFonts w:ascii="Calibri" w:hAnsi="Calibri"/>
          <w:b w:val="0"/>
          <w:i w:val="0"/>
          <w:color w:val="172033"/>
          <w:sz w:val="22"/>
        </w:rPr>
        <w:t>Document account support, keycode, password, deletion and data-retention procedures.</w:t>
      </w:r>
    </w:p>
    <w:p>
      <w:pPr>
        <w:widowControl/>
        <w:numPr>
          <w:ilvl w:val="0"/>
          <w:numId w:val="10"/>
        </w:numPr>
      </w:pPr>
      <w:r>
        <w:rPr>
          <w:rFonts w:ascii="Calibri" w:hAnsi="Calibri"/>
          <w:b w:val="0"/>
          <w:i w:val="0"/>
          <w:color w:val="172033"/>
          <w:sz w:val="22"/>
        </w:rPr>
        <w:t>Test the student and counselor experiences with sample accounts before launch.</w:t>
      </w:r>
    </w:p>
    <w:p>
      <w:pPr>
        <w:pStyle w:val="Heading2"/>
        <w:keepNext/>
        <w:widowControl/>
      </w:pPr>
      <w:r>
        <w:rPr>
          <w:rFonts w:ascii="Calibri" w:hAnsi="Calibri"/>
          <w:b w:val="0"/>
          <w:i w:val="0"/>
          <w:color w:val="172033"/>
          <w:sz w:val="28"/>
        </w:rPr>
        <w:t>Step 4: Train adults</w:t>
      </w:r>
    </w:p>
    <w:p>
      <w:pPr>
        <w:widowControl/>
      </w:pPr>
      <w:r>
        <w:rPr>
          <w:rFonts w:ascii="Calibri" w:hAnsi="Calibri"/>
          <w:b w:val="0"/>
          <w:i w:val="0"/>
          <w:color w:val="172033"/>
          <w:sz w:val="21"/>
        </w:rPr>
        <w:t>Minimum training should include the purpose and limits of MAPP, the Level 1–5 interpretation system, practice with combinations of traits, career and education navigation, family communication, AI guidance rules, privacy and escalation. Staff should practice converting deterministic statements into exploratory questions.</w:t>
      </w:r>
    </w:p>
    <w:p>
      <w:pPr>
        <w:pStyle w:val="Heading2"/>
        <w:keepNext/>
        <w:widowControl/>
      </w:pPr>
      <w:r>
        <w:rPr>
          <w:rFonts w:ascii="Calibri" w:hAnsi="Calibri"/>
          <w:b w:val="0"/>
          <w:i w:val="0"/>
          <w:color w:val="172033"/>
          <w:sz w:val="28"/>
        </w:rPr>
        <w:t>Step 5: Launch with context</w:t>
      </w:r>
    </w:p>
    <w:p>
      <w:pPr>
        <w:widowControl/>
        <w:numPr>
          <w:ilvl w:val="0"/>
          <w:numId w:val="12"/>
        </w:numPr>
      </w:pPr>
      <w:r>
        <w:rPr>
          <w:rFonts w:ascii="Calibri" w:hAnsi="Calibri"/>
          <w:b/>
          <w:i w:val="0"/>
          <w:color w:val="172033"/>
          <w:sz w:val="22"/>
        </w:rPr>
        <w:t xml:space="preserve">Explain the purpose. </w:t>
      </w:r>
      <w:r>
        <w:rPr>
          <w:rFonts w:ascii="Calibri" w:hAnsi="Calibri"/>
          <w:b w:val="0"/>
          <w:i w:val="0"/>
          <w:color w:val="172033"/>
          <w:sz w:val="22"/>
        </w:rPr>
        <w:t>Students are learning about preferences to generate options and questions.</w:t>
      </w:r>
    </w:p>
    <w:p>
      <w:pPr>
        <w:widowControl/>
        <w:numPr>
          <w:ilvl w:val="0"/>
          <w:numId w:val="12"/>
        </w:numPr>
      </w:pPr>
      <w:r>
        <w:rPr>
          <w:rFonts w:ascii="Calibri" w:hAnsi="Calibri"/>
          <w:b/>
          <w:i w:val="0"/>
          <w:color w:val="172033"/>
          <w:sz w:val="22"/>
        </w:rPr>
        <w:t xml:space="preserve">Create appropriate conditions. </w:t>
      </w:r>
      <w:r>
        <w:rPr>
          <w:rFonts w:ascii="Calibri" w:hAnsi="Calibri"/>
          <w:b w:val="0"/>
          <w:i w:val="0"/>
          <w:color w:val="172033"/>
          <w:sz w:val="22"/>
        </w:rPr>
        <w:t>Use a quiet, low-pressure setting; clarify vocabulary without coaching answers.</w:t>
      </w:r>
    </w:p>
    <w:p>
      <w:pPr>
        <w:widowControl/>
        <w:numPr>
          <w:ilvl w:val="0"/>
          <w:numId w:val="12"/>
        </w:numPr>
      </w:pPr>
      <w:r>
        <w:rPr>
          <w:rFonts w:ascii="Calibri" w:hAnsi="Calibri"/>
          <w:b/>
          <w:i w:val="0"/>
          <w:color w:val="172033"/>
          <w:sz w:val="22"/>
        </w:rPr>
        <w:t xml:space="preserve">Allow adequate time. </w:t>
      </w:r>
      <w:r>
        <w:rPr>
          <w:rFonts w:ascii="Calibri" w:hAnsi="Calibri"/>
          <w:b w:val="0"/>
          <w:i w:val="0"/>
          <w:color w:val="172033"/>
          <w:sz w:val="22"/>
        </w:rPr>
        <w:t>Reserve 25–35 minutes for instructions, the 15–22 minute assessment and immediate reflection.</w:t>
      </w:r>
    </w:p>
    <w:p>
      <w:pPr>
        <w:widowControl/>
        <w:numPr>
          <w:ilvl w:val="0"/>
          <w:numId w:val="12"/>
        </w:numPr>
      </w:pPr>
      <w:r>
        <w:rPr>
          <w:rFonts w:ascii="Calibri" w:hAnsi="Calibri"/>
          <w:b/>
          <w:i w:val="0"/>
          <w:color w:val="172033"/>
          <w:sz w:val="22"/>
        </w:rPr>
        <w:t xml:space="preserve">Capture a first reaction. </w:t>
      </w:r>
      <w:r>
        <w:rPr>
          <w:rFonts w:ascii="Calibri" w:hAnsi="Calibri"/>
          <w:b w:val="0"/>
          <w:i w:val="0"/>
          <w:color w:val="172033"/>
          <w:sz w:val="22"/>
        </w:rPr>
        <w:t>Before outside interpretation, ask students what they noticed.</w:t>
      </w:r>
    </w:p>
    <w:p>
      <w:pPr>
        <w:widowControl/>
        <w:numPr>
          <w:ilvl w:val="0"/>
          <w:numId w:val="12"/>
        </w:numPr>
      </w:pPr>
      <w:r>
        <w:rPr>
          <w:rFonts w:ascii="Calibri" w:hAnsi="Calibri"/>
          <w:b/>
          <w:i w:val="0"/>
          <w:color w:val="172033"/>
          <w:sz w:val="22"/>
        </w:rPr>
        <w:t xml:space="preserve">Schedule follow-through. </w:t>
      </w:r>
      <w:r>
        <w:rPr>
          <w:rFonts w:ascii="Calibri" w:hAnsi="Calibri"/>
          <w:b w:val="0"/>
          <w:i w:val="0"/>
          <w:color w:val="172033"/>
          <w:sz w:val="22"/>
        </w:rPr>
        <w:t>Every launch should already have a next activity and a route for individual questions.</w:t>
      </w:r>
    </w:p>
    <w:p>
      <w:pPr>
        <w:pStyle w:val="Heading2"/>
        <w:keepNext/>
        <w:widowControl/>
      </w:pPr>
      <w:r>
        <w:rPr>
          <w:rFonts w:ascii="Calibri" w:hAnsi="Calibri"/>
          <w:b w:val="0"/>
          <w:i w:val="0"/>
          <w:color w:val="172033"/>
          <w:sz w:val="28"/>
        </w:rPr>
        <w:t>Step 6: Review and improve</w:t>
      </w:r>
    </w:p>
    <w:p>
      <w:pPr>
        <w:widowControl/>
      </w:pPr>
      <w:r>
        <w:rPr>
          <w:rFonts w:ascii="Calibri" w:hAnsi="Calibri"/>
          <w:b w:val="0"/>
          <w:i w:val="0"/>
          <w:color w:val="172033"/>
          <w:sz w:val="21"/>
        </w:rPr>
        <w:t>After each cohort, examine completion, student understanding, saved careers and pathways, follow-up actions, counselor workload, family participation and equity gaps. Collect student and counselor feedback. Adjust training and workflow before expanding.</w:t>
      </w:r>
    </w:p>
    <w:p>
      <w:pPr>
        <w:pStyle w:val="Heading2"/>
        <w:keepNext/>
        <w:widowControl/>
      </w:pPr>
      <w:r>
        <w:rPr>
          <w:rFonts w:ascii="Calibri" w:hAnsi="Calibri"/>
          <w:b w:val="0"/>
          <w:i w:val="0"/>
          <w:color w:val="172033"/>
          <w:sz w:val="28"/>
        </w:rPr>
        <w:t>Suggested eight-week pilot</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800"/>
        <w:gridCol w:w="4900"/>
        <w:gridCol w:w="3660"/>
      </w:tblGrid>
      <w:tr>
        <w:trPr>
          <w:tblHeader w:val="true"/>
          <w:cantSplit/>
        </w:trPr>
        <w:tc>
          <w:tcPr>
            <w:tcW w:type="dxa" w:w="800"/>
            <w:tcMar>
              <w:top w:w="100" w:type="dxa"/>
              <w:start w:w="140" w:type="dxa"/>
              <w:bottom w:w="100" w:type="dxa"/>
              <w:end w:w="140" w:type="dxa"/>
            </w:tcMar>
            <w:vAlign w:val="center"/>
            <w:shd w:fill="EF6C2C"/>
          </w:tcPr>
          <w:p>
            <w:pPr>
              <w:spacing w:after="0"/>
              <w:jc w:val="left"/>
            </w:pPr>
            <w:r>
              <w:rPr>
                <w:rFonts w:ascii="Calibri" w:hAnsi="Calibri"/>
                <w:b/>
                <w:i w:val="0"/>
                <w:color w:val="FFFFFF"/>
                <w:sz w:val="18"/>
              </w:rPr>
              <w:t>Week</w:t>
            </w:r>
          </w:p>
        </w:tc>
        <w:tc>
          <w:tcPr>
            <w:tcW w:type="dxa" w:w="4900"/>
            <w:tcMar>
              <w:top w:w="100" w:type="dxa"/>
              <w:start w:w="140" w:type="dxa"/>
              <w:bottom w:w="100" w:type="dxa"/>
              <w:end w:w="140" w:type="dxa"/>
            </w:tcMar>
            <w:vAlign w:val="center"/>
            <w:shd w:fill="EF6C2C"/>
          </w:tcPr>
          <w:p>
            <w:pPr>
              <w:spacing w:after="0"/>
              <w:jc w:val="left"/>
            </w:pPr>
            <w:r>
              <w:rPr>
                <w:rFonts w:ascii="Calibri" w:hAnsi="Calibri"/>
                <w:b/>
                <w:i w:val="0"/>
                <w:color w:val="FFFFFF"/>
                <w:sz w:val="18"/>
              </w:rPr>
              <w:t>Activity</w:t>
            </w:r>
          </w:p>
        </w:tc>
        <w:tc>
          <w:tcPr>
            <w:tcW w:type="dxa" w:w="3660"/>
            <w:tcMar>
              <w:top w:w="100" w:type="dxa"/>
              <w:start w:w="140" w:type="dxa"/>
              <w:bottom w:w="100" w:type="dxa"/>
              <w:end w:w="140" w:type="dxa"/>
            </w:tcMar>
            <w:vAlign w:val="center"/>
            <w:shd w:fill="EF6C2C"/>
          </w:tcPr>
          <w:p>
            <w:pPr>
              <w:spacing w:after="0"/>
              <w:jc w:val="left"/>
            </w:pPr>
            <w:r>
              <w:rPr>
                <w:rFonts w:ascii="Calibri" w:hAnsi="Calibri"/>
                <w:b/>
                <w:i w:val="0"/>
                <w:color w:val="FFFFFF"/>
                <w:sz w:val="18"/>
              </w:rPr>
              <w:t>Deliverable</w:t>
            </w:r>
          </w:p>
        </w:tc>
      </w:tr>
      <w:tr>
        <w:trPr>
          <w:cantSplit/>
        </w:trPr>
        <w:tc>
          <w:tcPr>
            <w:tcW w:type="dxa" w:w="800"/>
            <w:tcMar>
              <w:top w:w="100" w:type="dxa"/>
              <w:start w:w="140" w:type="dxa"/>
              <w:bottom w:w="100" w:type="dxa"/>
              <w:end w:w="140" w:type="dxa"/>
            </w:tcMar>
            <w:vAlign w:val="center"/>
          </w:tcPr>
          <w:p>
            <w:pPr>
              <w:spacing w:after="0" w:line="264" w:lineRule="auto"/>
            </w:pPr>
            <w:r>
              <w:rPr>
                <w:rFonts w:ascii="Calibri" w:hAnsi="Calibri"/>
                <w:b w:val="0"/>
                <w:i w:val="0"/>
                <w:color w:val="172033"/>
                <w:sz w:val="17"/>
              </w:rPr>
              <w:t>1</w:t>
            </w:r>
          </w:p>
        </w:tc>
        <w:tc>
          <w:tcPr>
            <w:tcW w:type="dxa" w:w="4900"/>
            <w:tcMar>
              <w:top w:w="100" w:type="dxa"/>
              <w:start w:w="140" w:type="dxa"/>
              <w:bottom w:w="100" w:type="dxa"/>
              <w:end w:w="140" w:type="dxa"/>
            </w:tcMar>
            <w:vAlign w:val="center"/>
          </w:tcPr>
          <w:p>
            <w:pPr>
              <w:spacing w:after="0" w:line="264" w:lineRule="auto"/>
            </w:pPr>
            <w:r>
              <w:rPr>
                <w:rFonts w:ascii="Calibri" w:hAnsi="Calibri"/>
                <w:b w:val="0"/>
                <w:i w:val="0"/>
                <w:color w:val="172033"/>
                <w:sz w:val="17"/>
              </w:rPr>
              <w:t>Define cohort, outcomes, owners and privacy requirements.</w:t>
            </w:r>
          </w:p>
        </w:tc>
        <w:tc>
          <w:tcPr>
            <w:tcW w:type="dxa" w:w="3660"/>
            <w:tcMar>
              <w:top w:w="100" w:type="dxa"/>
              <w:start w:w="140" w:type="dxa"/>
              <w:bottom w:w="100" w:type="dxa"/>
              <w:end w:w="140" w:type="dxa"/>
            </w:tcMar>
            <w:vAlign w:val="center"/>
          </w:tcPr>
          <w:p>
            <w:pPr>
              <w:spacing w:after="0" w:line="264" w:lineRule="auto"/>
            </w:pPr>
            <w:r>
              <w:rPr>
                <w:rFonts w:ascii="Calibri" w:hAnsi="Calibri"/>
                <w:b w:val="0"/>
                <w:i w:val="0"/>
                <w:color w:val="172033"/>
                <w:sz w:val="17"/>
              </w:rPr>
              <w:t>Pilot charter and success measures</w:t>
            </w:r>
          </w:p>
        </w:tc>
      </w:tr>
      <w:tr>
        <w:trPr>
          <w:cantSplit/>
        </w:trPr>
        <w:tc>
          <w:tcPr>
            <w:tcW w:type="dxa" w:w="8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2</w:t>
            </w:r>
          </w:p>
        </w:tc>
        <w:tc>
          <w:tcPr>
            <w:tcW w:type="dxa" w:w="49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Configure platform, cohorts, roles and student experience.</w:t>
            </w:r>
          </w:p>
        </w:tc>
        <w:tc>
          <w:tcPr>
            <w:tcW w:type="dxa" w:w="3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Tested environment</w:t>
            </w:r>
          </w:p>
        </w:tc>
      </w:tr>
      <w:tr>
        <w:trPr>
          <w:cantSplit/>
        </w:trPr>
        <w:tc>
          <w:tcPr>
            <w:tcW w:type="dxa" w:w="800"/>
            <w:tcMar>
              <w:top w:w="100" w:type="dxa"/>
              <w:start w:w="140" w:type="dxa"/>
              <w:bottom w:w="100" w:type="dxa"/>
              <w:end w:w="140" w:type="dxa"/>
            </w:tcMar>
            <w:vAlign w:val="center"/>
          </w:tcPr>
          <w:p>
            <w:pPr>
              <w:spacing w:after="0" w:line="264" w:lineRule="auto"/>
            </w:pPr>
            <w:r>
              <w:rPr>
                <w:rFonts w:ascii="Calibri" w:hAnsi="Calibri"/>
                <w:b w:val="0"/>
                <w:i w:val="0"/>
                <w:color w:val="172033"/>
                <w:sz w:val="17"/>
              </w:rPr>
              <w:t>3</w:t>
            </w:r>
          </w:p>
        </w:tc>
        <w:tc>
          <w:tcPr>
            <w:tcW w:type="dxa" w:w="4900"/>
            <w:tcMar>
              <w:top w:w="100" w:type="dxa"/>
              <w:start w:w="140" w:type="dxa"/>
              <w:bottom w:w="100" w:type="dxa"/>
              <w:end w:w="140" w:type="dxa"/>
            </w:tcMar>
            <w:vAlign w:val="center"/>
          </w:tcPr>
          <w:p>
            <w:pPr>
              <w:spacing w:after="0" w:line="264" w:lineRule="auto"/>
            </w:pPr>
            <w:r>
              <w:rPr>
                <w:rFonts w:ascii="Calibri" w:hAnsi="Calibri"/>
                <w:b w:val="0"/>
                <w:i w:val="0"/>
                <w:color w:val="172033"/>
                <w:sz w:val="17"/>
              </w:rPr>
              <w:t>Train counselors and facilitators; review sample reports.</w:t>
            </w:r>
          </w:p>
        </w:tc>
        <w:tc>
          <w:tcPr>
            <w:tcW w:type="dxa" w:w="3660"/>
            <w:tcMar>
              <w:top w:w="100" w:type="dxa"/>
              <w:start w:w="140" w:type="dxa"/>
              <w:bottom w:w="100" w:type="dxa"/>
              <w:end w:w="140" w:type="dxa"/>
            </w:tcMar>
            <w:vAlign w:val="center"/>
          </w:tcPr>
          <w:p>
            <w:pPr>
              <w:spacing w:after="0" w:line="264" w:lineRule="auto"/>
            </w:pPr>
            <w:r>
              <w:rPr>
                <w:rFonts w:ascii="Calibri" w:hAnsi="Calibri"/>
                <w:b w:val="0"/>
                <w:i w:val="0"/>
                <w:color w:val="172033"/>
                <w:sz w:val="17"/>
              </w:rPr>
              <w:t>Facilitator readiness check</w:t>
            </w:r>
          </w:p>
        </w:tc>
      </w:tr>
      <w:tr>
        <w:trPr>
          <w:cantSplit/>
        </w:trPr>
        <w:tc>
          <w:tcPr>
            <w:tcW w:type="dxa" w:w="8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4</w:t>
            </w:r>
          </w:p>
        </w:tc>
        <w:tc>
          <w:tcPr>
            <w:tcW w:type="dxa" w:w="49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Communicate with students and families; administer MAPP.</w:t>
            </w:r>
          </w:p>
        </w:tc>
        <w:tc>
          <w:tcPr>
            <w:tcW w:type="dxa" w:w="3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Completion and first reflection</w:t>
            </w:r>
          </w:p>
        </w:tc>
      </w:tr>
      <w:tr>
        <w:trPr>
          <w:cantSplit/>
        </w:trPr>
        <w:tc>
          <w:tcPr>
            <w:tcW w:type="dxa" w:w="800"/>
            <w:tcMar>
              <w:top w:w="100" w:type="dxa"/>
              <w:start w:w="140" w:type="dxa"/>
              <w:bottom w:w="100" w:type="dxa"/>
              <w:end w:w="140" w:type="dxa"/>
            </w:tcMar>
            <w:vAlign w:val="center"/>
          </w:tcPr>
          <w:p>
            <w:pPr>
              <w:spacing w:after="0" w:line="264" w:lineRule="auto"/>
            </w:pPr>
            <w:r>
              <w:rPr>
                <w:rFonts w:ascii="Calibri" w:hAnsi="Calibri"/>
                <w:b w:val="0"/>
                <w:i w:val="0"/>
                <w:color w:val="172033"/>
                <w:sz w:val="17"/>
              </w:rPr>
              <w:t>5</w:t>
            </w:r>
          </w:p>
        </w:tc>
        <w:tc>
          <w:tcPr>
            <w:tcW w:type="dxa" w:w="4900"/>
            <w:tcMar>
              <w:top w:w="100" w:type="dxa"/>
              <w:start w:w="140" w:type="dxa"/>
              <w:bottom w:w="100" w:type="dxa"/>
              <w:end w:w="140" w:type="dxa"/>
            </w:tcMar>
            <w:vAlign w:val="center"/>
          </w:tcPr>
          <w:p>
            <w:pPr>
              <w:spacing w:after="0" w:line="264" w:lineRule="auto"/>
            </w:pPr>
            <w:r>
              <w:rPr>
                <w:rFonts w:ascii="Calibri" w:hAnsi="Calibri"/>
                <w:b w:val="0"/>
                <w:i w:val="0"/>
                <w:color w:val="172033"/>
                <w:sz w:val="17"/>
              </w:rPr>
              <w:t>Teach result interpretation and career exploration.</w:t>
            </w:r>
          </w:p>
        </w:tc>
        <w:tc>
          <w:tcPr>
            <w:tcW w:type="dxa" w:w="3660"/>
            <w:tcMar>
              <w:top w:w="100" w:type="dxa"/>
              <w:start w:w="140" w:type="dxa"/>
              <w:bottom w:w="100" w:type="dxa"/>
              <w:end w:w="140" w:type="dxa"/>
            </w:tcMar>
            <w:vAlign w:val="center"/>
          </w:tcPr>
          <w:p>
            <w:pPr>
              <w:spacing w:after="0" w:line="264" w:lineRule="auto"/>
            </w:pPr>
            <w:r>
              <w:rPr>
                <w:rFonts w:ascii="Calibri" w:hAnsi="Calibri"/>
                <w:b w:val="0"/>
                <w:i w:val="0"/>
                <w:color w:val="172033"/>
                <w:sz w:val="17"/>
              </w:rPr>
              <w:t>Three-career comparison</w:t>
            </w:r>
          </w:p>
        </w:tc>
      </w:tr>
      <w:tr>
        <w:trPr>
          <w:cantSplit/>
        </w:trPr>
        <w:tc>
          <w:tcPr>
            <w:tcW w:type="dxa" w:w="8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6</w:t>
            </w:r>
          </w:p>
        </w:tc>
        <w:tc>
          <w:tcPr>
            <w:tcW w:type="dxa" w:w="49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Connect careers to majors, programs and training routes.</w:t>
            </w:r>
          </w:p>
        </w:tc>
        <w:tc>
          <w:tcPr>
            <w:tcW w:type="dxa" w:w="3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Pathway comparison</w:t>
            </w:r>
          </w:p>
        </w:tc>
      </w:tr>
      <w:tr>
        <w:trPr>
          <w:cantSplit/>
        </w:trPr>
        <w:tc>
          <w:tcPr>
            <w:tcW w:type="dxa" w:w="800"/>
            <w:tcMar>
              <w:top w:w="100" w:type="dxa"/>
              <w:start w:w="140" w:type="dxa"/>
              <w:bottom w:w="100" w:type="dxa"/>
              <w:end w:w="140" w:type="dxa"/>
            </w:tcMar>
            <w:vAlign w:val="center"/>
          </w:tcPr>
          <w:p>
            <w:pPr>
              <w:spacing w:after="0" w:line="264" w:lineRule="auto"/>
            </w:pPr>
            <w:r>
              <w:rPr>
                <w:rFonts w:ascii="Calibri" w:hAnsi="Calibri"/>
                <w:b w:val="0"/>
                <w:i w:val="0"/>
                <w:color w:val="172033"/>
                <w:sz w:val="17"/>
              </w:rPr>
              <w:t>7</w:t>
            </w:r>
          </w:p>
        </w:tc>
        <w:tc>
          <w:tcPr>
            <w:tcW w:type="dxa" w:w="4900"/>
            <w:tcMar>
              <w:top w:w="100" w:type="dxa"/>
              <w:start w:w="140" w:type="dxa"/>
              <w:bottom w:w="100" w:type="dxa"/>
              <w:end w:w="140" w:type="dxa"/>
            </w:tcMar>
            <w:vAlign w:val="center"/>
          </w:tcPr>
          <w:p>
            <w:pPr>
              <w:spacing w:after="0" w:line="264" w:lineRule="auto"/>
            </w:pPr>
            <w:r>
              <w:rPr>
                <w:rFonts w:ascii="Calibri" w:hAnsi="Calibri"/>
                <w:b w:val="0"/>
                <w:i w:val="0"/>
                <w:color w:val="172033"/>
                <w:sz w:val="17"/>
              </w:rPr>
              <w:t>Conduct targeted counselor/family meetings and action planning.</w:t>
            </w:r>
          </w:p>
        </w:tc>
        <w:tc>
          <w:tcPr>
            <w:tcW w:type="dxa" w:w="3660"/>
            <w:tcMar>
              <w:top w:w="100" w:type="dxa"/>
              <w:start w:w="140" w:type="dxa"/>
              <w:bottom w:w="100" w:type="dxa"/>
              <w:end w:w="140" w:type="dxa"/>
            </w:tcMar>
            <w:vAlign w:val="center"/>
          </w:tcPr>
          <w:p>
            <w:pPr>
              <w:spacing w:after="0" w:line="264" w:lineRule="auto"/>
            </w:pPr>
            <w:r>
              <w:rPr>
                <w:rFonts w:ascii="Calibri" w:hAnsi="Calibri"/>
                <w:b w:val="0"/>
                <w:i w:val="0"/>
                <w:color w:val="172033"/>
                <w:sz w:val="17"/>
              </w:rPr>
              <w:t>Student next-step plan</w:t>
            </w:r>
          </w:p>
        </w:tc>
      </w:tr>
      <w:tr>
        <w:trPr>
          <w:cantSplit/>
        </w:trPr>
        <w:tc>
          <w:tcPr>
            <w:tcW w:type="dxa" w:w="8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8</w:t>
            </w:r>
          </w:p>
        </w:tc>
        <w:tc>
          <w:tcPr>
            <w:tcW w:type="dxa" w:w="49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Review data, feedback, equity and expansion decision.</w:t>
            </w:r>
          </w:p>
        </w:tc>
        <w:tc>
          <w:tcPr>
            <w:tcW w:type="dxa" w:w="3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Pilot report and revisions</w:t>
            </w:r>
          </w:p>
        </w:tc>
      </w:tr>
    </w:tbl>
    <w:p>
      <w:pPr>
        <w:widowControl/>
        <w:spacing w:after="20"/>
      </w:pPr>
    </w:p>
    <w:p>
      <w:pPr>
        <w:pStyle w:val="Heading1"/>
        <w:keepNext/>
        <w:widowControl/>
      </w:pPr>
      <w:r>
        <w:rPr>
          <w:rFonts w:ascii="Calibri" w:hAnsi="Calibri"/>
          <w:b w:val="0"/>
          <w:i w:val="0"/>
          <w:color w:val="172033"/>
          <w:sz w:val="36"/>
        </w:rPr>
        <w:t>7. Counselor Workflow: Before, During and After a Student Meeting</w:t>
      </w:r>
    </w:p>
    <w:p>
      <w:pPr>
        <w:widowControl/>
      </w:pPr>
      <w:r>
        <w:rPr>
          <w:rFonts w:ascii="Calibri" w:hAnsi="Calibri"/>
          <w:b w:val="0"/>
          <w:i w:val="0"/>
          <w:color w:val="172033"/>
          <w:sz w:val="21"/>
        </w:rPr>
        <w:t>The platform should reduce preparation time while preserving the parts of counseling that require human judgment. A concise workflow can turn a static report into a productive conversation.</w:t>
      </w:r>
    </w:p>
    <w:p>
      <w:pPr>
        <w:pStyle w:val="Heading2"/>
        <w:keepNext/>
        <w:widowControl/>
      </w:pPr>
      <w:r>
        <w:rPr>
          <w:rFonts w:ascii="Calibri" w:hAnsi="Calibri"/>
          <w:b w:val="0"/>
          <w:i w:val="0"/>
          <w:color w:val="172033"/>
          <w:sz w:val="28"/>
        </w:rPr>
        <w:t>Before the meeting: 5–10 minutes</w:t>
      </w:r>
    </w:p>
    <w:p>
      <w:pPr>
        <w:widowControl/>
        <w:numPr>
          <w:ilvl w:val="0"/>
          <w:numId w:val="10"/>
        </w:numPr>
      </w:pPr>
      <w:r>
        <w:rPr>
          <w:rFonts w:ascii="Calibri" w:hAnsi="Calibri"/>
          <w:b w:val="0"/>
          <w:i w:val="0"/>
          <w:color w:val="172033"/>
          <w:sz w:val="22"/>
        </w:rPr>
        <w:t>Confirm assessment completion and note the strongest 1–2 level themes and clearest 4–5 level aversions.</w:t>
      </w:r>
    </w:p>
    <w:p>
      <w:pPr>
        <w:widowControl/>
        <w:numPr>
          <w:ilvl w:val="0"/>
          <w:numId w:val="10"/>
        </w:numPr>
      </w:pPr>
      <w:r>
        <w:rPr>
          <w:rFonts w:ascii="Calibri" w:hAnsi="Calibri"/>
          <w:b w:val="0"/>
          <w:i w:val="0"/>
          <w:color w:val="172033"/>
          <w:sz w:val="22"/>
        </w:rPr>
        <w:t>Scan the learning-style section for communication preferences, without assuming a fixed type.</w:t>
      </w:r>
    </w:p>
    <w:p>
      <w:pPr>
        <w:widowControl/>
        <w:numPr>
          <w:ilvl w:val="0"/>
          <w:numId w:val="10"/>
        </w:numPr>
      </w:pPr>
      <w:r>
        <w:rPr>
          <w:rFonts w:ascii="Calibri" w:hAnsi="Calibri"/>
          <w:b w:val="0"/>
          <w:i w:val="0"/>
          <w:color w:val="172033"/>
          <w:sz w:val="22"/>
        </w:rPr>
        <w:t>Review saved careers, majors, colleges, jobs and unfinished next steps.</w:t>
      </w:r>
    </w:p>
    <w:p>
      <w:pPr>
        <w:widowControl/>
        <w:numPr>
          <w:ilvl w:val="0"/>
          <w:numId w:val="10"/>
        </w:numPr>
      </w:pPr>
      <w:r>
        <w:rPr>
          <w:rFonts w:ascii="Calibri" w:hAnsi="Calibri"/>
          <w:b w:val="0"/>
          <w:i w:val="0"/>
          <w:color w:val="172033"/>
          <w:sz w:val="22"/>
        </w:rPr>
        <w:t>Identify one tension or useful question—for example, strong people contact combined with a preference for independent work.</w:t>
      </w:r>
    </w:p>
    <w:p>
      <w:pPr>
        <w:widowControl/>
        <w:numPr>
          <w:ilvl w:val="0"/>
          <w:numId w:val="10"/>
        </w:numPr>
      </w:pPr>
      <w:r>
        <w:rPr>
          <w:rFonts w:ascii="Calibri" w:hAnsi="Calibri"/>
          <w:b w:val="0"/>
          <w:i w:val="0"/>
          <w:color w:val="172033"/>
          <w:sz w:val="22"/>
        </w:rPr>
        <w:t>If using AI, ask for a concise summary and possible questions, then verify against the actual report before the meeting.</w:t>
      </w:r>
    </w:p>
    <w:p>
      <w:pPr>
        <w:pStyle w:val="Heading2"/>
        <w:keepNext/>
        <w:widowControl/>
      </w:pPr>
      <w:r>
        <w:rPr>
          <w:rFonts w:ascii="Calibri" w:hAnsi="Calibri"/>
          <w:b w:val="0"/>
          <w:i w:val="0"/>
          <w:color w:val="172033"/>
          <w:sz w:val="28"/>
        </w:rPr>
        <w:t>During the meeting: 20–30 minutes</w:t>
      </w:r>
    </w:p>
    <w:p>
      <w:pPr>
        <w:widowControl/>
        <w:numPr>
          <w:ilvl w:val="0"/>
          <w:numId w:val="13"/>
        </w:numPr>
      </w:pPr>
      <w:r>
        <w:rPr>
          <w:rFonts w:ascii="Calibri" w:hAnsi="Calibri"/>
          <w:b/>
          <w:i w:val="0"/>
          <w:color w:val="172033"/>
          <w:sz w:val="22"/>
        </w:rPr>
        <w:t xml:space="preserve">Student voice first. </w:t>
      </w:r>
      <w:r>
        <w:rPr>
          <w:rFonts w:ascii="Calibri" w:hAnsi="Calibri"/>
          <w:b w:val="0"/>
          <w:i w:val="0"/>
          <w:color w:val="172033"/>
          <w:sz w:val="22"/>
        </w:rPr>
        <w:t>“What stood out, and what did the report miss?”</w:t>
      </w:r>
    </w:p>
    <w:p>
      <w:pPr>
        <w:widowControl/>
        <w:numPr>
          <w:ilvl w:val="0"/>
          <w:numId w:val="13"/>
        </w:numPr>
      </w:pPr>
      <w:r>
        <w:rPr>
          <w:rFonts w:ascii="Calibri" w:hAnsi="Calibri"/>
          <w:b/>
          <w:i w:val="0"/>
          <w:color w:val="172033"/>
          <w:sz w:val="22"/>
        </w:rPr>
        <w:t xml:space="preserve">Name the pattern. </w:t>
      </w:r>
      <w:r>
        <w:rPr>
          <w:rFonts w:ascii="Calibri" w:hAnsi="Calibri"/>
          <w:b w:val="0"/>
          <w:i w:val="0"/>
          <w:color w:val="172033"/>
          <w:sz w:val="22"/>
        </w:rPr>
        <w:t>Summarize two or three interacting motivations in plain language.</w:t>
      </w:r>
    </w:p>
    <w:p>
      <w:pPr>
        <w:widowControl/>
        <w:numPr>
          <w:ilvl w:val="0"/>
          <w:numId w:val="13"/>
        </w:numPr>
      </w:pPr>
      <w:r>
        <w:rPr>
          <w:rFonts w:ascii="Calibri" w:hAnsi="Calibri"/>
          <w:b/>
          <w:i w:val="0"/>
          <w:color w:val="172033"/>
          <w:sz w:val="22"/>
        </w:rPr>
        <w:t xml:space="preserve">Test with evidence. </w:t>
      </w:r>
      <w:r>
        <w:rPr>
          <w:rFonts w:ascii="Calibri" w:hAnsi="Calibri"/>
          <w:b w:val="0"/>
          <w:i w:val="0"/>
          <w:color w:val="172033"/>
          <w:sz w:val="22"/>
        </w:rPr>
        <w:t>Ask for examples from school, work, family responsibilities and activities.</w:t>
      </w:r>
    </w:p>
    <w:p>
      <w:pPr>
        <w:widowControl/>
        <w:numPr>
          <w:ilvl w:val="0"/>
          <w:numId w:val="13"/>
        </w:numPr>
      </w:pPr>
      <w:r>
        <w:rPr>
          <w:rFonts w:ascii="Calibri" w:hAnsi="Calibri"/>
          <w:b/>
          <w:i w:val="0"/>
          <w:color w:val="172033"/>
          <w:sz w:val="22"/>
        </w:rPr>
        <w:t xml:space="preserve">Compare options. </w:t>
      </w:r>
      <w:r>
        <w:rPr>
          <w:rFonts w:ascii="Calibri" w:hAnsi="Calibri"/>
          <w:b w:val="0"/>
          <w:i w:val="0"/>
          <w:color w:val="172033"/>
          <w:sz w:val="22"/>
        </w:rPr>
        <w:t>Select two or three careers or pathways and examine both fit and friction.</w:t>
      </w:r>
    </w:p>
    <w:p>
      <w:pPr>
        <w:widowControl/>
        <w:numPr>
          <w:ilvl w:val="0"/>
          <w:numId w:val="13"/>
        </w:numPr>
      </w:pPr>
      <w:r>
        <w:rPr>
          <w:rFonts w:ascii="Calibri" w:hAnsi="Calibri"/>
          <w:b/>
          <w:i w:val="0"/>
          <w:color w:val="172033"/>
          <w:sz w:val="22"/>
        </w:rPr>
        <w:t xml:space="preserve">Choose an experiment. </w:t>
      </w:r>
      <w:r>
        <w:rPr>
          <w:rFonts w:ascii="Calibri" w:hAnsi="Calibri"/>
          <w:b w:val="0"/>
          <w:i w:val="0"/>
          <w:color w:val="172033"/>
          <w:sz w:val="22"/>
        </w:rPr>
        <w:t>Identify one concrete action that will create new evidence.</w:t>
      </w:r>
    </w:p>
    <w:p>
      <w:pPr>
        <w:widowControl/>
        <w:numPr>
          <w:ilvl w:val="0"/>
          <w:numId w:val="13"/>
        </w:numPr>
      </w:pPr>
      <w:r>
        <w:rPr>
          <w:rFonts w:ascii="Calibri" w:hAnsi="Calibri"/>
          <w:b/>
          <w:i w:val="0"/>
          <w:color w:val="172033"/>
          <w:sz w:val="22"/>
        </w:rPr>
        <w:t xml:space="preserve">Document ownership. </w:t>
      </w:r>
      <w:r>
        <w:rPr>
          <w:rFonts w:ascii="Calibri" w:hAnsi="Calibri"/>
          <w:b w:val="0"/>
          <w:i w:val="0"/>
          <w:color w:val="172033"/>
          <w:sz w:val="22"/>
        </w:rPr>
        <w:t>The student records the next step, deadline and person who can help.</w:t>
      </w:r>
    </w:p>
    <w:p>
      <w:pPr>
        <w:pStyle w:val="Heading2"/>
        <w:keepNext/>
        <w:widowControl/>
      </w:pPr>
      <w:r>
        <w:rPr>
          <w:rFonts w:ascii="Calibri" w:hAnsi="Calibri"/>
          <w:b w:val="0"/>
          <w:i w:val="0"/>
          <w:color w:val="172033"/>
          <w:sz w:val="28"/>
        </w:rPr>
        <w:t>After the meeting</w:t>
      </w:r>
    </w:p>
    <w:p>
      <w:pPr>
        <w:widowControl/>
        <w:numPr>
          <w:ilvl w:val="0"/>
          <w:numId w:val="10"/>
        </w:numPr>
      </w:pPr>
      <w:r>
        <w:rPr>
          <w:rFonts w:ascii="Calibri" w:hAnsi="Calibri"/>
          <w:b w:val="0"/>
          <w:i w:val="0"/>
          <w:color w:val="172033"/>
          <w:sz w:val="22"/>
        </w:rPr>
        <w:t>Send or save a short summary in student-friendly language.</w:t>
      </w:r>
    </w:p>
    <w:p>
      <w:pPr>
        <w:widowControl/>
        <w:numPr>
          <w:ilvl w:val="0"/>
          <w:numId w:val="10"/>
        </w:numPr>
      </w:pPr>
      <w:r>
        <w:rPr>
          <w:rFonts w:ascii="Calibri" w:hAnsi="Calibri"/>
          <w:b w:val="0"/>
          <w:i w:val="0"/>
          <w:color w:val="172033"/>
          <w:sz w:val="22"/>
        </w:rPr>
        <w:t>Share only the appropriate information with families or staff under school policy.</w:t>
      </w:r>
    </w:p>
    <w:p>
      <w:pPr>
        <w:widowControl/>
        <w:numPr>
          <w:ilvl w:val="0"/>
          <w:numId w:val="10"/>
        </w:numPr>
      </w:pPr>
      <w:r>
        <w:rPr>
          <w:rFonts w:ascii="Calibri" w:hAnsi="Calibri"/>
          <w:b w:val="0"/>
          <w:i w:val="0"/>
          <w:color w:val="172033"/>
          <w:sz w:val="22"/>
        </w:rPr>
        <w:t>Set a follow-up date tied to an action, not merely the passage of time.</w:t>
      </w:r>
    </w:p>
    <w:p>
      <w:pPr>
        <w:widowControl/>
        <w:numPr>
          <w:ilvl w:val="0"/>
          <w:numId w:val="10"/>
        </w:numPr>
      </w:pPr>
      <w:r>
        <w:rPr>
          <w:rFonts w:ascii="Calibri" w:hAnsi="Calibri"/>
          <w:b w:val="0"/>
          <w:i w:val="0"/>
          <w:color w:val="172033"/>
          <w:sz w:val="22"/>
        </w:rPr>
        <w:t>Escalate concerns outside career guidance—academic, mental health, safety or disability needs—to qualified staff and existing school processes.</w:t>
      </w:r>
    </w:p>
    <w:tbl>
      <w:tblPr>
        <w:tblW w:type="dxa" w:w="9360"/>
        <w:jc w:val="left"/>
        <w:tblLayout w:type="fixed"/>
        <w:tblLook w:firstColumn="1" w:firstRow="1" w:lastColumn="0" w:lastRow="0" w:noHBand="0" w:noVBand="1" w:val="04A0"/>
        <w:tblInd w:w="120" w:type="dxa"/>
        <w:tblBorders>
          <w:top w:val="single" w:sz="8" w:space="0" w:color="159B64"/>
          <w:left w:val="single" w:sz="8" w:space="0" w:color="159B64"/>
          <w:bottom w:val="single" w:sz="8" w:space="0" w:color="159B64"/>
          <w:right w:val="single" w:sz="8" w:space="0" w:color="159B64"/>
          <w:insideH w:val="single" w:sz="8" w:space="0" w:color="159B64"/>
          <w:insideV w:val="single" w:sz="8" w:space="0" w:color="159B64"/>
        </w:tblBorders>
      </w:tblPr>
      <w:tblGrid>
        <w:gridCol w:w="9360"/>
      </w:tblGrid>
      <w:tr>
        <w:tc>
          <w:tcPr>
            <w:tcW w:type="dxa" w:w="9360"/>
            <w:tcMar>
              <w:top w:w="100" w:type="dxa"/>
              <w:start w:w="140" w:type="dxa"/>
              <w:bottom w:w="100" w:type="dxa"/>
              <w:end w:w="140" w:type="dxa"/>
            </w:tcMar>
            <w:vAlign w:val="center"/>
            <w:shd w:fill="EAF7F1"/>
          </w:tcPr>
          <w:p>
            <w:pPr>
              <w:spacing w:after="60"/>
            </w:pPr>
            <w:r>
              <w:rPr>
                <w:rFonts w:ascii="Calibri" w:hAnsi="Calibri"/>
                <w:b/>
                <w:i w:val="0"/>
                <w:color w:val="0B1F3A"/>
                <w:sz w:val="20"/>
              </w:rPr>
              <w:t xml:space="preserve">COUNSELOR ROLE  </w:t>
            </w:r>
            <w:r>
              <w:rPr>
                <w:rFonts w:ascii="Calibri" w:hAnsi="Calibri"/>
                <w:b w:val="0"/>
                <w:i w:val="0"/>
                <w:color w:val="172033"/>
                <w:sz w:val="20"/>
              </w:rPr>
              <w:t>AI can summarize, suggest and draft. The counselor interprets context, challenges assumptions, attends to culture and family dynamics, protects confidentiality, recognizes risk and helps the student make an ethical, realistic decision.</w:t>
            </w:r>
          </w:p>
        </w:tc>
      </w:tr>
    </w:tbl>
    <w:p>
      <w:pPr>
        <w:widowControl/>
        <w:spacing w:after="20"/>
      </w:pPr>
    </w:p>
    <w:p>
      <w:pPr>
        <w:pStyle w:val="Heading1"/>
        <w:keepNext/>
        <w:widowControl/>
      </w:pPr>
      <w:r>
        <w:rPr>
          <w:rFonts w:ascii="Calibri" w:hAnsi="Calibri"/>
          <w:b w:val="0"/>
          <w:i w:val="0"/>
          <w:color w:val="172033"/>
          <w:sz w:val="36"/>
        </w:rPr>
        <w:t>8. Using MAPP for College and Major Planning</w:t>
      </w:r>
    </w:p>
    <w:p>
      <w:pPr>
        <w:widowControl/>
      </w:pPr>
      <w:r>
        <w:rPr>
          <w:rFonts w:ascii="Calibri" w:hAnsi="Calibri"/>
          <w:b w:val="0"/>
          <w:i w:val="0"/>
          <w:color w:val="172033"/>
          <w:sz w:val="21"/>
        </w:rPr>
        <w:t>MAPP can make college research more purposeful by connecting a student’s motivations with fields of study and the kinds of work those fields may support. It cannot determine whether a college will admit the student or whether the student can afford it. Those questions require separate evidence.</w:t>
      </w:r>
    </w:p>
    <w:p>
      <w:pPr>
        <w:pStyle w:val="Heading2"/>
        <w:keepNext/>
        <w:widowControl/>
      </w:pPr>
      <w:r>
        <w:rPr>
          <w:rFonts w:ascii="Calibri" w:hAnsi="Calibri"/>
          <w:b w:val="0"/>
          <w:i w:val="0"/>
          <w:color w:val="172033"/>
          <w:sz w:val="28"/>
        </w:rPr>
        <w:t>The six-lens college and pathway decision</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700"/>
        <w:gridCol w:w="3300"/>
        <w:gridCol w:w="4360"/>
      </w:tblGrid>
      <w:tr>
        <w:trPr>
          <w:tblHeader w:val="true"/>
          <w:cantSplit/>
        </w:trPr>
        <w:tc>
          <w:tcPr>
            <w:tcW w:type="dxa" w:w="1700"/>
            <w:tcMar>
              <w:top w:w="100" w:type="dxa"/>
              <w:start w:w="140" w:type="dxa"/>
              <w:bottom w:w="100" w:type="dxa"/>
              <w:end w:w="140" w:type="dxa"/>
            </w:tcMar>
            <w:vAlign w:val="center"/>
            <w:shd w:fill="2E6BE6"/>
          </w:tcPr>
          <w:p>
            <w:pPr>
              <w:spacing w:after="0"/>
              <w:jc w:val="left"/>
            </w:pPr>
            <w:r>
              <w:rPr>
                <w:rFonts w:ascii="Calibri" w:hAnsi="Calibri"/>
                <w:b/>
                <w:i w:val="0"/>
                <w:color w:val="FFFFFF"/>
                <w:sz w:val="18"/>
              </w:rPr>
              <w:t>Lens</w:t>
            </w:r>
          </w:p>
        </w:tc>
        <w:tc>
          <w:tcPr>
            <w:tcW w:type="dxa" w:w="3300"/>
            <w:tcMar>
              <w:top w:w="100" w:type="dxa"/>
              <w:start w:w="140" w:type="dxa"/>
              <w:bottom w:w="100" w:type="dxa"/>
              <w:end w:w="140" w:type="dxa"/>
            </w:tcMar>
            <w:vAlign w:val="center"/>
            <w:shd w:fill="2E6BE6"/>
          </w:tcPr>
          <w:p>
            <w:pPr>
              <w:spacing w:after="0"/>
              <w:jc w:val="left"/>
            </w:pPr>
            <w:r>
              <w:rPr>
                <w:rFonts w:ascii="Calibri" w:hAnsi="Calibri"/>
                <w:b/>
                <w:i w:val="0"/>
                <w:color w:val="FFFFFF"/>
                <w:sz w:val="18"/>
              </w:rPr>
              <w:t>Key question</w:t>
            </w:r>
          </w:p>
        </w:tc>
        <w:tc>
          <w:tcPr>
            <w:tcW w:type="dxa" w:w="4360"/>
            <w:tcMar>
              <w:top w:w="100" w:type="dxa"/>
              <w:start w:w="140" w:type="dxa"/>
              <w:bottom w:w="100" w:type="dxa"/>
              <w:end w:w="140" w:type="dxa"/>
            </w:tcMar>
            <w:vAlign w:val="center"/>
            <w:shd w:fill="2E6BE6"/>
          </w:tcPr>
          <w:p>
            <w:pPr>
              <w:spacing w:after="0"/>
              <w:jc w:val="left"/>
            </w:pPr>
            <w:r>
              <w:rPr>
                <w:rFonts w:ascii="Calibri" w:hAnsi="Calibri"/>
                <w:b/>
                <w:i w:val="0"/>
                <w:color w:val="FFFFFF"/>
                <w:sz w:val="18"/>
              </w:rPr>
              <w:t>Evidence</w:t>
            </w:r>
          </w:p>
        </w:tc>
      </w:tr>
      <w:tr>
        <w:trPr>
          <w:cantSplit/>
        </w:trPr>
        <w:tc>
          <w:tcPr>
            <w:tcW w:type="dxa" w:w="1700"/>
            <w:tcMar>
              <w:top w:w="100" w:type="dxa"/>
              <w:start w:w="140" w:type="dxa"/>
              <w:bottom w:w="100" w:type="dxa"/>
              <w:end w:w="140" w:type="dxa"/>
            </w:tcMar>
            <w:vAlign w:val="center"/>
          </w:tcPr>
          <w:p>
            <w:pPr>
              <w:spacing w:after="0" w:line="264" w:lineRule="auto"/>
            </w:pPr>
            <w:r>
              <w:rPr>
                <w:rFonts w:ascii="Calibri" w:hAnsi="Calibri"/>
                <w:b w:val="0"/>
                <w:i w:val="0"/>
                <w:color w:val="172033"/>
                <w:sz w:val="16"/>
              </w:rPr>
              <w:t>Motivational fit</w:t>
            </w:r>
          </w:p>
        </w:tc>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6"/>
              </w:rPr>
              <w:t>Do the likely activities, environments and outcomes align with the student’s preferences?</w:t>
            </w:r>
          </w:p>
        </w:tc>
        <w:tc>
          <w:tcPr>
            <w:tcW w:type="dxa" w:w="4360"/>
            <w:tcMar>
              <w:top w:w="100" w:type="dxa"/>
              <w:start w:w="140" w:type="dxa"/>
              <w:bottom w:w="100" w:type="dxa"/>
              <w:end w:w="140" w:type="dxa"/>
            </w:tcMar>
            <w:vAlign w:val="center"/>
          </w:tcPr>
          <w:p>
            <w:pPr>
              <w:spacing w:after="0" w:line="264" w:lineRule="auto"/>
            </w:pPr>
            <w:r>
              <w:rPr>
                <w:rFonts w:ascii="Calibri" w:hAnsi="Calibri"/>
                <w:b w:val="0"/>
                <w:i w:val="0"/>
                <w:color w:val="172033"/>
                <w:sz w:val="16"/>
              </w:rPr>
              <w:t>MAPP, reflection, experiences</w:t>
            </w:r>
          </w:p>
        </w:tc>
      </w:tr>
      <w:tr>
        <w:trPr>
          <w:cantSplit/>
        </w:trPr>
        <w:tc>
          <w:tcPr>
            <w:tcW w:type="dxa" w:w="17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Academic fit</w:t>
            </w:r>
          </w:p>
        </w:tc>
        <w:tc>
          <w:tcPr>
            <w:tcW w:type="dxa" w:w="33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Is the student prepared for the coursework and prerequisites?</w:t>
            </w:r>
          </w:p>
        </w:tc>
        <w:tc>
          <w:tcPr>
            <w:tcW w:type="dxa" w:w="43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Transcript, course rigor, grades, skills, teacher input</w:t>
            </w:r>
          </w:p>
        </w:tc>
      </w:tr>
      <w:tr>
        <w:trPr>
          <w:cantSplit/>
        </w:trPr>
        <w:tc>
          <w:tcPr>
            <w:tcW w:type="dxa" w:w="1700"/>
            <w:tcMar>
              <w:top w:w="100" w:type="dxa"/>
              <w:start w:w="140" w:type="dxa"/>
              <w:bottom w:w="100" w:type="dxa"/>
              <w:end w:w="140" w:type="dxa"/>
            </w:tcMar>
            <w:vAlign w:val="center"/>
          </w:tcPr>
          <w:p>
            <w:pPr>
              <w:spacing w:after="0" w:line="264" w:lineRule="auto"/>
            </w:pPr>
            <w:r>
              <w:rPr>
                <w:rFonts w:ascii="Calibri" w:hAnsi="Calibri"/>
                <w:b w:val="0"/>
                <w:i w:val="0"/>
                <w:color w:val="172033"/>
                <w:sz w:val="16"/>
              </w:rPr>
              <w:t>Admissions likelihood</w:t>
            </w:r>
          </w:p>
        </w:tc>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6"/>
              </w:rPr>
              <w:t>How does the student compare with published entry expectations?</w:t>
            </w:r>
          </w:p>
        </w:tc>
        <w:tc>
          <w:tcPr>
            <w:tcW w:type="dxa" w:w="4360"/>
            <w:tcMar>
              <w:top w:w="100" w:type="dxa"/>
              <w:start w:w="140" w:type="dxa"/>
              <w:bottom w:w="100" w:type="dxa"/>
              <w:end w:w="140" w:type="dxa"/>
            </w:tcMar>
            <w:vAlign w:val="center"/>
          </w:tcPr>
          <w:p>
            <w:pPr>
              <w:spacing w:after="0" w:line="264" w:lineRule="auto"/>
            </w:pPr>
            <w:r>
              <w:rPr>
                <w:rFonts w:ascii="Calibri" w:hAnsi="Calibri"/>
                <w:b w:val="0"/>
                <w:i w:val="0"/>
                <w:color w:val="172033"/>
                <w:sz w:val="16"/>
              </w:rPr>
              <w:t>Institution data, school counseling analysis; not MAPP</w:t>
            </w:r>
          </w:p>
        </w:tc>
      </w:tr>
      <w:tr>
        <w:trPr>
          <w:cantSplit/>
        </w:trPr>
        <w:tc>
          <w:tcPr>
            <w:tcW w:type="dxa" w:w="17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Affordability</w:t>
            </w:r>
          </w:p>
        </w:tc>
        <w:tc>
          <w:tcPr>
            <w:tcW w:type="dxa" w:w="33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What is the probable net cost and debt burden?</w:t>
            </w:r>
          </w:p>
        </w:tc>
        <w:tc>
          <w:tcPr>
            <w:tcW w:type="dxa" w:w="43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Net price, aid offers, family resources, College Scorecard</w:t>
            </w:r>
          </w:p>
        </w:tc>
      </w:tr>
      <w:tr>
        <w:trPr>
          <w:cantSplit/>
        </w:trPr>
        <w:tc>
          <w:tcPr>
            <w:tcW w:type="dxa" w:w="1700"/>
            <w:tcMar>
              <w:top w:w="100" w:type="dxa"/>
              <w:start w:w="140" w:type="dxa"/>
              <w:bottom w:w="100" w:type="dxa"/>
              <w:end w:w="140" w:type="dxa"/>
            </w:tcMar>
            <w:vAlign w:val="center"/>
          </w:tcPr>
          <w:p>
            <w:pPr>
              <w:spacing w:after="0" w:line="264" w:lineRule="auto"/>
            </w:pPr>
            <w:r>
              <w:rPr>
                <w:rFonts w:ascii="Calibri" w:hAnsi="Calibri"/>
                <w:b w:val="0"/>
                <w:i w:val="0"/>
                <w:color w:val="172033"/>
                <w:sz w:val="16"/>
              </w:rPr>
              <w:t>Environment and support</w:t>
            </w:r>
          </w:p>
        </w:tc>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6"/>
              </w:rPr>
              <w:t>Will the setting, delivery mode, size, culture and services support success?</w:t>
            </w:r>
          </w:p>
        </w:tc>
        <w:tc>
          <w:tcPr>
            <w:tcW w:type="dxa" w:w="4360"/>
            <w:tcMar>
              <w:top w:w="100" w:type="dxa"/>
              <w:start w:w="140" w:type="dxa"/>
              <w:bottom w:w="100" w:type="dxa"/>
              <w:end w:w="140" w:type="dxa"/>
            </w:tcMar>
            <w:vAlign w:val="center"/>
          </w:tcPr>
          <w:p>
            <w:pPr>
              <w:spacing w:after="0" w:line="264" w:lineRule="auto"/>
            </w:pPr>
            <w:r>
              <w:rPr>
                <w:rFonts w:ascii="Calibri" w:hAnsi="Calibri"/>
                <w:b w:val="0"/>
                <w:i w:val="0"/>
                <w:color w:val="172033"/>
                <w:sz w:val="16"/>
              </w:rPr>
              <w:t>Visits, program details, support services, student preferences</w:t>
            </w:r>
          </w:p>
        </w:tc>
      </w:tr>
      <w:tr>
        <w:trPr>
          <w:cantSplit/>
        </w:trPr>
        <w:tc>
          <w:tcPr>
            <w:tcW w:type="dxa" w:w="17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Outcomes and flexibility</w:t>
            </w:r>
          </w:p>
        </w:tc>
        <w:tc>
          <w:tcPr>
            <w:tcW w:type="dxa" w:w="33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Do completion, transfer, licensing and career outcomes support the student’s goals?</w:t>
            </w:r>
          </w:p>
        </w:tc>
        <w:tc>
          <w:tcPr>
            <w:tcW w:type="dxa" w:w="43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Graduation/retention, field outcomes, accreditation, pathways</w:t>
            </w:r>
          </w:p>
        </w:tc>
      </w:tr>
    </w:tbl>
    <w:p>
      <w:pPr>
        <w:widowControl/>
        <w:spacing w:after="20"/>
      </w:pPr>
    </w:p>
    <w:p>
      <w:pPr>
        <w:pStyle w:val="Heading2"/>
        <w:keepNext/>
        <w:widowControl/>
      </w:pPr>
      <w:r>
        <w:rPr>
          <w:rFonts w:ascii="Calibri" w:hAnsi="Calibri"/>
          <w:b w:val="0"/>
          <w:i w:val="0"/>
          <w:color w:val="172033"/>
          <w:sz w:val="28"/>
        </w:rPr>
        <w:t>A major-selection workflow</w:t>
      </w:r>
    </w:p>
    <w:p>
      <w:pPr>
        <w:widowControl/>
        <w:numPr>
          <w:ilvl w:val="0"/>
          <w:numId w:val="14"/>
        </w:numPr>
      </w:pPr>
      <w:r>
        <w:rPr>
          <w:rFonts w:ascii="Calibri" w:hAnsi="Calibri"/>
          <w:b/>
          <w:i w:val="0"/>
          <w:color w:val="172033"/>
          <w:sz w:val="22"/>
        </w:rPr>
        <w:t xml:space="preserve">Start with careers and activities. </w:t>
      </w:r>
      <w:r>
        <w:rPr>
          <w:rFonts w:ascii="Calibri" w:hAnsi="Calibri"/>
          <w:b w:val="0"/>
          <w:i w:val="0"/>
          <w:color w:val="172033"/>
          <w:sz w:val="22"/>
        </w:rPr>
        <w:t>Identify several roles or career families whose work content appears promising.</w:t>
      </w:r>
    </w:p>
    <w:p>
      <w:pPr>
        <w:widowControl/>
        <w:numPr>
          <w:ilvl w:val="0"/>
          <w:numId w:val="14"/>
        </w:numPr>
      </w:pPr>
      <w:r>
        <w:rPr>
          <w:rFonts w:ascii="Calibri" w:hAnsi="Calibri"/>
          <w:b/>
          <w:i w:val="0"/>
          <w:color w:val="172033"/>
          <w:sz w:val="22"/>
        </w:rPr>
        <w:t xml:space="preserve">Identify related fields of study. </w:t>
      </w:r>
      <w:r>
        <w:rPr>
          <w:rFonts w:ascii="Calibri" w:hAnsi="Calibri"/>
          <w:b w:val="0"/>
          <w:i w:val="0"/>
          <w:color w:val="172033"/>
          <w:sz w:val="22"/>
        </w:rPr>
        <w:t>Use the platform’s career-to-major and education pathways rather than relying on one major name.</w:t>
      </w:r>
    </w:p>
    <w:p>
      <w:pPr>
        <w:widowControl/>
        <w:numPr>
          <w:ilvl w:val="0"/>
          <w:numId w:val="14"/>
        </w:numPr>
      </w:pPr>
      <w:r>
        <w:rPr>
          <w:rFonts w:ascii="Calibri" w:hAnsi="Calibri"/>
          <w:b/>
          <w:i w:val="0"/>
          <w:color w:val="172033"/>
          <w:sz w:val="22"/>
        </w:rPr>
        <w:t xml:space="preserve">Compare curriculum. </w:t>
      </w:r>
      <w:r>
        <w:rPr>
          <w:rFonts w:ascii="Calibri" w:hAnsi="Calibri"/>
          <w:b w:val="0"/>
          <w:i w:val="0"/>
          <w:color w:val="172033"/>
          <w:sz w:val="22"/>
        </w:rPr>
        <w:t>Review actual required courses, concentrations, experiential learning and gateway requirements.</w:t>
      </w:r>
    </w:p>
    <w:p>
      <w:pPr>
        <w:widowControl/>
        <w:numPr>
          <w:ilvl w:val="0"/>
          <w:numId w:val="14"/>
        </w:numPr>
      </w:pPr>
      <w:r>
        <w:rPr>
          <w:rFonts w:ascii="Calibri" w:hAnsi="Calibri"/>
          <w:b/>
          <w:i w:val="0"/>
          <w:color w:val="172033"/>
          <w:sz w:val="22"/>
        </w:rPr>
        <w:t xml:space="preserve">Compare institutions and formats. </w:t>
      </w:r>
      <w:r>
        <w:rPr>
          <w:rFonts w:ascii="Calibri" w:hAnsi="Calibri"/>
          <w:b w:val="0"/>
          <w:i w:val="0"/>
          <w:color w:val="172033"/>
          <w:sz w:val="22"/>
        </w:rPr>
        <w:t>Use College Scorecard-linked information such as cost, graduation, institution type and delivery, then add school-specific academic and support details.</w:t>
      </w:r>
    </w:p>
    <w:p>
      <w:pPr>
        <w:widowControl/>
        <w:numPr>
          <w:ilvl w:val="0"/>
          <w:numId w:val="14"/>
        </w:numPr>
      </w:pPr>
      <w:r>
        <w:rPr>
          <w:rFonts w:ascii="Calibri" w:hAnsi="Calibri"/>
          <w:b/>
          <w:i w:val="0"/>
          <w:color w:val="172033"/>
          <w:sz w:val="22"/>
        </w:rPr>
        <w:t xml:space="preserve">Stress-test the choice. </w:t>
      </w:r>
      <w:r>
        <w:rPr>
          <w:rFonts w:ascii="Calibri" w:hAnsi="Calibri"/>
          <w:b w:val="0"/>
          <w:i w:val="0"/>
          <w:color w:val="172033"/>
          <w:sz w:val="22"/>
        </w:rPr>
        <w:t>Ask whether the major remains worthwhile if the first-choice occupation changes.</w:t>
      </w:r>
    </w:p>
    <w:p>
      <w:pPr>
        <w:widowControl/>
        <w:numPr>
          <w:ilvl w:val="0"/>
          <w:numId w:val="14"/>
        </w:numPr>
      </w:pPr>
      <w:r>
        <w:rPr>
          <w:rFonts w:ascii="Calibri" w:hAnsi="Calibri"/>
          <w:b/>
          <w:i w:val="0"/>
          <w:color w:val="172033"/>
          <w:sz w:val="22"/>
        </w:rPr>
        <w:t xml:space="preserve">Build alternatives. </w:t>
      </w:r>
      <w:r>
        <w:rPr>
          <w:rFonts w:ascii="Calibri" w:hAnsi="Calibri"/>
          <w:b w:val="0"/>
          <w:i w:val="0"/>
          <w:color w:val="172033"/>
          <w:sz w:val="22"/>
        </w:rPr>
        <w:t>Consider minors, double majors, certificates, community-college transfer, apprenticeships or related fields.</w:t>
      </w:r>
    </w:p>
    <w:p>
      <w:pPr>
        <w:pStyle w:val="Heading2"/>
        <w:keepNext/>
        <w:widowControl/>
      </w:pPr>
      <w:r>
        <w:rPr>
          <w:rFonts w:ascii="Calibri" w:hAnsi="Calibri"/>
          <w:b w:val="0"/>
          <w:i w:val="0"/>
          <w:color w:val="172033"/>
          <w:sz w:val="28"/>
        </w:rPr>
        <w:t>College Scorecard context</w:t>
      </w:r>
    </w:p>
    <w:p>
      <w:pPr>
        <w:widowControl/>
      </w:pPr>
      <w:r>
        <w:rPr>
          <w:rFonts w:ascii="Calibri" w:hAnsi="Calibri"/>
          <w:b w:val="0"/>
          <w:i w:val="0"/>
          <w:color w:val="172033"/>
          <w:sz w:val="21"/>
        </w:rPr>
        <w:t>The U.S. Department of Education describes College Scorecard as a tool for comparing cost, graduation, debt and earnings information. Its data are valuable but still require interpretation: averages may not describe a particular student, program-level data may be suppressed for small groups and financial-aid offers are more specific than published averages.[6]</w:t>
      </w:r>
    </w:p>
    <w:p>
      <w:pPr>
        <w:pStyle w:val="Heading2"/>
        <w:keepNext/>
        <w:widowControl/>
      </w:pPr>
      <w:r>
        <w:rPr>
          <w:rFonts w:ascii="Calibri" w:hAnsi="Calibri"/>
          <w:b w:val="0"/>
          <w:i w:val="0"/>
          <w:color w:val="172033"/>
          <w:sz w:val="28"/>
        </w:rPr>
        <w:t>College admissions boundaries</w:t>
      </w:r>
    </w:p>
    <w:p>
      <w:pPr>
        <w:widowControl/>
        <w:numPr>
          <w:ilvl w:val="0"/>
          <w:numId w:val="10"/>
        </w:numPr>
      </w:pPr>
      <w:r>
        <w:rPr>
          <w:rFonts w:ascii="Calibri" w:hAnsi="Calibri"/>
          <w:b w:val="0"/>
          <w:i w:val="0"/>
          <w:color w:val="172033"/>
          <w:sz w:val="22"/>
        </w:rPr>
        <w:t>Do not label an institution “best fit” from MAPP alone.</w:t>
      </w:r>
    </w:p>
    <w:p>
      <w:pPr>
        <w:widowControl/>
        <w:numPr>
          <w:ilvl w:val="0"/>
          <w:numId w:val="10"/>
        </w:numPr>
      </w:pPr>
      <w:r>
        <w:rPr>
          <w:rFonts w:ascii="Calibri" w:hAnsi="Calibri"/>
          <w:b w:val="0"/>
          <w:i w:val="0"/>
          <w:color w:val="172033"/>
          <w:sz w:val="22"/>
        </w:rPr>
        <w:t>Do not convert a career match score into a major or college ranking.</w:t>
      </w:r>
    </w:p>
    <w:p>
      <w:pPr>
        <w:widowControl/>
        <w:numPr>
          <w:ilvl w:val="0"/>
          <w:numId w:val="10"/>
        </w:numPr>
      </w:pPr>
      <w:r>
        <w:rPr>
          <w:rFonts w:ascii="Calibri" w:hAnsi="Calibri"/>
          <w:b w:val="0"/>
          <w:i w:val="0"/>
          <w:color w:val="172033"/>
          <w:sz w:val="22"/>
        </w:rPr>
        <w:t>Build reach/target/likely categories from current admissions evidence, not motivation data.</w:t>
      </w:r>
    </w:p>
    <w:p>
      <w:pPr>
        <w:widowControl/>
        <w:numPr>
          <w:ilvl w:val="0"/>
          <w:numId w:val="10"/>
        </w:numPr>
      </w:pPr>
      <w:r>
        <w:rPr>
          <w:rFonts w:ascii="Calibri" w:hAnsi="Calibri"/>
          <w:b w:val="0"/>
          <w:i w:val="0"/>
          <w:color w:val="172033"/>
          <w:sz w:val="22"/>
        </w:rPr>
        <w:t>Keep the student’s welfare and agency central; NACAC describes advocacy for the student’s best interest as the primary ethical concern in admission work.[7]</w:t>
      </w:r>
    </w:p>
    <w:p>
      <w:pPr>
        <w:widowControl/>
        <w:numPr>
          <w:ilvl w:val="0"/>
          <w:numId w:val="10"/>
        </w:numPr>
      </w:pPr>
      <w:r>
        <w:rPr>
          <w:rFonts w:ascii="Calibri" w:hAnsi="Calibri"/>
          <w:b w:val="0"/>
          <w:i w:val="0"/>
          <w:color w:val="172033"/>
          <w:sz w:val="22"/>
        </w:rPr>
        <w:t>Use AI drafts for brainstorming and organization, never to fabricate a student voice, experience or accomplishment.</w:t>
      </w:r>
    </w:p>
    <w:p>
      <w:pPr>
        <w:pStyle w:val="Heading1"/>
        <w:keepNext/>
        <w:widowControl/>
      </w:pPr>
      <w:r>
        <w:rPr>
          <w:rFonts w:ascii="Calibri" w:hAnsi="Calibri"/>
          <w:b w:val="0"/>
          <w:i w:val="0"/>
          <w:color w:val="172033"/>
          <w:sz w:val="36"/>
        </w:rPr>
        <w:t>9. Career, CTE, Work-Based Learning and Live Jobs</w:t>
      </w:r>
    </w:p>
    <w:p>
      <w:pPr>
        <w:widowControl/>
      </w:pPr>
      <w:r>
        <w:rPr>
          <w:rFonts w:ascii="Calibri" w:hAnsi="Calibri"/>
          <w:b w:val="0"/>
          <w:i w:val="0"/>
          <w:color w:val="172033"/>
          <w:sz w:val="21"/>
        </w:rPr>
        <w:t>Career exploration becomes more credible when students connect preferences with what workers actually do and what employers actually request. The platform’s O*NET, Occupational Outlook Handbook, live job and education connections support this movement from abstract fit to real-world evidence.</w:t>
      </w:r>
    </w:p>
    <w:p>
      <w:pPr>
        <w:pStyle w:val="Heading2"/>
        <w:keepNext/>
        <w:widowControl/>
      </w:pPr>
      <w:r>
        <w:rPr>
          <w:rFonts w:ascii="Calibri" w:hAnsi="Calibri"/>
          <w:b w:val="0"/>
          <w:i w:val="0"/>
          <w:color w:val="172033"/>
          <w:sz w:val="28"/>
        </w:rPr>
        <w:t>Using O*NET and the Occupational Outlook Handbook</w:t>
      </w:r>
    </w:p>
    <w:p>
      <w:pPr>
        <w:widowControl/>
      </w:pPr>
      <w:r>
        <w:rPr>
          <w:rFonts w:ascii="Calibri" w:hAnsi="Calibri"/>
          <w:b w:val="0"/>
          <w:i w:val="0"/>
          <w:color w:val="172033"/>
          <w:sz w:val="21"/>
        </w:rPr>
        <w:t>O*NET organizes information about workers and jobs, including interests, abilities, work styles, skills, knowledge, education, tasks, work context and labor-market information. The BLS Occupational Outlook Handbook provides standardized profiles covering duties, work environment, education and training, pay, outlook and related occupations.[8][9]</w:t>
      </w:r>
    </w:p>
    <w:p>
      <w:pPr>
        <w:pStyle w:val="Heading2"/>
        <w:keepNext/>
        <w:widowControl/>
      </w:pPr>
      <w:r>
        <w:rPr>
          <w:rFonts w:ascii="Calibri" w:hAnsi="Calibri"/>
          <w:b w:val="0"/>
          <w:i w:val="0"/>
          <w:color w:val="172033"/>
          <w:sz w:val="28"/>
        </w:rPr>
        <w:t>A five-question career comparison</w:t>
      </w:r>
    </w:p>
    <w:p>
      <w:pPr>
        <w:widowControl/>
        <w:numPr>
          <w:ilvl w:val="0"/>
          <w:numId w:val="15"/>
        </w:numPr>
      </w:pPr>
      <w:r>
        <w:rPr>
          <w:rFonts w:ascii="Calibri" w:hAnsi="Calibri"/>
          <w:b w:val="0"/>
          <w:i w:val="0"/>
          <w:color w:val="172033"/>
          <w:sz w:val="22"/>
        </w:rPr>
        <w:t>Which daily tasks align with the student’s strongest motivations?</w:t>
      </w:r>
    </w:p>
    <w:p>
      <w:pPr>
        <w:widowControl/>
        <w:numPr>
          <w:ilvl w:val="0"/>
          <w:numId w:val="15"/>
        </w:numPr>
      </w:pPr>
      <w:r>
        <w:rPr>
          <w:rFonts w:ascii="Calibri" w:hAnsi="Calibri"/>
          <w:b w:val="0"/>
          <w:i w:val="0"/>
          <w:color w:val="172033"/>
          <w:sz w:val="22"/>
        </w:rPr>
        <w:t>Which recurring tasks may create friction, and are they central or occasional?</w:t>
      </w:r>
    </w:p>
    <w:p>
      <w:pPr>
        <w:widowControl/>
        <w:numPr>
          <w:ilvl w:val="0"/>
          <w:numId w:val="15"/>
        </w:numPr>
      </w:pPr>
      <w:r>
        <w:rPr>
          <w:rFonts w:ascii="Calibri" w:hAnsi="Calibri"/>
          <w:b w:val="0"/>
          <w:i w:val="0"/>
          <w:color w:val="172033"/>
          <w:sz w:val="22"/>
        </w:rPr>
        <w:t>What education, credentials, skills and experience are actually required?</w:t>
      </w:r>
    </w:p>
    <w:p>
      <w:pPr>
        <w:widowControl/>
        <w:numPr>
          <w:ilvl w:val="0"/>
          <w:numId w:val="15"/>
        </w:numPr>
      </w:pPr>
      <w:r>
        <w:rPr>
          <w:rFonts w:ascii="Calibri" w:hAnsi="Calibri"/>
          <w:b w:val="0"/>
          <w:i w:val="0"/>
          <w:color w:val="172033"/>
          <w:sz w:val="22"/>
        </w:rPr>
        <w:t>What are the salary, outlook, geographic and work-environment realities?</w:t>
      </w:r>
    </w:p>
    <w:p>
      <w:pPr>
        <w:widowControl/>
        <w:numPr>
          <w:ilvl w:val="0"/>
          <w:numId w:val="15"/>
        </w:numPr>
      </w:pPr>
      <w:r>
        <w:rPr>
          <w:rFonts w:ascii="Calibri" w:hAnsi="Calibri"/>
          <w:b w:val="0"/>
          <w:i w:val="0"/>
          <w:color w:val="172033"/>
          <w:sz w:val="22"/>
        </w:rPr>
        <w:t>What low-risk experience could help the student test the hypothesis?</w:t>
      </w:r>
    </w:p>
    <w:p>
      <w:pPr>
        <w:pStyle w:val="Heading2"/>
        <w:keepNext/>
        <w:widowControl/>
      </w:pPr>
      <w:r>
        <w:rPr>
          <w:rFonts w:ascii="Calibri" w:hAnsi="Calibri"/>
          <w:b w:val="0"/>
          <w:i w:val="0"/>
          <w:color w:val="172033"/>
          <w:sz w:val="28"/>
        </w:rPr>
        <w:t>Using live job listings with high school students</w:t>
      </w:r>
    </w:p>
    <w:p>
      <w:pPr>
        <w:widowControl/>
        <w:numPr>
          <w:ilvl w:val="0"/>
          <w:numId w:val="10"/>
        </w:numPr>
      </w:pPr>
      <w:r>
        <w:rPr>
          <w:rFonts w:ascii="Calibri" w:hAnsi="Calibri"/>
          <w:b w:val="0"/>
          <w:i w:val="0"/>
          <w:color w:val="172033"/>
          <w:sz w:val="22"/>
        </w:rPr>
        <w:t>Search several listings for the same occupation and identify recurring skills and credentials.</w:t>
      </w:r>
    </w:p>
    <w:p>
      <w:pPr>
        <w:widowControl/>
        <w:numPr>
          <w:ilvl w:val="0"/>
          <w:numId w:val="10"/>
        </w:numPr>
      </w:pPr>
      <w:r>
        <w:rPr>
          <w:rFonts w:ascii="Calibri" w:hAnsi="Calibri"/>
          <w:b w:val="0"/>
          <w:i w:val="0"/>
          <w:color w:val="172033"/>
          <w:sz w:val="22"/>
        </w:rPr>
        <w:t>Translate employer language into a high school action: course, software practice, certification, club role, project, portfolio item or work-based learning experience.</w:t>
      </w:r>
    </w:p>
    <w:p>
      <w:pPr>
        <w:widowControl/>
        <w:numPr>
          <w:ilvl w:val="0"/>
          <w:numId w:val="10"/>
        </w:numPr>
      </w:pPr>
      <w:r>
        <w:rPr>
          <w:rFonts w:ascii="Calibri" w:hAnsi="Calibri"/>
          <w:b w:val="0"/>
          <w:i w:val="0"/>
          <w:color w:val="172033"/>
          <w:sz w:val="22"/>
        </w:rPr>
        <w:t>Compare entry-level and experienced roles to understand progression.</w:t>
      </w:r>
    </w:p>
    <w:p>
      <w:pPr>
        <w:widowControl/>
        <w:numPr>
          <w:ilvl w:val="0"/>
          <w:numId w:val="10"/>
        </w:numPr>
      </w:pPr>
      <w:r>
        <w:rPr>
          <w:rFonts w:ascii="Calibri" w:hAnsi="Calibri"/>
          <w:b w:val="0"/>
          <w:i w:val="0"/>
          <w:color w:val="172033"/>
          <w:sz w:val="22"/>
        </w:rPr>
        <w:t>Discuss location, schedule, physical requirements, remote work and licensing—not only salary.</w:t>
      </w:r>
    </w:p>
    <w:p>
      <w:pPr>
        <w:widowControl/>
        <w:numPr>
          <w:ilvl w:val="0"/>
          <w:numId w:val="10"/>
        </w:numPr>
      </w:pPr>
      <w:r>
        <w:rPr>
          <w:rFonts w:ascii="Calibri" w:hAnsi="Calibri"/>
          <w:b w:val="0"/>
          <w:i w:val="0"/>
          <w:color w:val="172033"/>
          <w:sz w:val="22"/>
        </w:rPr>
        <w:t>Teach students that a listing is one employer’s request, not a universal definition of the career.</w:t>
      </w:r>
    </w:p>
    <w:p>
      <w:pPr>
        <w:pStyle w:val="Heading2"/>
        <w:keepNext/>
        <w:widowControl/>
      </w:pPr>
      <w:r>
        <w:rPr>
          <w:rFonts w:ascii="Calibri" w:hAnsi="Calibri"/>
          <w:b w:val="0"/>
          <w:i w:val="0"/>
          <w:color w:val="172033"/>
          <w:sz w:val="28"/>
        </w:rPr>
        <w:t>CTE and non-degree pathways</w:t>
      </w:r>
    </w:p>
    <w:p>
      <w:pPr>
        <w:widowControl/>
      </w:pPr>
      <w:r>
        <w:rPr>
          <w:rFonts w:ascii="Calibri" w:hAnsi="Calibri"/>
          <w:b w:val="0"/>
          <w:i w:val="0"/>
          <w:color w:val="172033"/>
          <w:sz w:val="21"/>
        </w:rPr>
        <w:t>Use MAPP to illuminate what may be attractive about a CTE or trade pathway—tangible output, precision, service, autonomy, technology, people contact or problem solving. Then evaluate prerequisites, safety, physical demands, certification, local labor demand, apprenticeship structure and advancement. ASCA’s career-development position emphasizes access to all postsecondary options, including CTE pathways.[10]</w:t>
      </w:r>
    </w:p>
    <w:p>
      <w:pPr>
        <w:pStyle w:val="Heading2"/>
        <w:keepNext/>
        <w:widowControl/>
      </w:pPr>
      <w:r>
        <w:rPr>
          <w:rFonts w:ascii="Calibri" w:hAnsi="Calibri"/>
          <w:b w:val="0"/>
          <w:i w:val="0"/>
          <w:color w:val="172033"/>
          <w:sz w:val="28"/>
        </w:rPr>
        <w:t>Using AI Risk Scores responsibly</w:t>
      </w:r>
    </w:p>
    <w:p>
      <w:pPr>
        <w:widowControl/>
        <w:numPr>
          <w:ilvl w:val="0"/>
          <w:numId w:val="10"/>
        </w:numPr>
      </w:pPr>
      <w:r>
        <w:rPr>
          <w:rFonts w:ascii="Calibri" w:hAnsi="Calibri"/>
          <w:b w:val="0"/>
          <w:i w:val="0"/>
          <w:color w:val="172033"/>
          <w:sz w:val="22"/>
        </w:rPr>
        <w:t>Treat the score as a discussion of task exposure, not a prediction that an occupation will disappear.</w:t>
      </w:r>
    </w:p>
    <w:p>
      <w:pPr>
        <w:widowControl/>
        <w:numPr>
          <w:ilvl w:val="0"/>
          <w:numId w:val="10"/>
        </w:numPr>
      </w:pPr>
      <w:r>
        <w:rPr>
          <w:rFonts w:ascii="Calibri" w:hAnsi="Calibri"/>
          <w:b w:val="0"/>
          <w:i w:val="0"/>
          <w:color w:val="172033"/>
          <w:sz w:val="22"/>
        </w:rPr>
        <w:t>Examine which tasks are likely to be automated, augmented or unchanged.</w:t>
      </w:r>
    </w:p>
    <w:p>
      <w:pPr>
        <w:widowControl/>
        <w:numPr>
          <w:ilvl w:val="0"/>
          <w:numId w:val="10"/>
        </w:numPr>
      </w:pPr>
      <w:r>
        <w:rPr>
          <w:rFonts w:ascii="Calibri" w:hAnsi="Calibri"/>
          <w:b w:val="0"/>
          <w:i w:val="0"/>
          <w:color w:val="172033"/>
          <w:sz w:val="22"/>
        </w:rPr>
        <w:t>Identify domain knowledge, judgment, communication, creativity, accountability and human-context skills that may remain valuable.</w:t>
      </w:r>
    </w:p>
    <w:p>
      <w:pPr>
        <w:widowControl/>
        <w:numPr>
          <w:ilvl w:val="0"/>
          <w:numId w:val="10"/>
        </w:numPr>
      </w:pPr>
      <w:r>
        <w:rPr>
          <w:rFonts w:ascii="Calibri" w:hAnsi="Calibri"/>
          <w:b w:val="0"/>
          <w:i w:val="0"/>
          <w:color w:val="172033"/>
          <w:sz w:val="22"/>
        </w:rPr>
        <w:t>Revisit scores and assumptions as technology and methods change.</w:t>
      </w:r>
    </w:p>
    <w:p>
      <w:pPr>
        <w:widowControl/>
        <w:numPr>
          <w:ilvl w:val="0"/>
          <w:numId w:val="10"/>
        </w:numPr>
      </w:pPr>
      <w:r>
        <w:rPr>
          <w:rFonts w:ascii="Calibri" w:hAnsi="Calibri"/>
          <w:b w:val="0"/>
          <w:i w:val="0"/>
          <w:color w:val="172033"/>
          <w:sz w:val="22"/>
        </w:rPr>
        <w:t>Never steer a student away from a career solely because of an AI Risk Score.</w:t>
      </w:r>
    </w:p>
    <w:p>
      <w:pPr>
        <w:pStyle w:val="Heading1"/>
        <w:keepNext/>
        <w:widowControl/>
      </w:pPr>
      <w:r>
        <w:rPr>
          <w:rFonts w:ascii="Calibri" w:hAnsi="Calibri"/>
          <w:b w:val="0"/>
          <w:i w:val="0"/>
          <w:color w:val="172033"/>
          <w:sz w:val="36"/>
        </w:rPr>
        <w:t>10. Engaging Parents and Guardians</w:t>
      </w:r>
    </w:p>
    <w:p>
      <w:pPr>
        <w:widowControl/>
      </w:pPr>
      <w:r>
        <w:rPr>
          <w:rFonts w:ascii="Calibri" w:hAnsi="Calibri"/>
          <w:b w:val="0"/>
          <w:i w:val="0"/>
          <w:color w:val="172033"/>
          <w:sz w:val="21"/>
        </w:rPr>
        <w:t>Family engagement is most productive when the report creates shared language rather than a contest over the “right” future. Families often hold important context about culture, finances, responsibilities, geography and the student’s history. Students must still have meaningful voice and ownership.</w:t>
      </w:r>
    </w:p>
    <w:p>
      <w:pPr>
        <w:pStyle w:val="Heading2"/>
        <w:keepNext/>
        <w:widowControl/>
      </w:pPr>
      <w:r>
        <w:rPr>
          <w:rFonts w:ascii="Calibri" w:hAnsi="Calibri"/>
          <w:b w:val="0"/>
          <w:i w:val="0"/>
          <w:color w:val="172033"/>
          <w:sz w:val="28"/>
        </w:rPr>
        <w:t>Recommended family communication sequence</w:t>
      </w:r>
    </w:p>
    <w:p>
      <w:pPr>
        <w:widowControl/>
        <w:numPr>
          <w:ilvl w:val="0"/>
          <w:numId w:val="16"/>
        </w:numPr>
      </w:pPr>
      <w:r>
        <w:rPr>
          <w:rFonts w:ascii="Calibri" w:hAnsi="Calibri"/>
          <w:b/>
          <w:i w:val="0"/>
          <w:color w:val="172033"/>
          <w:sz w:val="22"/>
        </w:rPr>
        <w:t xml:space="preserve">Before assessment. </w:t>
      </w:r>
      <w:r>
        <w:rPr>
          <w:rFonts w:ascii="Calibri" w:hAnsi="Calibri"/>
          <w:b w:val="0"/>
          <w:i w:val="0"/>
          <w:color w:val="172033"/>
          <w:sz w:val="22"/>
        </w:rPr>
        <w:t>Explain purpose, privacy, timing, what the results can and cannot say and how families will be involved.</w:t>
      </w:r>
    </w:p>
    <w:p>
      <w:pPr>
        <w:widowControl/>
        <w:numPr>
          <w:ilvl w:val="0"/>
          <w:numId w:val="16"/>
        </w:numPr>
      </w:pPr>
      <w:r>
        <w:rPr>
          <w:rFonts w:ascii="Calibri" w:hAnsi="Calibri"/>
          <w:b/>
          <w:i w:val="0"/>
          <w:color w:val="172033"/>
          <w:sz w:val="22"/>
        </w:rPr>
        <w:t xml:space="preserve">After assessment. </w:t>
      </w:r>
      <w:r>
        <w:rPr>
          <w:rFonts w:ascii="Calibri" w:hAnsi="Calibri"/>
          <w:b w:val="0"/>
          <w:i w:val="0"/>
          <w:color w:val="172033"/>
          <w:sz w:val="22"/>
        </w:rPr>
        <w:t>Let the student review and reflect before a family meeting whenever possible.</w:t>
      </w:r>
    </w:p>
    <w:p>
      <w:pPr>
        <w:widowControl/>
        <w:numPr>
          <w:ilvl w:val="0"/>
          <w:numId w:val="16"/>
        </w:numPr>
      </w:pPr>
      <w:r>
        <w:rPr>
          <w:rFonts w:ascii="Calibri" w:hAnsi="Calibri"/>
          <w:b/>
          <w:i w:val="0"/>
          <w:color w:val="172033"/>
          <w:sz w:val="22"/>
        </w:rPr>
        <w:t xml:space="preserve">During the conversation. </w:t>
      </w:r>
      <w:r>
        <w:rPr>
          <w:rFonts w:ascii="Calibri" w:hAnsi="Calibri"/>
          <w:b w:val="0"/>
          <w:i w:val="0"/>
          <w:color w:val="172033"/>
          <w:sz w:val="22"/>
        </w:rPr>
        <w:t>Begin with the student’s explanation; compare multiple routes and tradeoffs.</w:t>
      </w:r>
    </w:p>
    <w:p>
      <w:pPr>
        <w:widowControl/>
        <w:numPr>
          <w:ilvl w:val="0"/>
          <w:numId w:val="16"/>
        </w:numPr>
      </w:pPr>
      <w:r>
        <w:rPr>
          <w:rFonts w:ascii="Calibri" w:hAnsi="Calibri"/>
          <w:b/>
          <w:i w:val="0"/>
          <w:color w:val="172033"/>
          <w:sz w:val="22"/>
        </w:rPr>
        <w:t xml:space="preserve">After the meeting. </w:t>
      </w:r>
      <w:r>
        <w:rPr>
          <w:rFonts w:ascii="Calibri" w:hAnsi="Calibri"/>
          <w:b w:val="0"/>
          <w:i w:val="0"/>
          <w:color w:val="172033"/>
          <w:sz w:val="22"/>
        </w:rPr>
        <w:t>Agree on one family-supported action such as a visit, interview, program comparison or financial-aid task.</w:t>
      </w:r>
    </w:p>
    <w:p>
      <w:pPr>
        <w:pStyle w:val="Heading2"/>
        <w:keepNext/>
        <w:widowControl/>
      </w:pPr>
      <w:r>
        <w:rPr>
          <w:rFonts w:ascii="Calibri" w:hAnsi="Calibri"/>
          <w:b w:val="0"/>
          <w:i w:val="0"/>
          <w:color w:val="172033"/>
          <w:sz w:val="28"/>
        </w:rPr>
        <w:t>Questions families can ask</w:t>
      </w:r>
    </w:p>
    <w:p>
      <w:pPr>
        <w:widowControl/>
        <w:numPr>
          <w:ilvl w:val="0"/>
          <w:numId w:val="10"/>
        </w:numPr>
      </w:pPr>
      <w:r>
        <w:rPr>
          <w:rFonts w:ascii="Calibri" w:hAnsi="Calibri"/>
          <w:b w:val="0"/>
          <w:i w:val="0"/>
          <w:color w:val="172033"/>
          <w:sz w:val="22"/>
        </w:rPr>
        <w:t>Which result feels most true to you? Which feels least true?</w:t>
      </w:r>
    </w:p>
    <w:p>
      <w:pPr>
        <w:widowControl/>
        <w:numPr>
          <w:ilvl w:val="0"/>
          <w:numId w:val="10"/>
        </w:numPr>
      </w:pPr>
      <w:r>
        <w:rPr>
          <w:rFonts w:ascii="Calibri" w:hAnsi="Calibri"/>
          <w:b w:val="0"/>
          <w:i w:val="0"/>
          <w:color w:val="172033"/>
          <w:sz w:val="22"/>
        </w:rPr>
        <w:t>What activities give you energy even when they are difficult?</w:t>
      </w:r>
    </w:p>
    <w:p>
      <w:pPr>
        <w:widowControl/>
        <w:numPr>
          <w:ilvl w:val="0"/>
          <w:numId w:val="10"/>
        </w:numPr>
      </w:pPr>
      <w:r>
        <w:rPr>
          <w:rFonts w:ascii="Calibri" w:hAnsi="Calibri"/>
          <w:b w:val="0"/>
          <w:i w:val="0"/>
          <w:color w:val="172033"/>
          <w:sz w:val="22"/>
        </w:rPr>
        <w:t>Which careers surprised you, and what might explain the match?</w:t>
      </w:r>
    </w:p>
    <w:p>
      <w:pPr>
        <w:widowControl/>
        <w:numPr>
          <w:ilvl w:val="0"/>
          <w:numId w:val="10"/>
        </w:numPr>
      </w:pPr>
      <w:r>
        <w:rPr>
          <w:rFonts w:ascii="Calibri" w:hAnsi="Calibri"/>
          <w:b w:val="0"/>
          <w:i w:val="0"/>
          <w:color w:val="172033"/>
          <w:sz w:val="22"/>
        </w:rPr>
        <w:t>What are two different education or training routes to a goal?</w:t>
      </w:r>
    </w:p>
    <w:p>
      <w:pPr>
        <w:widowControl/>
        <w:numPr>
          <w:ilvl w:val="0"/>
          <w:numId w:val="10"/>
        </w:numPr>
      </w:pPr>
      <w:r>
        <w:rPr>
          <w:rFonts w:ascii="Calibri" w:hAnsi="Calibri"/>
          <w:b w:val="0"/>
          <w:i w:val="0"/>
          <w:color w:val="172033"/>
          <w:sz w:val="22"/>
        </w:rPr>
        <w:t>What information do we still need before narrowing options?</w:t>
      </w:r>
    </w:p>
    <w:p>
      <w:pPr>
        <w:widowControl/>
        <w:numPr>
          <w:ilvl w:val="0"/>
          <w:numId w:val="10"/>
        </w:numPr>
      </w:pPr>
      <w:r>
        <w:rPr>
          <w:rFonts w:ascii="Calibri" w:hAnsi="Calibri"/>
          <w:b w:val="0"/>
          <w:i w:val="0"/>
          <w:color w:val="172033"/>
          <w:sz w:val="22"/>
        </w:rPr>
        <w:t>How can we support the next experiment without deciding the outcome for you?</w:t>
      </w:r>
    </w:p>
    <w:tbl>
      <w:tblPr>
        <w:tblW w:type="dxa" w:w="9360"/>
        <w:jc w:val="left"/>
        <w:tblLayout w:type="fixed"/>
        <w:tblLook w:firstColumn="1" w:firstRow="1" w:lastColumn="0" w:lastRow="0" w:noHBand="0" w:noVBand="1" w:val="04A0"/>
        <w:tblInd w:w="120" w:type="dxa"/>
        <w:tblBorders>
          <w:top w:val="single" w:sz="8" w:space="0" w:color="F4C400"/>
          <w:left w:val="single" w:sz="8" w:space="0" w:color="F4C400"/>
          <w:bottom w:val="single" w:sz="8" w:space="0" w:color="F4C400"/>
          <w:right w:val="single" w:sz="8" w:space="0" w:color="F4C400"/>
          <w:insideH w:val="single" w:sz="8" w:space="0" w:color="F4C400"/>
          <w:insideV w:val="single" w:sz="8" w:space="0" w:color="F4C400"/>
        </w:tblBorders>
      </w:tblPr>
      <w:tblGrid>
        <w:gridCol w:w="9360"/>
      </w:tblGrid>
      <w:tr>
        <w:tc>
          <w:tcPr>
            <w:tcW w:type="dxa" w:w="9360"/>
            <w:tcMar>
              <w:top w:w="100" w:type="dxa"/>
              <w:start w:w="140" w:type="dxa"/>
              <w:bottom w:w="100" w:type="dxa"/>
              <w:end w:w="140" w:type="dxa"/>
            </w:tcMar>
            <w:vAlign w:val="center"/>
            <w:shd w:fill="FFF8D8"/>
          </w:tcPr>
          <w:p>
            <w:pPr>
              <w:spacing w:after="60"/>
            </w:pPr>
            <w:r>
              <w:rPr>
                <w:rFonts w:ascii="Calibri" w:hAnsi="Calibri"/>
                <w:b/>
                <w:i w:val="0"/>
                <w:color w:val="0B1F3A"/>
                <w:sz w:val="20"/>
              </w:rPr>
              <w:t xml:space="preserve">FAMILY GUARDRAIL  </w:t>
            </w:r>
            <w:r>
              <w:rPr>
                <w:rFonts w:ascii="Calibri" w:hAnsi="Calibri"/>
                <w:b w:val="0"/>
                <w:i w:val="0"/>
                <w:color w:val="172033"/>
                <w:sz w:val="20"/>
              </w:rPr>
              <w:t>A parent should not use a MAPP result to close a door. The goal is to help the student build a more informed set of doors to investigate.</w:t>
            </w:r>
          </w:p>
        </w:tc>
      </w:tr>
    </w:tbl>
    <w:p>
      <w:pPr>
        <w:widowControl/>
        <w:spacing w:after="20"/>
      </w:pPr>
    </w:p>
    <w:p>
      <w:pPr>
        <w:pStyle w:val="Heading1"/>
        <w:keepNext/>
        <w:widowControl/>
      </w:pPr>
      <w:r>
        <w:rPr>
          <w:rFonts w:ascii="Calibri" w:hAnsi="Calibri"/>
          <w:b w:val="0"/>
          <w:i w:val="0"/>
          <w:color w:val="172033"/>
          <w:sz w:val="36"/>
        </w:rPr>
        <w:t>11. Optional AI Guidance for Students, Families and Counselors</w:t>
      </w:r>
    </w:p>
    <w:p>
      <w:pPr>
        <w:widowControl/>
      </w:pPr>
      <w:r>
        <w:rPr>
          <w:rFonts w:ascii="Calibri" w:hAnsi="Calibri"/>
          <w:b w:val="0"/>
          <w:i w:val="0"/>
          <w:color w:val="172033"/>
          <w:sz w:val="21"/>
        </w:rPr>
        <w:t>Assessment.com can support different AI perspectives, including Student, Parent/Guardian, School Counselor and Educator. The same underlying assessment can therefore be discussed in language and with questions suited to the user’s role. This can extend guidance between meetings, but it should operate within a clear school policy.</w:t>
      </w:r>
    </w:p>
    <w:p>
      <w:pPr>
        <w:pStyle w:val="Heading2"/>
        <w:keepNext/>
        <w:widowControl/>
      </w:pPr>
      <w:r>
        <w:rPr>
          <w:rFonts w:ascii="Calibri" w:hAnsi="Calibri"/>
          <w:b w:val="0"/>
          <w:i w:val="0"/>
          <w:color w:val="172033"/>
          <w:sz w:val="28"/>
        </w:rPr>
        <w:t>Appropriate uses</w:t>
      </w:r>
    </w:p>
    <w:p>
      <w:pPr>
        <w:widowControl/>
        <w:numPr>
          <w:ilvl w:val="0"/>
          <w:numId w:val="10"/>
        </w:numPr>
      </w:pPr>
      <w:r>
        <w:rPr>
          <w:rFonts w:ascii="Calibri" w:hAnsi="Calibri"/>
          <w:b w:val="0"/>
          <w:i w:val="0"/>
          <w:color w:val="172033"/>
          <w:sz w:val="22"/>
        </w:rPr>
        <w:t>Explain result language in plain terms.</w:t>
      </w:r>
    </w:p>
    <w:p>
      <w:pPr>
        <w:widowControl/>
        <w:numPr>
          <w:ilvl w:val="0"/>
          <w:numId w:val="10"/>
        </w:numPr>
      </w:pPr>
      <w:r>
        <w:rPr>
          <w:rFonts w:ascii="Calibri" w:hAnsi="Calibri"/>
          <w:b w:val="0"/>
          <w:i w:val="0"/>
          <w:color w:val="172033"/>
          <w:sz w:val="22"/>
        </w:rPr>
        <w:t>Summarize motivational themes before a meeting.</w:t>
      </w:r>
    </w:p>
    <w:p>
      <w:pPr>
        <w:widowControl/>
        <w:numPr>
          <w:ilvl w:val="0"/>
          <w:numId w:val="10"/>
        </w:numPr>
      </w:pPr>
      <w:r>
        <w:rPr>
          <w:rFonts w:ascii="Calibri" w:hAnsi="Calibri"/>
          <w:b w:val="0"/>
          <w:i w:val="0"/>
          <w:color w:val="172033"/>
          <w:sz w:val="22"/>
        </w:rPr>
        <w:t>Generate questions for career, major, college or pathway research.</w:t>
      </w:r>
    </w:p>
    <w:p>
      <w:pPr>
        <w:widowControl/>
        <w:numPr>
          <w:ilvl w:val="0"/>
          <w:numId w:val="10"/>
        </w:numPr>
      </w:pPr>
      <w:r>
        <w:rPr>
          <w:rFonts w:ascii="Calibri" w:hAnsi="Calibri"/>
          <w:b w:val="0"/>
          <w:i w:val="0"/>
          <w:color w:val="172033"/>
          <w:sz w:val="22"/>
        </w:rPr>
        <w:t>Compare options using criteria selected by the student and counselor.</w:t>
      </w:r>
    </w:p>
    <w:p>
      <w:pPr>
        <w:widowControl/>
        <w:numPr>
          <w:ilvl w:val="0"/>
          <w:numId w:val="10"/>
        </w:numPr>
      </w:pPr>
      <w:r>
        <w:rPr>
          <w:rFonts w:ascii="Calibri" w:hAnsi="Calibri"/>
          <w:b w:val="0"/>
          <w:i w:val="0"/>
          <w:color w:val="172033"/>
          <w:sz w:val="22"/>
        </w:rPr>
        <w:t>Draft an action plan, reflection, family summary or follow-up email for human review.</w:t>
      </w:r>
    </w:p>
    <w:p>
      <w:pPr>
        <w:widowControl/>
        <w:numPr>
          <w:ilvl w:val="0"/>
          <w:numId w:val="10"/>
        </w:numPr>
      </w:pPr>
      <w:r>
        <w:rPr>
          <w:rFonts w:ascii="Calibri" w:hAnsi="Calibri"/>
          <w:b w:val="0"/>
          <w:i w:val="0"/>
          <w:color w:val="172033"/>
          <w:sz w:val="22"/>
        </w:rPr>
        <w:t>Suggest additional assessments when a defined question would benefit from more evidence.</w:t>
      </w:r>
    </w:p>
    <w:p>
      <w:pPr>
        <w:pStyle w:val="Heading2"/>
        <w:keepNext/>
        <w:widowControl/>
      </w:pPr>
      <w:r>
        <w:rPr>
          <w:rFonts w:ascii="Calibri" w:hAnsi="Calibri"/>
          <w:b w:val="0"/>
          <w:i w:val="0"/>
          <w:color w:val="172033"/>
          <w:sz w:val="28"/>
        </w:rPr>
        <w:t>Uses requiring strong limits</w:t>
      </w:r>
    </w:p>
    <w:p>
      <w:pPr>
        <w:widowControl/>
        <w:numPr>
          <w:ilvl w:val="0"/>
          <w:numId w:val="10"/>
        </w:numPr>
      </w:pPr>
      <w:r>
        <w:rPr>
          <w:rFonts w:ascii="Calibri" w:hAnsi="Calibri"/>
          <w:b w:val="0"/>
          <w:i w:val="0"/>
          <w:color w:val="172033"/>
          <w:sz w:val="22"/>
        </w:rPr>
        <w:t>Do not use AI to diagnose mental health, disability or risk.</w:t>
      </w:r>
    </w:p>
    <w:p>
      <w:pPr>
        <w:widowControl/>
        <w:numPr>
          <w:ilvl w:val="0"/>
          <w:numId w:val="10"/>
        </w:numPr>
      </w:pPr>
      <w:r>
        <w:rPr>
          <w:rFonts w:ascii="Calibri" w:hAnsi="Calibri"/>
          <w:b w:val="0"/>
          <w:i w:val="0"/>
          <w:color w:val="172033"/>
          <w:sz w:val="22"/>
        </w:rPr>
        <w:t>Do not automatically identify, rank or exclude students for programs or opportunities.</w:t>
      </w:r>
    </w:p>
    <w:p>
      <w:pPr>
        <w:widowControl/>
        <w:numPr>
          <w:ilvl w:val="0"/>
          <w:numId w:val="10"/>
        </w:numPr>
      </w:pPr>
      <w:r>
        <w:rPr>
          <w:rFonts w:ascii="Calibri" w:hAnsi="Calibri"/>
          <w:b w:val="0"/>
          <w:i w:val="0"/>
          <w:color w:val="172033"/>
          <w:sz w:val="22"/>
        </w:rPr>
        <w:t>Do not allow AI to make the final college, major, course or career decision.</w:t>
      </w:r>
    </w:p>
    <w:p>
      <w:pPr>
        <w:widowControl/>
        <w:numPr>
          <w:ilvl w:val="0"/>
          <w:numId w:val="10"/>
        </w:numPr>
      </w:pPr>
      <w:r>
        <w:rPr>
          <w:rFonts w:ascii="Calibri" w:hAnsi="Calibri"/>
          <w:b w:val="0"/>
          <w:i w:val="0"/>
          <w:color w:val="172033"/>
          <w:sz w:val="22"/>
        </w:rPr>
        <w:t>Do not treat AI-generated internships, scholarships, salary facts or deadlines as current until verified.</w:t>
      </w:r>
    </w:p>
    <w:p>
      <w:pPr>
        <w:widowControl/>
        <w:numPr>
          <w:ilvl w:val="0"/>
          <w:numId w:val="10"/>
        </w:numPr>
      </w:pPr>
      <w:r>
        <w:rPr>
          <w:rFonts w:ascii="Calibri" w:hAnsi="Calibri"/>
          <w:b w:val="0"/>
          <w:i w:val="0"/>
          <w:color w:val="172033"/>
          <w:sz w:val="22"/>
        </w:rPr>
        <w:t>Do not paste sensitive information outside approved systems or beyond the minimum needed.</w:t>
      </w:r>
    </w:p>
    <w:p>
      <w:pPr>
        <w:widowControl/>
        <w:numPr>
          <w:ilvl w:val="0"/>
          <w:numId w:val="10"/>
        </w:numPr>
      </w:pPr>
      <w:r>
        <w:rPr>
          <w:rFonts w:ascii="Calibri" w:hAnsi="Calibri"/>
          <w:b w:val="0"/>
          <w:i w:val="0"/>
          <w:color w:val="172033"/>
          <w:sz w:val="22"/>
        </w:rPr>
        <w:t>Do not submit AI-authored admissions writing as if it were the student’s independent work.</w:t>
      </w:r>
    </w:p>
    <w:p>
      <w:pPr>
        <w:pStyle w:val="Heading2"/>
        <w:keepNext/>
        <w:widowControl/>
      </w:pPr>
      <w:r>
        <w:rPr>
          <w:rFonts w:ascii="Calibri" w:hAnsi="Calibri"/>
          <w:b w:val="0"/>
          <w:i w:val="0"/>
          <w:color w:val="172033"/>
          <w:sz w:val="28"/>
        </w:rPr>
        <w:t>A simple verification habit</w:t>
      </w:r>
    </w:p>
    <w:tbl>
      <w:tblPr>
        <w:tblW w:type="dxa" w:w="9360"/>
        <w:jc w:val="left"/>
        <w:tblLayout w:type="fixed"/>
        <w:tblLook w:firstColumn="1" w:firstRow="1" w:lastColumn="0" w:lastRow="0" w:noHBand="0" w:noVBand="1" w:val="04A0"/>
        <w:tblInd w:w="120" w:type="dxa"/>
        <w:tblBorders>
          <w:top w:val="single" w:sz="8" w:space="0" w:color="7057E8"/>
          <w:left w:val="single" w:sz="8" w:space="0" w:color="7057E8"/>
          <w:bottom w:val="single" w:sz="8" w:space="0" w:color="7057E8"/>
          <w:right w:val="single" w:sz="8" w:space="0" w:color="7057E8"/>
          <w:insideH w:val="single" w:sz="8" w:space="0" w:color="7057E8"/>
          <w:insideV w:val="single" w:sz="8" w:space="0" w:color="7057E8"/>
        </w:tblBorders>
      </w:tblPr>
      <w:tblGrid>
        <w:gridCol w:w="9360"/>
      </w:tblGrid>
      <w:tr>
        <w:tc>
          <w:tcPr>
            <w:tcW w:type="dxa" w:w="9360"/>
            <w:tcMar>
              <w:top w:w="100" w:type="dxa"/>
              <w:start w:w="140" w:type="dxa"/>
              <w:bottom w:w="100" w:type="dxa"/>
              <w:end w:w="140" w:type="dxa"/>
            </w:tcMar>
            <w:vAlign w:val="center"/>
            <w:shd w:fill="F1EEFF"/>
          </w:tcPr>
          <w:p>
            <w:pPr>
              <w:spacing w:after="60"/>
            </w:pPr>
            <w:r>
              <w:rPr>
                <w:rFonts w:ascii="Calibri" w:hAnsi="Calibri"/>
                <w:b/>
                <w:i w:val="0"/>
                <w:color w:val="0B1F3A"/>
                <w:sz w:val="20"/>
              </w:rPr>
              <w:t xml:space="preserve">ASK–CHECK–ACT  </w:t>
            </w:r>
            <w:r>
              <w:rPr>
                <w:rFonts w:ascii="Calibri" w:hAnsi="Calibri"/>
                <w:b w:val="0"/>
                <w:i w:val="0"/>
                <w:color w:val="172033"/>
                <w:sz w:val="20"/>
              </w:rPr>
              <w:t>Ask AI for an explanation or option set. Check it against the MAPP report, official career/college sources and the student’s lived evidence. Act only after a student and qualified adult review the recommendation.</w:t>
            </w:r>
          </w:p>
        </w:tc>
      </w:tr>
    </w:tbl>
    <w:p>
      <w:pPr>
        <w:widowControl/>
        <w:spacing w:after="20"/>
      </w:pPr>
    </w:p>
    <w:p>
      <w:pPr>
        <w:pStyle w:val="Heading1"/>
        <w:keepNext/>
        <w:widowControl/>
      </w:pPr>
      <w:r>
        <w:rPr>
          <w:rFonts w:ascii="Calibri" w:hAnsi="Calibri"/>
          <w:b w:val="0"/>
          <w:i w:val="0"/>
          <w:color w:val="172033"/>
          <w:sz w:val="36"/>
        </w:rPr>
        <w:t>12. Equity, Accessibility, Ethics and Student Data</w:t>
      </w:r>
    </w:p>
    <w:p>
      <w:pPr>
        <w:pStyle w:val="Heading2"/>
        <w:keepNext/>
        <w:widowControl/>
      </w:pPr>
      <w:r>
        <w:rPr>
          <w:rFonts w:ascii="Calibri" w:hAnsi="Calibri"/>
          <w:b w:val="0"/>
          <w:i w:val="0"/>
          <w:color w:val="172033"/>
          <w:sz w:val="28"/>
        </w:rPr>
        <w:t>Equity by design</w:t>
      </w:r>
    </w:p>
    <w:p>
      <w:pPr>
        <w:widowControl/>
        <w:numPr>
          <w:ilvl w:val="0"/>
          <w:numId w:val="10"/>
        </w:numPr>
      </w:pPr>
      <w:r>
        <w:rPr>
          <w:rFonts w:ascii="Calibri" w:hAnsi="Calibri"/>
          <w:b w:val="0"/>
          <w:i w:val="0"/>
          <w:color w:val="172033"/>
          <w:sz w:val="22"/>
        </w:rPr>
        <w:t>Provide the same core exploration process to every student, not only college-bound students or those who self-refer.</w:t>
      </w:r>
    </w:p>
    <w:p>
      <w:pPr>
        <w:widowControl/>
        <w:numPr>
          <w:ilvl w:val="0"/>
          <w:numId w:val="10"/>
        </w:numPr>
      </w:pPr>
      <w:r>
        <w:rPr>
          <w:rFonts w:ascii="Calibri" w:hAnsi="Calibri"/>
          <w:b w:val="0"/>
          <w:i w:val="0"/>
          <w:color w:val="172033"/>
          <w:sz w:val="22"/>
        </w:rPr>
        <w:t>Include community college, certificates, trade school, apprenticeships, military routes, entrepreneurship and direct employment alongside four-year college.</w:t>
      </w:r>
    </w:p>
    <w:p>
      <w:pPr>
        <w:widowControl/>
        <w:numPr>
          <w:ilvl w:val="0"/>
          <w:numId w:val="10"/>
        </w:numPr>
      </w:pPr>
      <w:r>
        <w:rPr>
          <w:rFonts w:ascii="Calibri" w:hAnsi="Calibri"/>
          <w:b w:val="0"/>
          <w:i w:val="0"/>
          <w:color w:val="172033"/>
          <w:sz w:val="22"/>
        </w:rPr>
        <w:t>Audit completion and follow-up by grade, program and relevant student groups to identify access gaps.</w:t>
      </w:r>
    </w:p>
    <w:p>
      <w:pPr>
        <w:widowControl/>
        <w:numPr>
          <w:ilvl w:val="0"/>
          <w:numId w:val="10"/>
        </w:numPr>
      </w:pPr>
      <w:r>
        <w:rPr>
          <w:rFonts w:ascii="Calibri" w:hAnsi="Calibri"/>
          <w:b w:val="0"/>
          <w:i w:val="0"/>
          <w:color w:val="172033"/>
          <w:sz w:val="22"/>
        </w:rPr>
        <w:t>Offer school-based completion time and devices so home internet or family availability does not determine participation.</w:t>
      </w:r>
    </w:p>
    <w:p>
      <w:pPr>
        <w:widowControl/>
        <w:numPr>
          <w:ilvl w:val="0"/>
          <w:numId w:val="10"/>
        </w:numPr>
      </w:pPr>
      <w:r>
        <w:rPr>
          <w:rFonts w:ascii="Calibri" w:hAnsi="Calibri"/>
          <w:b w:val="0"/>
          <w:i w:val="0"/>
          <w:color w:val="172033"/>
          <w:sz w:val="22"/>
        </w:rPr>
        <w:t>Use multilingual materials and interpretation support where needed; confirm that assessment language is appropriate for the student.</w:t>
      </w:r>
    </w:p>
    <w:p>
      <w:pPr>
        <w:widowControl/>
        <w:numPr>
          <w:ilvl w:val="0"/>
          <w:numId w:val="10"/>
        </w:numPr>
      </w:pPr>
      <w:r>
        <w:rPr>
          <w:rFonts w:ascii="Calibri" w:hAnsi="Calibri"/>
          <w:b w:val="0"/>
          <w:i w:val="0"/>
          <w:color w:val="172033"/>
          <w:sz w:val="22"/>
        </w:rPr>
        <w:t>Avoid cultural assumptions in interpreting leadership, independence, family obligation, work values and preferred environments.</w:t>
      </w:r>
    </w:p>
    <w:p>
      <w:pPr>
        <w:pStyle w:val="Heading2"/>
        <w:keepNext/>
        <w:widowControl/>
      </w:pPr>
      <w:r>
        <w:rPr>
          <w:rFonts w:ascii="Calibri" w:hAnsi="Calibri"/>
          <w:b w:val="0"/>
          <w:i w:val="0"/>
          <w:color w:val="172033"/>
          <w:sz w:val="28"/>
        </w:rPr>
        <w:t>Accessibility and accommodations</w:t>
      </w:r>
    </w:p>
    <w:p>
      <w:pPr>
        <w:widowControl/>
        <w:numPr>
          <w:ilvl w:val="0"/>
          <w:numId w:val="10"/>
        </w:numPr>
      </w:pPr>
      <w:r>
        <w:rPr>
          <w:rFonts w:ascii="Calibri" w:hAnsi="Calibri"/>
          <w:b w:val="0"/>
          <w:i w:val="0"/>
          <w:color w:val="172033"/>
          <w:sz w:val="22"/>
        </w:rPr>
        <w:t>Review the platform with the district accessibility and special-education teams before launch.</w:t>
      </w:r>
    </w:p>
    <w:p>
      <w:pPr>
        <w:widowControl/>
        <w:numPr>
          <w:ilvl w:val="0"/>
          <w:numId w:val="10"/>
        </w:numPr>
      </w:pPr>
      <w:r>
        <w:rPr>
          <w:rFonts w:ascii="Calibri" w:hAnsi="Calibri"/>
          <w:b w:val="0"/>
          <w:i w:val="0"/>
          <w:color w:val="172033"/>
          <w:sz w:val="22"/>
        </w:rPr>
        <w:t>Clarify vocabulary without signaling preferred answers.</w:t>
      </w:r>
    </w:p>
    <w:p>
      <w:pPr>
        <w:widowControl/>
        <w:numPr>
          <w:ilvl w:val="0"/>
          <w:numId w:val="10"/>
        </w:numPr>
      </w:pPr>
      <w:r>
        <w:rPr>
          <w:rFonts w:ascii="Calibri" w:hAnsi="Calibri"/>
          <w:b w:val="0"/>
          <w:i w:val="0"/>
          <w:color w:val="172033"/>
          <w:sz w:val="22"/>
        </w:rPr>
        <w:t>Provide assistive technology and administration supports consistent with school policy and the assessment’s requirements.</w:t>
      </w:r>
    </w:p>
    <w:p>
      <w:pPr>
        <w:widowControl/>
        <w:numPr>
          <w:ilvl w:val="0"/>
          <w:numId w:val="10"/>
        </w:numPr>
      </w:pPr>
      <w:r>
        <w:rPr>
          <w:rFonts w:ascii="Calibri" w:hAnsi="Calibri"/>
          <w:b w:val="0"/>
          <w:i w:val="0"/>
          <w:color w:val="172033"/>
          <w:sz w:val="22"/>
        </w:rPr>
        <w:t>Do not use the Learning Styles section to diagnose a disability or substitute for an IEP/504 evaluation or accommodation process.</w:t>
      </w:r>
    </w:p>
    <w:p>
      <w:pPr>
        <w:widowControl/>
        <w:numPr>
          <w:ilvl w:val="0"/>
          <w:numId w:val="10"/>
        </w:numPr>
      </w:pPr>
      <w:r>
        <w:rPr>
          <w:rFonts w:ascii="Calibri" w:hAnsi="Calibri"/>
          <w:b w:val="0"/>
          <w:i w:val="0"/>
          <w:color w:val="172033"/>
          <w:sz w:val="22"/>
        </w:rPr>
        <w:t>Offer an alternative or supported process if the format is not accessible to a student.</w:t>
      </w:r>
    </w:p>
    <w:p>
      <w:pPr>
        <w:pStyle w:val="Heading2"/>
        <w:keepNext/>
        <w:widowControl/>
      </w:pPr>
      <w:r>
        <w:rPr>
          <w:rFonts w:ascii="Calibri" w:hAnsi="Calibri"/>
          <w:b w:val="0"/>
          <w:i w:val="0"/>
          <w:color w:val="172033"/>
          <w:sz w:val="28"/>
        </w:rPr>
        <w:t>Privacy and governance checklist</w:t>
      </w:r>
    </w:p>
    <w:p>
      <w:pPr>
        <w:widowControl/>
        <w:numPr>
          <w:ilvl w:val="0"/>
          <w:numId w:val="10"/>
        </w:numPr>
      </w:pPr>
      <w:r>
        <w:rPr>
          <w:rFonts w:ascii="Calibri" w:hAnsi="Calibri"/>
          <w:b w:val="0"/>
          <w:i w:val="0"/>
          <w:color w:val="172033"/>
          <w:sz w:val="22"/>
        </w:rPr>
        <w:t>Obtain district approval before using the application with students.</w:t>
      </w:r>
    </w:p>
    <w:p>
      <w:pPr>
        <w:widowControl/>
        <w:numPr>
          <w:ilvl w:val="0"/>
          <w:numId w:val="10"/>
        </w:numPr>
      </w:pPr>
      <w:r>
        <w:rPr>
          <w:rFonts w:ascii="Calibri" w:hAnsi="Calibri"/>
          <w:b w:val="0"/>
          <w:i w:val="0"/>
          <w:color w:val="172033"/>
          <w:sz w:val="22"/>
        </w:rPr>
        <w:t>Define the educational purpose and the minimum student data required.</w:t>
      </w:r>
    </w:p>
    <w:p>
      <w:pPr>
        <w:widowControl/>
        <w:numPr>
          <w:ilvl w:val="0"/>
          <w:numId w:val="10"/>
        </w:numPr>
      </w:pPr>
      <w:r>
        <w:rPr>
          <w:rFonts w:ascii="Calibri" w:hAnsi="Calibri"/>
          <w:b w:val="0"/>
          <w:i w:val="0"/>
          <w:color w:val="172033"/>
          <w:sz w:val="22"/>
        </w:rPr>
        <w:t>Document role-based access and legitimate educational interest.</w:t>
      </w:r>
    </w:p>
    <w:p>
      <w:pPr>
        <w:widowControl/>
        <w:numPr>
          <w:ilvl w:val="0"/>
          <w:numId w:val="10"/>
        </w:numPr>
      </w:pPr>
      <w:r>
        <w:rPr>
          <w:rFonts w:ascii="Calibri" w:hAnsi="Calibri"/>
          <w:b w:val="0"/>
          <w:i w:val="0"/>
          <w:color w:val="172033"/>
          <w:sz w:val="22"/>
        </w:rPr>
        <w:t>Review contract terms for use, redisclosure, security, retention, deletion, subcontractors and incident response.</w:t>
      </w:r>
    </w:p>
    <w:p>
      <w:pPr>
        <w:widowControl/>
        <w:numPr>
          <w:ilvl w:val="0"/>
          <w:numId w:val="10"/>
        </w:numPr>
      </w:pPr>
      <w:r>
        <w:rPr>
          <w:rFonts w:ascii="Calibri" w:hAnsi="Calibri"/>
          <w:b w:val="0"/>
          <w:i w:val="0"/>
          <w:color w:val="172033"/>
          <w:sz w:val="22"/>
        </w:rPr>
        <w:t>Decide what students and parents can see, download and share.</w:t>
      </w:r>
    </w:p>
    <w:p>
      <w:pPr>
        <w:widowControl/>
        <w:numPr>
          <w:ilvl w:val="0"/>
          <w:numId w:val="10"/>
        </w:numPr>
      </w:pPr>
      <w:r>
        <w:rPr>
          <w:rFonts w:ascii="Calibri" w:hAnsi="Calibri"/>
          <w:b w:val="0"/>
          <w:i w:val="0"/>
          <w:color w:val="172033"/>
          <w:sz w:val="22"/>
        </w:rPr>
        <w:t>Set retention and account-deletion practices consistent with district policy and applicable law.</w:t>
      </w:r>
    </w:p>
    <w:p>
      <w:pPr>
        <w:widowControl/>
        <w:numPr>
          <w:ilvl w:val="0"/>
          <w:numId w:val="10"/>
        </w:numPr>
      </w:pPr>
      <w:r>
        <w:rPr>
          <w:rFonts w:ascii="Calibri" w:hAnsi="Calibri"/>
          <w:b w:val="0"/>
          <w:i w:val="0"/>
          <w:color w:val="172033"/>
          <w:sz w:val="22"/>
        </w:rPr>
        <w:t>Train staff not to export or forward reports unnecessarily.</w:t>
      </w:r>
    </w:p>
    <w:p>
      <w:pPr>
        <w:widowControl/>
      </w:pPr>
      <w:r>
        <w:rPr>
          <w:rFonts w:ascii="Calibri" w:hAnsi="Calibri"/>
          <w:b w:val="0"/>
          <w:i w:val="0"/>
          <w:color w:val="172033"/>
          <w:sz w:val="21"/>
        </w:rPr>
        <w:t>Under FERPA’s school-official exception, an outside provider receiving education-record information must perform an institutional service the school would otherwise use employees to provide, remain under the school’s direct control for use and maintenance of the data, use the information only for the disclosed purpose and meet the school’s criteria for a legitimate educational interest. Schools should involve legal, privacy and IT teams rather than treating platform approval as a counselor-only decision.[11]</w:t>
      </w:r>
    </w:p>
    <w:p>
      <w:pPr>
        <w:pStyle w:val="Heading1"/>
        <w:keepNext/>
        <w:widowControl/>
      </w:pPr>
      <w:r>
        <w:rPr>
          <w:rFonts w:ascii="Calibri" w:hAnsi="Calibri"/>
          <w:b w:val="0"/>
          <w:i w:val="0"/>
          <w:color w:val="172033"/>
          <w:sz w:val="36"/>
        </w:rPr>
        <w:t>13. Measuring Program Quality and Student Progress</w:t>
      </w:r>
    </w:p>
    <w:p>
      <w:pPr>
        <w:widowControl/>
      </w:pPr>
      <w:r>
        <w:rPr>
          <w:rFonts w:ascii="Calibri" w:hAnsi="Calibri"/>
          <w:b w:val="0"/>
          <w:i w:val="0"/>
          <w:color w:val="172033"/>
          <w:sz w:val="21"/>
        </w:rPr>
        <w:t>Completion is a necessary implementation measure, not the outcome. A strong evaluation model combines reach, learning, behavior, equity and operating quality. Avoid claiming that MAPP caused graduation, enrollment or retention outcomes without an appropriate evaluation design.</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900"/>
        <w:gridCol w:w="7460"/>
      </w:tblGrid>
      <w:tr>
        <w:trPr>
          <w:tblHeader w:val="true"/>
          <w:cantSplit/>
        </w:trPr>
        <w:tc>
          <w:tcPr>
            <w:tcW w:type="dxa" w:w="1900"/>
            <w:tcMar>
              <w:top w:w="100" w:type="dxa"/>
              <w:start w:w="140" w:type="dxa"/>
              <w:bottom w:w="100" w:type="dxa"/>
              <w:end w:w="140" w:type="dxa"/>
            </w:tcMar>
            <w:vAlign w:val="center"/>
            <w:shd w:fill="159B64"/>
          </w:tcPr>
          <w:p>
            <w:pPr>
              <w:spacing w:after="0"/>
              <w:jc w:val="left"/>
            </w:pPr>
            <w:r>
              <w:rPr>
                <w:rFonts w:ascii="Calibri" w:hAnsi="Calibri"/>
                <w:b/>
                <w:i w:val="0"/>
                <w:color w:val="FFFFFF"/>
                <w:sz w:val="18"/>
              </w:rPr>
              <w:t>Dimension</w:t>
            </w:r>
          </w:p>
        </w:tc>
        <w:tc>
          <w:tcPr>
            <w:tcW w:type="dxa" w:w="7460"/>
            <w:tcMar>
              <w:top w:w="100" w:type="dxa"/>
              <w:start w:w="140" w:type="dxa"/>
              <w:bottom w:w="100" w:type="dxa"/>
              <w:end w:w="140" w:type="dxa"/>
            </w:tcMar>
            <w:vAlign w:val="center"/>
            <w:shd w:fill="159B64"/>
          </w:tcPr>
          <w:p>
            <w:pPr>
              <w:spacing w:after="0"/>
              <w:jc w:val="left"/>
            </w:pPr>
            <w:r>
              <w:rPr>
                <w:rFonts w:ascii="Calibri" w:hAnsi="Calibri"/>
                <w:b/>
                <w:i w:val="0"/>
                <w:color w:val="FFFFFF"/>
                <w:sz w:val="18"/>
              </w:rPr>
              <w:t>Example measures</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Reach</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Invitation, registration and completion rates; participation by cohort and student group.</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Understanding</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Percent of students who can explain top themes and distinguish preference from ability.</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Exploration</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Careers, majors, colleges, pathways and live jobs meaningfully reviewed or saved.</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Action</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Informational interviews, visits, work-based learning, applications, résumé completion or credential steps.</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Planning quality</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Students with a documented primary route, alternative route, deadlines and support person.</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Counselor workflow</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Preparation time, meeting quality, follow-up completion and counselor satisfaction.</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Family engagement</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Participation, understanding and completion of agreed next steps.</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Equity</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Gaps in access, completion, follow-up and opportunity by relevant student populations.</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Experience quality</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Student-reported usefulness, agency, clarity, belonging and absence of harmful labeling.</w:t>
            </w:r>
          </w:p>
        </w:tc>
      </w:tr>
    </w:tbl>
    <w:p>
      <w:pPr>
        <w:widowControl/>
        <w:spacing w:after="20"/>
      </w:pPr>
    </w:p>
    <w:p>
      <w:pPr>
        <w:pStyle w:val="Heading2"/>
        <w:keepNext/>
        <w:widowControl/>
      </w:pPr>
      <w:r>
        <w:rPr>
          <w:rFonts w:ascii="Calibri" w:hAnsi="Calibri"/>
          <w:b w:val="0"/>
          <w:i w:val="0"/>
          <w:color w:val="172033"/>
          <w:sz w:val="28"/>
        </w:rPr>
        <w:t>Recommended review cadence</w:t>
      </w:r>
    </w:p>
    <w:p>
      <w:pPr>
        <w:widowControl/>
        <w:numPr>
          <w:ilvl w:val="0"/>
          <w:numId w:val="10"/>
        </w:numPr>
      </w:pPr>
      <w:r>
        <w:rPr>
          <w:rFonts w:ascii="Calibri" w:hAnsi="Calibri"/>
          <w:b w:val="0"/>
          <w:i w:val="0"/>
          <w:color w:val="172033"/>
          <w:sz w:val="22"/>
        </w:rPr>
        <w:t>Weekly during launch: access issues, completion and student questions.</w:t>
      </w:r>
    </w:p>
    <w:p>
      <w:pPr>
        <w:widowControl/>
        <w:numPr>
          <w:ilvl w:val="0"/>
          <w:numId w:val="10"/>
        </w:numPr>
      </w:pPr>
      <w:r>
        <w:rPr>
          <w:rFonts w:ascii="Calibri" w:hAnsi="Calibri"/>
          <w:b w:val="0"/>
          <w:i w:val="0"/>
          <w:color w:val="172033"/>
          <w:sz w:val="22"/>
        </w:rPr>
        <w:t>After each cohort: facilitator debrief and student feedback.</w:t>
      </w:r>
    </w:p>
    <w:p>
      <w:pPr>
        <w:widowControl/>
        <w:numPr>
          <w:ilvl w:val="0"/>
          <w:numId w:val="10"/>
        </w:numPr>
      </w:pPr>
      <w:r>
        <w:rPr>
          <w:rFonts w:ascii="Calibri" w:hAnsi="Calibri"/>
          <w:b w:val="0"/>
          <w:i w:val="0"/>
          <w:color w:val="172033"/>
          <w:sz w:val="22"/>
        </w:rPr>
        <w:t>Quarterly: pathway activity, follow-up and equity review.</w:t>
      </w:r>
    </w:p>
    <w:p>
      <w:pPr>
        <w:widowControl/>
        <w:numPr>
          <w:ilvl w:val="0"/>
          <w:numId w:val="10"/>
        </w:numPr>
      </w:pPr>
      <w:r>
        <w:rPr>
          <w:rFonts w:ascii="Calibri" w:hAnsi="Calibri"/>
          <w:b w:val="0"/>
          <w:i w:val="0"/>
          <w:color w:val="172033"/>
          <w:sz w:val="22"/>
        </w:rPr>
        <w:t>Annually: curriculum alignment, privacy/technology review, training refresh and program outcomes.</w:t>
      </w:r>
    </w:p>
    <w:p>
      <w:pPr>
        <w:pStyle w:val="Heading2"/>
        <w:keepNext/>
        <w:widowControl/>
      </w:pPr>
      <w:r>
        <w:rPr>
          <w:rFonts w:ascii="Calibri" w:hAnsi="Calibri"/>
          <w:b w:val="0"/>
          <w:i w:val="0"/>
          <w:color w:val="172033"/>
          <w:sz w:val="28"/>
        </w:rPr>
        <w:t>Common implementation failure modes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200"/>
        <w:gridCol w:w="3000"/>
        <w:gridCol w:w="4160"/>
      </w:tblGrid>
      <w:tr>
        <w:trPr>
          <w:tblHeader w:val="true"/>
          <w:cantSplit/>
        </w:trPr>
        <w:tc>
          <w:tcPr>
            <w:tcW w:type="dxa" w:w="2200"/>
            <w:tcMar>
              <w:top w:w="100" w:type="dxa"/>
              <w:start w:w="140" w:type="dxa"/>
              <w:bottom w:w="100" w:type="dxa"/>
              <w:end w:w="140" w:type="dxa"/>
            </w:tcMar>
            <w:vAlign w:val="center"/>
            <w:shd w:fill="EF6C2C"/>
          </w:tcPr>
          <w:p>
            <w:pPr>
              <w:spacing w:after="0"/>
              <w:jc w:val="left"/>
            </w:pPr>
            <w:r>
              <w:rPr>
                <w:rFonts w:ascii="Calibri" w:hAnsi="Calibri"/>
                <w:b/>
                <w:i w:val="0"/>
                <w:color w:val="FFFFFF"/>
                <w:sz w:val="18"/>
              </w:rPr>
              <w:t>Failure mode</w:t>
            </w:r>
          </w:p>
        </w:tc>
        <w:tc>
          <w:tcPr>
            <w:tcW w:type="dxa" w:w="3000"/>
            <w:tcMar>
              <w:top w:w="100" w:type="dxa"/>
              <w:start w:w="140" w:type="dxa"/>
              <w:bottom w:w="100" w:type="dxa"/>
              <w:end w:w="140" w:type="dxa"/>
            </w:tcMar>
            <w:vAlign w:val="center"/>
            <w:shd w:fill="EF6C2C"/>
          </w:tcPr>
          <w:p>
            <w:pPr>
              <w:spacing w:after="0"/>
              <w:jc w:val="left"/>
            </w:pPr>
            <w:r>
              <w:rPr>
                <w:rFonts w:ascii="Calibri" w:hAnsi="Calibri"/>
                <w:b/>
                <w:i w:val="0"/>
                <w:color w:val="FFFFFF"/>
                <w:sz w:val="18"/>
              </w:rPr>
              <w:t>Why it happens</w:t>
            </w:r>
          </w:p>
        </w:tc>
        <w:tc>
          <w:tcPr>
            <w:tcW w:type="dxa" w:w="4160"/>
            <w:tcMar>
              <w:top w:w="100" w:type="dxa"/>
              <w:start w:w="140" w:type="dxa"/>
              <w:bottom w:w="100" w:type="dxa"/>
              <w:end w:w="140" w:type="dxa"/>
            </w:tcMar>
            <w:vAlign w:val="center"/>
            <w:shd w:fill="EF6C2C"/>
          </w:tcPr>
          <w:p>
            <w:pPr>
              <w:spacing w:after="0"/>
              <w:jc w:val="left"/>
            </w:pPr>
            <w:r>
              <w:rPr>
                <w:rFonts w:ascii="Calibri" w:hAnsi="Calibri"/>
                <w:b/>
                <w:i w:val="0"/>
                <w:color w:val="FFFFFF"/>
                <w:sz w:val="18"/>
              </w:rPr>
              <w:t>Correction</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val="0"/>
                <w:i w:val="0"/>
                <w:color w:val="172033"/>
                <w:sz w:val="17"/>
              </w:rPr>
              <w:t>Assessment without follow-up</w:t>
            </w:r>
          </w:p>
        </w:tc>
        <w:tc>
          <w:tcPr>
            <w:tcW w:type="dxa" w:w="3000"/>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Completion is treated as the program.</w:t>
            </w:r>
          </w:p>
        </w:tc>
        <w:tc>
          <w:tcPr>
            <w:tcW w:type="dxa" w:w="4160"/>
            <w:tcMar>
              <w:top w:w="100" w:type="dxa"/>
              <w:start w:w="140" w:type="dxa"/>
              <w:bottom w:w="100" w:type="dxa"/>
              <w:end w:w="140" w:type="dxa"/>
            </w:tcMar>
            <w:vAlign w:val="center"/>
          </w:tcPr>
          <w:p>
            <w:pPr>
              <w:spacing w:after="0" w:line="264" w:lineRule="auto"/>
            </w:pPr>
            <w:r>
              <w:rPr>
                <w:rFonts w:ascii="Calibri" w:hAnsi="Calibri"/>
                <w:b w:val="0"/>
                <w:i w:val="0"/>
                <w:color w:val="172033"/>
                <w:sz w:val="17"/>
              </w:rPr>
              <w:t>Schedule reflection and pathway activities before launch.</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Deterministic interpretation</w:t>
            </w:r>
          </w:p>
        </w:tc>
        <w:tc>
          <w:tcPr>
            <w:tcW w:type="dxa" w:w="30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Adults want a simple answer.</w:t>
            </w:r>
          </w:p>
        </w:tc>
        <w:tc>
          <w:tcPr>
            <w:tcW w:type="dxa" w:w="4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Train on preferences vs. ability and require multiple options.</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val="0"/>
                <w:i w:val="0"/>
                <w:color w:val="172033"/>
                <w:sz w:val="17"/>
              </w:rPr>
              <w:t>Too many tools at once</w:t>
            </w:r>
          </w:p>
        </w:tc>
        <w:tc>
          <w:tcPr>
            <w:tcW w:type="dxa" w:w="3000"/>
            <w:tcMar>
              <w:top w:w="100" w:type="dxa"/>
              <w:start w:w="140" w:type="dxa"/>
              <w:bottom w:w="100" w:type="dxa"/>
              <w:end w:w="140" w:type="dxa"/>
            </w:tcMar>
            <w:vAlign w:val="center"/>
          </w:tcPr>
          <w:p>
            <w:pPr>
              <w:spacing w:after="0" w:line="264" w:lineRule="auto"/>
            </w:pPr>
            <w:r>
              <w:rPr>
                <w:rFonts w:ascii="Calibri" w:hAnsi="Calibri"/>
                <w:b w:val="0"/>
                <w:i w:val="0"/>
                <w:color w:val="172033"/>
                <w:sz w:val="17"/>
              </w:rPr>
              <w:t>The platform’s breadth overwhelms users.</w:t>
            </w:r>
          </w:p>
        </w:tc>
        <w:tc>
          <w:tcPr>
            <w:tcW w:type="dxa" w:w="4160"/>
            <w:tcMar>
              <w:top w:w="100" w:type="dxa"/>
              <w:start w:w="140" w:type="dxa"/>
              <w:bottom w:w="100" w:type="dxa"/>
              <w:end w:w="140" w:type="dxa"/>
            </w:tcMar>
            <w:vAlign w:val="center"/>
          </w:tcPr>
          <w:p>
            <w:pPr>
              <w:spacing w:after="0" w:line="264" w:lineRule="auto"/>
            </w:pPr>
            <w:r>
              <w:rPr>
                <w:rFonts w:ascii="Calibri" w:hAnsi="Calibri"/>
                <w:b w:val="0"/>
                <w:i w:val="0"/>
                <w:color w:val="172033"/>
                <w:sz w:val="17"/>
              </w:rPr>
              <w:t>Sequence features by grade and purpose.</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Unequal access</w:t>
            </w:r>
          </w:p>
        </w:tc>
        <w:tc>
          <w:tcPr>
            <w:tcW w:type="dxa" w:w="30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Home completion and opt-in counseling favor advantaged students.</w:t>
            </w:r>
          </w:p>
        </w:tc>
        <w:tc>
          <w:tcPr>
            <w:tcW w:type="dxa" w:w="4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Provide universal school time and targeted follow-up.</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val="0"/>
                <w:i w:val="0"/>
                <w:color w:val="172033"/>
                <w:sz w:val="17"/>
              </w:rPr>
              <w:t>Unverified AI output</w:t>
            </w:r>
          </w:p>
        </w:tc>
        <w:tc>
          <w:tcPr>
            <w:tcW w:type="dxa" w:w="3000"/>
            <w:tcMar>
              <w:top w:w="100" w:type="dxa"/>
              <w:start w:w="140" w:type="dxa"/>
              <w:bottom w:w="100" w:type="dxa"/>
              <w:end w:w="140" w:type="dxa"/>
            </w:tcMar>
            <w:vAlign w:val="center"/>
          </w:tcPr>
          <w:p>
            <w:pPr>
              <w:spacing w:after="0" w:line="264" w:lineRule="auto"/>
            </w:pPr>
            <w:r>
              <w:rPr>
                <w:rFonts w:ascii="Calibri" w:hAnsi="Calibri"/>
                <w:b w:val="0"/>
                <w:i w:val="0"/>
                <w:color w:val="172033"/>
                <w:sz w:val="17"/>
              </w:rPr>
              <w:t>Drafts are treated as facts.</w:t>
            </w:r>
          </w:p>
        </w:tc>
        <w:tc>
          <w:tcPr>
            <w:tcW w:type="dxa" w:w="4160"/>
            <w:tcMar>
              <w:top w:w="100" w:type="dxa"/>
              <w:start w:w="140" w:type="dxa"/>
              <w:bottom w:w="100" w:type="dxa"/>
              <w:end w:w="140" w:type="dxa"/>
            </w:tcMar>
            <w:vAlign w:val="center"/>
          </w:tcPr>
          <w:p>
            <w:pPr>
              <w:spacing w:after="0" w:line="264" w:lineRule="auto"/>
            </w:pPr>
            <w:r>
              <w:rPr>
                <w:rFonts w:ascii="Calibri" w:hAnsi="Calibri"/>
                <w:b w:val="0"/>
                <w:i w:val="0"/>
                <w:color w:val="172033"/>
                <w:sz w:val="17"/>
              </w:rPr>
              <w:t>Require official-source verification and human review.</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No ownership</w:t>
            </w:r>
          </w:p>
        </w:tc>
        <w:tc>
          <w:tcPr>
            <w:tcW w:type="dxa" w:w="30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Counseling, CTE, IT and administrators assume another team leads.</w:t>
            </w:r>
          </w:p>
        </w:tc>
        <w:tc>
          <w:tcPr>
            <w:tcW w:type="dxa" w:w="4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Name an executive sponsor and operating lead.</w:t>
            </w:r>
          </w:p>
        </w:tc>
      </w:tr>
    </w:tbl>
    <w:p>
      <w:pPr>
        <w:widowControl/>
        <w:spacing w:after="20"/>
      </w:pPr>
    </w:p>
    <w:p>
      <w:pPr>
        <w:pStyle w:val="Heading2"/>
        <w:keepNext/>
        <w:widowControl/>
      </w:pPr>
      <w:r>
        <w:rPr>
          <w:rFonts w:ascii="Calibri" w:hAnsi="Calibri"/>
          <w:b w:val="0"/>
          <w:i w:val="0"/>
          <w:color w:val="172033"/>
          <w:sz w:val="28"/>
        </w:rPr>
        <w:t>A 45-minute quarterly review agenda</w:t>
      </w:r>
    </w:p>
    <w:p>
      <w:pPr>
        <w:widowControl/>
        <w:numPr>
          <w:ilvl w:val="0"/>
          <w:numId w:val="17"/>
        </w:numPr>
      </w:pPr>
      <w:r>
        <w:rPr>
          <w:rFonts w:ascii="Calibri" w:hAnsi="Calibri"/>
          <w:b/>
          <w:i w:val="0"/>
          <w:color w:val="172033"/>
          <w:sz w:val="22"/>
        </w:rPr>
        <w:t xml:space="preserve">Review reach and access. </w:t>
      </w:r>
      <w:r>
        <w:rPr>
          <w:rFonts w:ascii="Calibri" w:hAnsi="Calibri"/>
          <w:b w:val="0"/>
          <w:i w:val="0"/>
          <w:color w:val="172033"/>
          <w:sz w:val="22"/>
        </w:rPr>
        <w:t>Compare invitation, completion and follow-through by grade, program and relevant student group.</w:t>
      </w:r>
    </w:p>
    <w:p>
      <w:pPr>
        <w:widowControl/>
        <w:numPr>
          <w:ilvl w:val="0"/>
          <w:numId w:val="17"/>
        </w:numPr>
      </w:pPr>
      <w:r>
        <w:rPr>
          <w:rFonts w:ascii="Calibri" w:hAnsi="Calibri"/>
          <w:b/>
          <w:i w:val="0"/>
          <w:color w:val="172033"/>
          <w:sz w:val="22"/>
        </w:rPr>
        <w:t xml:space="preserve">Examine evidence of learning. </w:t>
      </w:r>
      <w:r>
        <w:rPr>
          <w:rFonts w:ascii="Calibri" w:hAnsi="Calibri"/>
          <w:b w:val="0"/>
          <w:i w:val="0"/>
          <w:color w:val="172033"/>
          <w:sz w:val="22"/>
        </w:rPr>
        <w:t>Sample student reflections for accurate interpretation, agency and use of multiple options.</w:t>
      </w:r>
    </w:p>
    <w:p>
      <w:pPr>
        <w:widowControl/>
        <w:numPr>
          <w:ilvl w:val="0"/>
          <w:numId w:val="17"/>
        </w:numPr>
      </w:pPr>
      <w:r>
        <w:rPr>
          <w:rFonts w:ascii="Calibri" w:hAnsi="Calibri"/>
          <w:b/>
          <w:i w:val="0"/>
          <w:color w:val="172033"/>
          <w:sz w:val="22"/>
        </w:rPr>
        <w:t xml:space="preserve">Check movement into action. </w:t>
      </w:r>
      <w:r>
        <w:rPr>
          <w:rFonts w:ascii="Calibri" w:hAnsi="Calibri"/>
          <w:b w:val="0"/>
          <w:i w:val="0"/>
          <w:color w:val="172033"/>
          <w:sz w:val="22"/>
        </w:rPr>
        <w:t>Review saved pathways, live-job research, experiences, applications and credential steps.</w:t>
      </w:r>
    </w:p>
    <w:p>
      <w:pPr>
        <w:widowControl/>
        <w:numPr>
          <w:ilvl w:val="0"/>
          <w:numId w:val="17"/>
        </w:numPr>
      </w:pPr>
      <w:r>
        <w:rPr>
          <w:rFonts w:ascii="Calibri" w:hAnsi="Calibri"/>
          <w:b/>
          <w:i w:val="0"/>
          <w:color w:val="172033"/>
          <w:sz w:val="22"/>
        </w:rPr>
        <w:t xml:space="preserve">Listen for friction. </w:t>
      </w:r>
      <w:r>
        <w:rPr>
          <w:rFonts w:ascii="Calibri" w:hAnsi="Calibri"/>
          <w:b w:val="0"/>
          <w:i w:val="0"/>
          <w:color w:val="172033"/>
          <w:sz w:val="22"/>
        </w:rPr>
        <w:t>Identify access barriers, confusing features, counselor workload and family questions.</w:t>
      </w:r>
    </w:p>
    <w:p>
      <w:pPr>
        <w:widowControl/>
        <w:numPr>
          <w:ilvl w:val="0"/>
          <w:numId w:val="17"/>
        </w:numPr>
      </w:pPr>
      <w:r>
        <w:rPr>
          <w:rFonts w:ascii="Calibri" w:hAnsi="Calibri"/>
          <w:b/>
          <w:i w:val="0"/>
          <w:color w:val="172033"/>
          <w:sz w:val="22"/>
        </w:rPr>
        <w:t xml:space="preserve">Choose one improvement. </w:t>
      </w:r>
      <w:r>
        <w:rPr>
          <w:rFonts w:ascii="Calibri" w:hAnsi="Calibri"/>
          <w:b w:val="0"/>
          <w:i w:val="0"/>
          <w:color w:val="172033"/>
          <w:sz w:val="22"/>
        </w:rPr>
        <w:t>Assign an owner, deadline and measure for the next cycle rather than launching several changes at once.</w:t>
      </w:r>
    </w:p>
    <w:p>
      <w:pPr>
        <w:widowControl/>
      </w:pPr>
      <w:r>
        <w:br w:type="page"/>
      </w:r>
    </w:p>
    <w:p>
      <w:pPr>
        <w:pStyle w:val="Heading1"/>
        <w:keepNext/>
        <w:widowControl/>
      </w:pPr>
      <w:r>
        <w:rPr>
          <w:rFonts w:ascii="Calibri" w:hAnsi="Calibri"/>
          <w:b w:val="0"/>
          <w:i w:val="0"/>
          <w:color w:val="172033"/>
          <w:sz w:val="36"/>
        </w:rPr>
        <w:t>Appendix A. 20-Minute MAPP Student Conversation</w:t>
      </w:r>
    </w:p>
    <w:p>
      <w:pPr>
        <w:widowControl/>
      </w:pPr>
      <w:r>
        <w:rPr>
          <w:rFonts w:ascii="Calibri" w:hAnsi="Calibri"/>
          <w:b w:val="0"/>
          <w:i w:val="0"/>
          <w:color w:val="172033"/>
          <w:sz w:val="21"/>
        </w:rPr>
        <w:t>Use this structure for an initial individual or small-group discussion after students have reviewed their results.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100"/>
        <w:gridCol w:w="5050"/>
        <w:gridCol w:w="3210"/>
      </w:tblGrid>
      <w:tr>
        <w:trPr>
          <w:tblHeader w:val="true"/>
          <w:cantSplit/>
        </w:trPr>
        <w:tc>
          <w:tcPr>
            <w:tcW w:type="dxa" w:w="1100"/>
            <w:tcMar>
              <w:top w:w="100" w:type="dxa"/>
              <w:start w:w="140" w:type="dxa"/>
              <w:bottom w:w="100" w:type="dxa"/>
              <w:end w:w="140" w:type="dxa"/>
            </w:tcMar>
            <w:vAlign w:val="center"/>
            <w:shd w:fill="7057E8"/>
          </w:tcPr>
          <w:p>
            <w:pPr>
              <w:spacing w:after="0"/>
              <w:jc w:val="left"/>
            </w:pPr>
            <w:r>
              <w:rPr>
                <w:rFonts w:ascii="Calibri" w:hAnsi="Calibri"/>
                <w:b/>
                <w:i w:val="0"/>
                <w:color w:val="FFFFFF"/>
                <w:sz w:val="18"/>
              </w:rPr>
              <w:t>Time</w:t>
            </w:r>
          </w:p>
        </w:tc>
        <w:tc>
          <w:tcPr>
            <w:tcW w:type="dxa" w:w="5050"/>
            <w:tcMar>
              <w:top w:w="100" w:type="dxa"/>
              <w:start w:w="140" w:type="dxa"/>
              <w:bottom w:w="100" w:type="dxa"/>
              <w:end w:w="140" w:type="dxa"/>
            </w:tcMar>
            <w:vAlign w:val="center"/>
            <w:shd w:fill="7057E8"/>
          </w:tcPr>
          <w:p>
            <w:pPr>
              <w:spacing w:after="0"/>
              <w:jc w:val="left"/>
            </w:pPr>
            <w:r>
              <w:rPr>
                <w:rFonts w:ascii="Calibri" w:hAnsi="Calibri"/>
                <w:b/>
                <w:i w:val="0"/>
                <w:color w:val="FFFFFF"/>
                <w:sz w:val="18"/>
              </w:rPr>
              <w:t>Counselor prompt</w:t>
            </w:r>
          </w:p>
        </w:tc>
        <w:tc>
          <w:tcPr>
            <w:tcW w:type="dxa" w:w="3210"/>
            <w:tcMar>
              <w:top w:w="100" w:type="dxa"/>
              <w:start w:w="140" w:type="dxa"/>
              <w:bottom w:w="100" w:type="dxa"/>
              <w:end w:w="140" w:type="dxa"/>
            </w:tcMar>
            <w:vAlign w:val="center"/>
            <w:shd w:fill="7057E8"/>
          </w:tcPr>
          <w:p>
            <w:pPr>
              <w:spacing w:after="0"/>
              <w:jc w:val="left"/>
            </w:pPr>
            <w:r>
              <w:rPr>
                <w:rFonts w:ascii="Calibri" w:hAnsi="Calibri"/>
                <w:b/>
                <w:i w:val="0"/>
                <w:color w:val="FFFFFF"/>
                <w:sz w:val="18"/>
              </w:rPr>
              <w:t>Purpose</w:t>
            </w:r>
          </w:p>
        </w:tc>
      </w:tr>
      <w:tr>
        <w:trPr>
          <w:cantSplit/>
        </w:trPr>
        <w:tc>
          <w:tcPr>
            <w:tcW w:type="dxa" w:w="1100"/>
            <w:tcMar>
              <w:top w:w="100" w:type="dxa"/>
              <w:start w:w="140" w:type="dxa"/>
              <w:bottom w:w="100" w:type="dxa"/>
              <w:end w:w="140" w:type="dxa"/>
            </w:tcMar>
            <w:vAlign w:val="center"/>
          </w:tcPr>
          <w:p>
            <w:pPr>
              <w:spacing w:after="0" w:line="264" w:lineRule="auto"/>
            </w:pPr>
            <w:r>
              <w:rPr>
                <w:rFonts w:ascii="Calibri" w:hAnsi="Calibri"/>
                <w:b w:val="0"/>
                <w:i w:val="0"/>
                <w:color w:val="172033"/>
                <w:sz w:val="17"/>
              </w:rPr>
              <w:t>0–3 min</w:t>
            </w:r>
          </w:p>
        </w:tc>
        <w:tc>
          <w:tcPr>
            <w:tcW w:type="dxa" w:w="5050"/>
            <w:tcMar>
              <w:top w:w="100" w:type="dxa"/>
              <w:start w:w="140" w:type="dxa"/>
              <w:bottom w:w="100" w:type="dxa"/>
              <w:end w:w="140" w:type="dxa"/>
            </w:tcMar>
            <w:vAlign w:val="center"/>
          </w:tcPr>
          <w:p>
            <w:pPr>
              <w:spacing w:after="0" w:line="264" w:lineRule="auto"/>
            </w:pPr>
            <w:r>
              <w:rPr>
                <w:rFonts w:ascii="Calibri" w:hAnsi="Calibri"/>
                <w:b w:val="0"/>
                <w:i w:val="0"/>
                <w:color w:val="172033"/>
                <w:sz w:val="17"/>
              </w:rPr>
              <w:t>“What felt most accurate, surprising or unclear?”</w:t>
            </w:r>
          </w:p>
        </w:tc>
        <w:tc>
          <w:tcPr>
            <w:tcW w:type="dxa" w:w="3210"/>
            <w:tcMar>
              <w:top w:w="100" w:type="dxa"/>
              <w:start w:w="140" w:type="dxa"/>
              <w:bottom w:w="100" w:type="dxa"/>
              <w:end w:w="140" w:type="dxa"/>
            </w:tcMar>
            <w:vAlign w:val="center"/>
          </w:tcPr>
          <w:p>
            <w:pPr>
              <w:spacing w:after="0" w:line="264" w:lineRule="auto"/>
            </w:pPr>
            <w:r>
              <w:rPr>
                <w:rFonts w:ascii="Calibri" w:hAnsi="Calibri"/>
                <w:b w:val="0"/>
                <w:i w:val="0"/>
                <w:color w:val="172033"/>
                <w:sz w:val="17"/>
              </w:rPr>
              <w:t>Centers student voice and checks immediate reaction.</w:t>
            </w:r>
          </w:p>
        </w:tc>
      </w:tr>
      <w:tr>
        <w:trPr>
          <w:cantSplit/>
        </w:trPr>
        <w:tc>
          <w:tcPr>
            <w:tcW w:type="dxa" w:w="11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3–7 min</w:t>
            </w:r>
          </w:p>
        </w:tc>
        <w:tc>
          <w:tcPr>
            <w:tcW w:type="dxa" w:w="50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“Which two or three motivations seem to work together?”</w:t>
            </w:r>
          </w:p>
        </w:tc>
        <w:tc>
          <w:tcPr>
            <w:tcW w:type="dxa" w:w="32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Moves from isolated ratings to a pattern.</w:t>
            </w:r>
          </w:p>
        </w:tc>
      </w:tr>
      <w:tr>
        <w:trPr>
          <w:cantSplit/>
        </w:trPr>
        <w:tc>
          <w:tcPr>
            <w:tcW w:type="dxa" w:w="1100"/>
            <w:tcMar>
              <w:top w:w="100" w:type="dxa"/>
              <w:start w:w="140" w:type="dxa"/>
              <w:bottom w:w="100" w:type="dxa"/>
              <w:end w:w="140" w:type="dxa"/>
            </w:tcMar>
            <w:vAlign w:val="center"/>
          </w:tcPr>
          <w:p>
            <w:pPr>
              <w:spacing w:after="0" w:line="264" w:lineRule="auto"/>
            </w:pPr>
            <w:r>
              <w:rPr>
                <w:rFonts w:ascii="Calibri" w:hAnsi="Calibri"/>
                <w:b w:val="0"/>
                <w:i w:val="0"/>
                <w:color w:val="172033"/>
                <w:sz w:val="17"/>
              </w:rPr>
              <w:t>7–11 min</w:t>
            </w:r>
          </w:p>
        </w:tc>
        <w:tc>
          <w:tcPr>
            <w:tcW w:type="dxa" w:w="5050"/>
            <w:tcMar>
              <w:top w:w="100" w:type="dxa"/>
              <w:start w:w="140" w:type="dxa"/>
              <w:bottom w:w="100" w:type="dxa"/>
              <w:end w:w="140" w:type="dxa"/>
            </w:tcMar>
            <w:vAlign w:val="center"/>
          </w:tcPr>
          <w:p>
            <w:pPr>
              <w:spacing w:after="0" w:line="264" w:lineRule="auto"/>
            </w:pPr>
            <w:r>
              <w:rPr>
                <w:rFonts w:ascii="Calibri" w:hAnsi="Calibri"/>
                <w:b w:val="0"/>
                <w:i w:val="0"/>
                <w:color w:val="172033"/>
                <w:sz w:val="17"/>
              </w:rPr>
              <w:t>“Where have you seen this pattern in real life?”</w:t>
            </w:r>
          </w:p>
        </w:tc>
        <w:tc>
          <w:tcPr>
            <w:tcW w:type="dxa" w:w="3210"/>
            <w:tcMar>
              <w:top w:w="100" w:type="dxa"/>
              <w:start w:w="140" w:type="dxa"/>
              <w:bottom w:w="100" w:type="dxa"/>
              <w:end w:w="140" w:type="dxa"/>
            </w:tcMar>
            <w:vAlign w:val="center"/>
          </w:tcPr>
          <w:p>
            <w:pPr>
              <w:spacing w:after="0" w:line="264" w:lineRule="auto"/>
            </w:pPr>
            <w:r>
              <w:rPr>
                <w:rFonts w:ascii="Calibri" w:hAnsi="Calibri"/>
                <w:b w:val="0"/>
                <w:i w:val="0"/>
                <w:color w:val="172033"/>
                <w:sz w:val="17"/>
              </w:rPr>
              <w:t>Tests results against lived evidence.</w:t>
            </w:r>
          </w:p>
        </w:tc>
      </w:tr>
      <w:tr>
        <w:trPr>
          <w:cantSplit/>
        </w:trPr>
        <w:tc>
          <w:tcPr>
            <w:tcW w:type="dxa" w:w="11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11–15 min</w:t>
            </w:r>
          </w:p>
        </w:tc>
        <w:tc>
          <w:tcPr>
            <w:tcW w:type="dxa" w:w="50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“Let’s compare two careers or pathways. What fits, and what creates friction?”</w:t>
            </w:r>
          </w:p>
        </w:tc>
        <w:tc>
          <w:tcPr>
            <w:tcW w:type="dxa" w:w="32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Builds critical comparison rather than acceptance.</w:t>
            </w:r>
          </w:p>
        </w:tc>
      </w:tr>
      <w:tr>
        <w:trPr>
          <w:cantSplit/>
        </w:trPr>
        <w:tc>
          <w:tcPr>
            <w:tcW w:type="dxa" w:w="1100"/>
            <w:tcMar>
              <w:top w:w="100" w:type="dxa"/>
              <w:start w:w="140" w:type="dxa"/>
              <w:bottom w:w="100" w:type="dxa"/>
              <w:end w:w="140" w:type="dxa"/>
            </w:tcMar>
            <w:vAlign w:val="center"/>
          </w:tcPr>
          <w:p>
            <w:pPr>
              <w:spacing w:after="0" w:line="264" w:lineRule="auto"/>
            </w:pPr>
            <w:r>
              <w:rPr>
                <w:rFonts w:ascii="Calibri" w:hAnsi="Calibri"/>
                <w:b w:val="0"/>
                <w:i w:val="0"/>
                <w:color w:val="172033"/>
                <w:sz w:val="17"/>
              </w:rPr>
              <w:t>15–18 min</w:t>
            </w:r>
          </w:p>
        </w:tc>
        <w:tc>
          <w:tcPr>
            <w:tcW w:type="dxa" w:w="5050"/>
            <w:tcMar>
              <w:top w:w="100" w:type="dxa"/>
              <w:start w:w="140" w:type="dxa"/>
              <w:bottom w:w="100" w:type="dxa"/>
              <w:end w:w="140" w:type="dxa"/>
            </w:tcMar>
            <w:vAlign w:val="center"/>
          </w:tcPr>
          <w:p>
            <w:pPr>
              <w:spacing w:after="0" w:line="264" w:lineRule="auto"/>
            </w:pPr>
            <w:r>
              <w:rPr>
                <w:rFonts w:ascii="Calibri" w:hAnsi="Calibri"/>
                <w:b w:val="0"/>
                <w:i w:val="0"/>
                <w:color w:val="172033"/>
                <w:sz w:val="17"/>
              </w:rPr>
              <w:t>“What information or experience would help you learn more?”</w:t>
            </w:r>
          </w:p>
        </w:tc>
        <w:tc>
          <w:tcPr>
            <w:tcW w:type="dxa" w:w="3210"/>
            <w:tcMar>
              <w:top w:w="100" w:type="dxa"/>
              <w:start w:w="140" w:type="dxa"/>
              <w:bottom w:w="100" w:type="dxa"/>
              <w:end w:w="140" w:type="dxa"/>
            </w:tcMar>
            <w:vAlign w:val="center"/>
          </w:tcPr>
          <w:p>
            <w:pPr>
              <w:spacing w:after="0" w:line="264" w:lineRule="auto"/>
            </w:pPr>
            <w:r>
              <w:rPr>
                <w:rFonts w:ascii="Calibri" w:hAnsi="Calibri"/>
                <w:b w:val="0"/>
                <w:i w:val="0"/>
                <w:color w:val="172033"/>
                <w:sz w:val="17"/>
              </w:rPr>
              <w:t>Creates an exploration experiment.</w:t>
            </w:r>
          </w:p>
        </w:tc>
      </w:tr>
      <w:tr>
        <w:trPr>
          <w:cantSplit/>
        </w:trPr>
        <w:tc>
          <w:tcPr>
            <w:tcW w:type="dxa" w:w="11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18–20 min</w:t>
            </w:r>
          </w:p>
        </w:tc>
        <w:tc>
          <w:tcPr>
            <w:tcW w:type="dxa" w:w="50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“What will you do, by when, and who can help?”</w:t>
            </w:r>
          </w:p>
        </w:tc>
        <w:tc>
          <w:tcPr>
            <w:tcW w:type="dxa" w:w="32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Turns insight into an owned next step.</w:t>
            </w:r>
          </w:p>
        </w:tc>
      </w:tr>
    </w:tbl>
    <w:p>
      <w:pPr>
        <w:widowControl/>
        <w:spacing w:after="20"/>
      </w:pPr>
    </w:p>
    <w:p>
      <w:pPr>
        <w:pStyle w:val="Heading2"/>
        <w:keepNext/>
        <w:widowControl/>
      </w:pPr>
      <w:r>
        <w:rPr>
          <w:rFonts w:ascii="Calibri" w:hAnsi="Calibri"/>
          <w:b w:val="0"/>
          <w:i w:val="0"/>
          <w:color w:val="172033"/>
          <w:sz w:val="28"/>
        </w:rPr>
        <w:t>Quick counselor notes</w:t>
      </w:r>
    </w:p>
    <w:p>
      <w:pPr>
        <w:widowControl/>
        <w:numPr>
          <w:ilvl w:val="0"/>
          <w:numId w:val="10"/>
        </w:numPr>
      </w:pPr>
      <w:r>
        <w:rPr>
          <w:rFonts w:ascii="Calibri" w:hAnsi="Calibri"/>
          <w:b w:val="0"/>
          <w:i w:val="0"/>
          <w:color w:val="172033"/>
          <w:sz w:val="22"/>
        </w:rPr>
        <w:t>Top motivational combination: ______________________________________________</w:t>
      </w:r>
    </w:p>
    <w:p>
      <w:pPr>
        <w:widowControl/>
        <w:numPr>
          <w:ilvl w:val="0"/>
          <w:numId w:val="10"/>
        </w:numPr>
      </w:pPr>
      <w:r>
        <w:rPr>
          <w:rFonts w:ascii="Calibri" w:hAnsi="Calibri"/>
          <w:b w:val="0"/>
          <w:i w:val="0"/>
          <w:color w:val="172033"/>
          <w:sz w:val="22"/>
        </w:rPr>
        <w:t>Student evidence/example: _________________________________________________</w:t>
      </w:r>
    </w:p>
    <w:p>
      <w:pPr>
        <w:widowControl/>
        <w:numPr>
          <w:ilvl w:val="0"/>
          <w:numId w:val="10"/>
        </w:numPr>
      </w:pPr>
      <w:r>
        <w:rPr>
          <w:rFonts w:ascii="Calibri" w:hAnsi="Calibri"/>
          <w:b w:val="0"/>
          <w:i w:val="0"/>
          <w:color w:val="172033"/>
          <w:sz w:val="22"/>
        </w:rPr>
        <w:t>Option(s) to investigate: _________________________________________________</w:t>
      </w:r>
    </w:p>
    <w:p>
      <w:pPr>
        <w:widowControl/>
        <w:numPr>
          <w:ilvl w:val="0"/>
          <w:numId w:val="10"/>
        </w:numPr>
      </w:pPr>
      <w:r>
        <w:rPr>
          <w:rFonts w:ascii="Calibri" w:hAnsi="Calibri"/>
          <w:b w:val="0"/>
          <w:i w:val="0"/>
          <w:color w:val="172033"/>
          <w:sz w:val="22"/>
        </w:rPr>
        <w:t>Next action and date: _____________________________________________________</w:t>
      </w:r>
    </w:p>
    <w:p>
      <w:pPr>
        <w:widowControl/>
        <w:numPr>
          <w:ilvl w:val="0"/>
          <w:numId w:val="10"/>
        </w:numPr>
      </w:pPr>
      <w:r>
        <w:rPr>
          <w:rFonts w:ascii="Calibri" w:hAnsi="Calibri"/>
          <w:b w:val="0"/>
          <w:i w:val="0"/>
          <w:color w:val="172033"/>
          <w:sz w:val="22"/>
        </w:rPr>
        <w:t>Support person: ___________________________________________________________</w:t>
      </w:r>
    </w:p>
    <w:p>
      <w:pPr>
        <w:pStyle w:val="Heading1"/>
        <w:keepNext/>
        <w:widowControl/>
      </w:pPr>
      <w:r>
        <w:rPr>
          <w:rFonts w:ascii="Calibri" w:hAnsi="Calibri"/>
          <w:b w:val="0"/>
          <w:i w:val="0"/>
          <w:color w:val="172033"/>
          <w:sz w:val="36"/>
        </w:rPr>
        <w:t>Appendix B. Student Reflection Worksheet</w:t>
      </w:r>
    </w:p>
    <w:p>
      <w:pPr>
        <w:widowControl/>
      </w:pPr>
      <w:r>
        <w:rPr>
          <w:rFonts w:ascii="Calibri" w:hAnsi="Calibri"/>
          <w:b w:val="0"/>
          <w:i w:val="0"/>
          <w:color w:val="172033"/>
          <w:sz w:val="21"/>
        </w:rPr>
        <w:t>Name: __________________________________   Grade: ______   Date: __________________</w:t>
      </w:r>
    </w:p>
    <w:p>
      <w:pPr>
        <w:pStyle w:val="Heading2"/>
        <w:keepNext/>
        <w:widowControl/>
      </w:pPr>
      <w:r>
        <w:rPr>
          <w:rFonts w:ascii="Calibri" w:hAnsi="Calibri"/>
          <w:b w:val="0"/>
          <w:i w:val="0"/>
          <w:color w:val="172033"/>
          <w:sz w:val="28"/>
        </w:rPr>
        <w:t>1. My three strongest motivational themes, in my own words:</w:t>
      </w:r>
    </w:p>
    <w:p>
      <w:pPr>
        <w:widowControl/>
        <w:numPr>
          <w:ilvl w:val="0"/>
          <w:numId w:val="10"/>
        </w:numPr>
      </w:pPr>
      <w:r>
        <w:rPr>
          <w:rFonts w:ascii="Calibri" w:hAnsi="Calibri"/>
          <w:b w:val="0"/>
          <w:i w:val="0"/>
          <w:color w:val="172033"/>
          <w:sz w:val="22"/>
        </w:rPr>
        <w:t>________________________________________________________________________</w:t>
      </w:r>
    </w:p>
    <w:p>
      <w:pPr>
        <w:widowControl/>
        <w:numPr>
          <w:ilvl w:val="0"/>
          <w:numId w:val="10"/>
        </w:numPr>
      </w:pPr>
      <w:r>
        <w:rPr>
          <w:rFonts w:ascii="Calibri" w:hAnsi="Calibri"/>
          <w:b w:val="0"/>
          <w:i w:val="0"/>
          <w:color w:val="172033"/>
          <w:sz w:val="22"/>
        </w:rPr>
        <w:t>________________________________________________________________________</w:t>
      </w:r>
    </w:p>
    <w:p>
      <w:pPr>
        <w:widowControl/>
        <w:numPr>
          <w:ilvl w:val="0"/>
          <w:numId w:val="10"/>
        </w:numPr>
      </w:pPr>
      <w:r>
        <w:rPr>
          <w:rFonts w:ascii="Calibri" w:hAnsi="Calibri"/>
          <w:b w:val="0"/>
          <w:i w:val="0"/>
          <w:color w:val="172033"/>
          <w:sz w:val="22"/>
        </w:rPr>
        <w:t>________________________________________________________________________</w:t>
      </w:r>
    </w:p>
    <w:p>
      <w:pPr>
        <w:pStyle w:val="Heading2"/>
        <w:keepNext/>
        <w:widowControl/>
      </w:pPr>
      <w:r>
        <w:rPr>
          <w:rFonts w:ascii="Calibri" w:hAnsi="Calibri"/>
          <w:b w:val="0"/>
          <w:i w:val="0"/>
          <w:color w:val="172033"/>
          <w:sz w:val="28"/>
        </w:rPr>
        <w:t>2. One result that surprised me—and why:</w:t>
      </w:r>
    </w:p>
    <w:p>
      <w:pPr>
        <w:widowControl/>
        <w:numPr>
          <w:ilvl w:val="0"/>
          <w:numId w:val="10"/>
        </w:numPr>
      </w:pPr>
      <w:r>
        <w:rPr>
          <w:rFonts w:ascii="Calibri" w:hAnsi="Calibri"/>
          <w:b w:val="0"/>
          <w:i w:val="0"/>
          <w:color w:val="172033"/>
          <w:sz w:val="22"/>
        </w:rPr>
        <w:t>________________________________________________________________________</w:t>
      </w:r>
    </w:p>
    <w:p>
      <w:pPr>
        <w:widowControl/>
        <w:numPr>
          <w:ilvl w:val="0"/>
          <w:numId w:val="10"/>
        </w:numPr>
      </w:pPr>
      <w:r>
        <w:rPr>
          <w:rFonts w:ascii="Calibri" w:hAnsi="Calibri"/>
          <w:b w:val="0"/>
          <w:i w:val="0"/>
          <w:color w:val="172033"/>
          <w:sz w:val="22"/>
        </w:rPr>
        <w:t>________________________________________________________________________</w:t>
      </w:r>
    </w:p>
    <w:p>
      <w:pPr>
        <w:pStyle w:val="Heading2"/>
        <w:keepNext/>
        <w:widowControl/>
      </w:pPr>
      <w:r>
        <w:rPr>
          <w:rFonts w:ascii="Calibri" w:hAnsi="Calibri"/>
          <w:b w:val="0"/>
          <w:i w:val="0"/>
          <w:color w:val="172033"/>
          <w:sz w:val="28"/>
        </w:rPr>
        <w:t>3. Two situations where I have seen these patterns in real life:</w:t>
      </w:r>
    </w:p>
    <w:p>
      <w:pPr>
        <w:widowControl/>
        <w:numPr>
          <w:ilvl w:val="0"/>
          <w:numId w:val="10"/>
        </w:numPr>
      </w:pPr>
      <w:r>
        <w:rPr>
          <w:rFonts w:ascii="Calibri" w:hAnsi="Calibri"/>
          <w:b w:val="0"/>
          <w:i w:val="0"/>
          <w:color w:val="172033"/>
          <w:sz w:val="22"/>
        </w:rPr>
        <w:t>________________________________________________________________________</w:t>
      </w:r>
    </w:p>
    <w:p>
      <w:pPr>
        <w:widowControl/>
        <w:numPr>
          <w:ilvl w:val="0"/>
          <w:numId w:val="10"/>
        </w:numPr>
      </w:pPr>
      <w:r>
        <w:rPr>
          <w:rFonts w:ascii="Calibri" w:hAnsi="Calibri"/>
          <w:b w:val="0"/>
          <w:i w:val="0"/>
          <w:color w:val="172033"/>
          <w:sz w:val="22"/>
        </w:rPr>
        <w:t>________________________________________________________________________</w:t>
      </w:r>
    </w:p>
    <w:p>
      <w:pPr>
        <w:pStyle w:val="Heading2"/>
        <w:keepNext/>
        <w:widowControl/>
      </w:pPr>
      <w:r>
        <w:rPr>
          <w:rFonts w:ascii="Calibri" w:hAnsi="Calibri"/>
          <w:b w:val="0"/>
          <w:i w:val="0"/>
          <w:color w:val="172033"/>
          <w:sz w:val="28"/>
        </w:rPr>
        <w:t>4. Three careers or career families I will investigate:</w:t>
      </w:r>
    </w:p>
    <w:p>
      <w:pPr>
        <w:widowControl/>
        <w:numPr>
          <w:ilvl w:val="0"/>
          <w:numId w:val="10"/>
        </w:numPr>
      </w:pPr>
      <w:r>
        <w:rPr>
          <w:rFonts w:ascii="Calibri" w:hAnsi="Calibri"/>
          <w:b w:val="0"/>
          <w:i w:val="0"/>
          <w:color w:val="172033"/>
          <w:sz w:val="22"/>
        </w:rPr>
        <w:t>________________________________________________________________________</w:t>
      </w:r>
    </w:p>
    <w:p>
      <w:pPr>
        <w:widowControl/>
        <w:numPr>
          <w:ilvl w:val="0"/>
          <w:numId w:val="10"/>
        </w:numPr>
      </w:pPr>
      <w:r>
        <w:rPr>
          <w:rFonts w:ascii="Calibri" w:hAnsi="Calibri"/>
          <w:b w:val="0"/>
          <w:i w:val="0"/>
          <w:color w:val="172033"/>
          <w:sz w:val="22"/>
        </w:rPr>
        <w:t>________________________________________________________________________</w:t>
      </w:r>
    </w:p>
    <w:p>
      <w:pPr>
        <w:widowControl/>
        <w:numPr>
          <w:ilvl w:val="0"/>
          <w:numId w:val="10"/>
        </w:numPr>
      </w:pPr>
      <w:r>
        <w:rPr>
          <w:rFonts w:ascii="Calibri" w:hAnsi="Calibri"/>
          <w:b w:val="0"/>
          <w:i w:val="0"/>
          <w:color w:val="172033"/>
          <w:sz w:val="22"/>
        </w:rPr>
        <w:t>________________________________________________________________________</w:t>
      </w:r>
    </w:p>
    <w:p>
      <w:pPr>
        <w:pStyle w:val="Heading2"/>
        <w:keepNext/>
        <w:widowControl/>
      </w:pPr>
      <w:r>
        <w:rPr>
          <w:rFonts w:ascii="Calibri" w:hAnsi="Calibri"/>
          <w:b w:val="0"/>
          <w:i w:val="0"/>
          <w:color w:val="172033"/>
          <w:sz w:val="28"/>
        </w:rPr>
        <w:t>5. One education or training route I did not know about before:</w:t>
      </w:r>
    </w:p>
    <w:p>
      <w:pPr>
        <w:widowControl/>
        <w:numPr>
          <w:ilvl w:val="0"/>
          <w:numId w:val="10"/>
        </w:numPr>
      </w:pPr>
      <w:r>
        <w:rPr>
          <w:rFonts w:ascii="Calibri" w:hAnsi="Calibri"/>
          <w:b w:val="0"/>
          <w:i w:val="0"/>
          <w:color w:val="172033"/>
          <w:sz w:val="22"/>
        </w:rPr>
        <w:t>________________________________________________________________________</w:t>
      </w:r>
    </w:p>
    <w:p>
      <w:pPr>
        <w:pStyle w:val="Heading2"/>
        <w:keepNext/>
        <w:widowControl/>
      </w:pPr>
      <w:r>
        <w:rPr>
          <w:rFonts w:ascii="Calibri" w:hAnsi="Calibri"/>
          <w:b w:val="0"/>
          <w:i w:val="0"/>
          <w:color w:val="172033"/>
          <w:sz w:val="28"/>
        </w:rPr>
        <w:t>6. One action I will complete by __________________:</w:t>
      </w:r>
    </w:p>
    <w:p>
      <w:pPr>
        <w:widowControl/>
        <w:numPr>
          <w:ilvl w:val="0"/>
          <w:numId w:val="10"/>
        </w:numPr>
      </w:pPr>
      <w:r>
        <w:rPr>
          <w:rFonts w:ascii="Calibri" w:hAnsi="Calibri"/>
          <w:b w:val="0"/>
          <w:i w:val="0"/>
          <w:color w:val="172033"/>
          <w:sz w:val="22"/>
        </w:rPr>
        <w:t>________________________________________________________________________</w:t>
      </w:r>
    </w:p>
    <w:p>
      <w:pPr>
        <w:pStyle w:val="Heading1"/>
        <w:keepNext/>
        <w:widowControl/>
      </w:pPr>
      <w:r>
        <w:rPr>
          <w:rFonts w:ascii="Calibri" w:hAnsi="Calibri"/>
          <w:b w:val="0"/>
          <w:i w:val="0"/>
          <w:color w:val="172033"/>
          <w:sz w:val="36"/>
        </w:rPr>
        <w:t>Appendix C. Parent/Guardian Conversation Guide</w:t>
      </w:r>
    </w:p>
    <w:p>
      <w:pPr>
        <w:widowControl/>
      </w:pPr>
      <w:r>
        <w:rPr>
          <w:rFonts w:ascii="Calibri" w:hAnsi="Calibri"/>
          <w:b w:val="0"/>
          <w:i w:val="0"/>
          <w:color w:val="172033"/>
          <w:sz w:val="21"/>
        </w:rPr>
        <w:t>Use the report to understand and support—not to select a future for the student.</w:t>
      </w:r>
    </w:p>
    <w:p>
      <w:pPr>
        <w:widowControl/>
        <w:numPr>
          <w:ilvl w:val="0"/>
          <w:numId w:val="10"/>
        </w:numPr>
      </w:pPr>
      <w:r>
        <w:rPr>
          <w:rFonts w:ascii="Calibri" w:hAnsi="Calibri"/>
          <w:b w:val="0"/>
          <w:i w:val="0"/>
          <w:color w:val="172033"/>
          <w:sz w:val="22"/>
        </w:rPr>
        <w:t>Ask the student to explain the results before offering your interpretation.</w:t>
      </w:r>
    </w:p>
    <w:p>
      <w:pPr>
        <w:widowControl/>
        <w:numPr>
          <w:ilvl w:val="0"/>
          <w:numId w:val="10"/>
        </w:numPr>
      </w:pPr>
      <w:r>
        <w:rPr>
          <w:rFonts w:ascii="Calibri" w:hAnsi="Calibri"/>
          <w:b w:val="0"/>
          <w:i w:val="0"/>
          <w:color w:val="172033"/>
          <w:sz w:val="22"/>
        </w:rPr>
        <w:t>Discuss several paths, including alternatives with different cost and time commitments.</w:t>
      </w:r>
    </w:p>
    <w:p>
      <w:pPr>
        <w:widowControl/>
        <w:numPr>
          <w:ilvl w:val="0"/>
          <w:numId w:val="10"/>
        </w:numPr>
      </w:pPr>
      <w:r>
        <w:rPr>
          <w:rFonts w:ascii="Calibri" w:hAnsi="Calibri"/>
          <w:b w:val="0"/>
          <w:i w:val="0"/>
          <w:color w:val="172033"/>
          <w:sz w:val="22"/>
        </w:rPr>
        <w:t>Separate what is motivating from what the student has already learned to do.</w:t>
      </w:r>
    </w:p>
    <w:p>
      <w:pPr>
        <w:widowControl/>
        <w:numPr>
          <w:ilvl w:val="0"/>
          <w:numId w:val="10"/>
        </w:numPr>
      </w:pPr>
      <w:r>
        <w:rPr>
          <w:rFonts w:ascii="Calibri" w:hAnsi="Calibri"/>
          <w:b w:val="0"/>
          <w:i w:val="0"/>
          <w:color w:val="172033"/>
          <w:sz w:val="22"/>
        </w:rPr>
        <w:t>Add family realities openly: finances, geography, caregiving, transportation and cultural priorities.</w:t>
      </w:r>
    </w:p>
    <w:p>
      <w:pPr>
        <w:widowControl/>
        <w:numPr>
          <w:ilvl w:val="0"/>
          <w:numId w:val="10"/>
        </w:numPr>
      </w:pPr>
      <w:r>
        <w:rPr>
          <w:rFonts w:ascii="Calibri" w:hAnsi="Calibri"/>
          <w:b w:val="0"/>
          <w:i w:val="0"/>
          <w:color w:val="172033"/>
          <w:sz w:val="22"/>
        </w:rPr>
        <w:t>Agree on one exploration action rather than demanding an immediate decision.</w:t>
      </w:r>
    </w:p>
    <w:p>
      <w:pPr>
        <w:pStyle w:val="Heading2"/>
        <w:keepNext/>
        <w:widowControl/>
      </w:pPr>
      <w:r>
        <w:rPr>
          <w:rFonts w:ascii="Calibri" w:hAnsi="Calibri"/>
          <w:b w:val="0"/>
          <w:i w:val="0"/>
          <w:color w:val="172033"/>
          <w:sz w:val="28"/>
        </w:rPr>
        <w:t>Suggested questions</w:t>
      </w:r>
    </w:p>
    <w:p>
      <w:pPr>
        <w:widowControl/>
        <w:numPr>
          <w:ilvl w:val="0"/>
          <w:numId w:val="10"/>
        </w:numPr>
      </w:pPr>
      <w:r>
        <w:rPr>
          <w:rFonts w:ascii="Calibri" w:hAnsi="Calibri"/>
          <w:b w:val="0"/>
          <w:i w:val="0"/>
          <w:color w:val="172033"/>
          <w:sz w:val="22"/>
        </w:rPr>
        <w:t>What part of the report sounds most like you?</w:t>
      </w:r>
    </w:p>
    <w:p>
      <w:pPr>
        <w:widowControl/>
        <w:numPr>
          <w:ilvl w:val="0"/>
          <w:numId w:val="10"/>
        </w:numPr>
      </w:pPr>
      <w:r>
        <w:rPr>
          <w:rFonts w:ascii="Calibri" w:hAnsi="Calibri"/>
          <w:b w:val="0"/>
          <w:i w:val="0"/>
          <w:color w:val="172033"/>
          <w:sz w:val="22"/>
        </w:rPr>
        <w:t>Which occupation would you like to learn about even if you never choose it?</w:t>
      </w:r>
    </w:p>
    <w:p>
      <w:pPr>
        <w:widowControl/>
        <w:numPr>
          <w:ilvl w:val="0"/>
          <w:numId w:val="10"/>
        </w:numPr>
      </w:pPr>
      <w:r>
        <w:rPr>
          <w:rFonts w:ascii="Calibri" w:hAnsi="Calibri"/>
          <w:b w:val="0"/>
          <w:i w:val="0"/>
          <w:color w:val="172033"/>
          <w:sz w:val="22"/>
        </w:rPr>
        <w:t>What does a satisfying day of school or work look like to you?</w:t>
      </w:r>
    </w:p>
    <w:p>
      <w:pPr>
        <w:widowControl/>
        <w:numPr>
          <w:ilvl w:val="0"/>
          <w:numId w:val="10"/>
        </w:numPr>
      </w:pPr>
      <w:r>
        <w:rPr>
          <w:rFonts w:ascii="Calibri" w:hAnsi="Calibri"/>
          <w:b w:val="0"/>
          <w:i w:val="0"/>
          <w:color w:val="172033"/>
          <w:sz w:val="22"/>
        </w:rPr>
        <w:t>What are two routes to the same goal?</w:t>
      </w:r>
    </w:p>
    <w:p>
      <w:pPr>
        <w:widowControl/>
        <w:numPr>
          <w:ilvl w:val="0"/>
          <w:numId w:val="10"/>
        </w:numPr>
      </w:pPr>
      <w:r>
        <w:rPr>
          <w:rFonts w:ascii="Calibri" w:hAnsi="Calibri"/>
          <w:b w:val="0"/>
          <w:i w:val="0"/>
          <w:color w:val="172033"/>
          <w:sz w:val="22"/>
        </w:rPr>
        <w:t>What is the next small step we can support?</w:t>
      </w:r>
    </w:p>
    <w:p>
      <w:pPr>
        <w:pStyle w:val="Heading1"/>
        <w:keepNext/>
        <w:widowControl/>
      </w:pPr>
      <w:r>
        <w:rPr>
          <w:rFonts w:ascii="Calibri" w:hAnsi="Calibri"/>
          <w:b w:val="0"/>
          <w:i w:val="0"/>
          <w:color w:val="172033"/>
          <w:sz w:val="36"/>
        </w:rPr>
        <w:t>Appendix D. AI Prompt Bank</w:t>
      </w:r>
    </w:p>
    <w:p>
      <w:pPr>
        <w:widowControl/>
      </w:pPr>
      <w:r>
        <w:rPr>
          <w:rFonts w:ascii="Calibri" w:hAnsi="Calibri"/>
          <w:b w:val="0"/>
          <w:i w:val="0"/>
          <w:color w:val="172033"/>
          <w:sz w:val="21"/>
        </w:rPr>
        <w:t>These prompts are starting points. Users should verify factual claims and keep counselors involved in consequential decisions.</w:t>
      </w:r>
    </w:p>
    <w:p>
      <w:pPr>
        <w:pStyle w:val="Heading2"/>
        <w:keepNext/>
        <w:widowControl/>
      </w:pPr>
      <w:r>
        <w:rPr>
          <w:rFonts w:ascii="Calibri" w:hAnsi="Calibri"/>
          <w:b w:val="0"/>
          <w:i w:val="0"/>
          <w:color w:val="172033"/>
          <w:sz w:val="28"/>
        </w:rPr>
        <w:t>For students</w:t>
      </w:r>
    </w:p>
    <w:p>
      <w:pPr>
        <w:widowControl/>
        <w:numPr>
          <w:ilvl w:val="0"/>
          <w:numId w:val="10"/>
        </w:numPr>
      </w:pPr>
      <w:r>
        <w:rPr>
          <w:rFonts w:ascii="Calibri" w:hAnsi="Calibri"/>
          <w:b w:val="0"/>
          <w:i w:val="0"/>
          <w:color w:val="172033"/>
          <w:sz w:val="22"/>
        </w:rPr>
        <w:t>Explain my top MAPP motivations in plain language and give me three questions to test whether they fit.</w:t>
      </w:r>
    </w:p>
    <w:p>
      <w:pPr>
        <w:widowControl/>
        <w:numPr>
          <w:ilvl w:val="0"/>
          <w:numId w:val="10"/>
        </w:numPr>
      </w:pPr>
      <w:r>
        <w:rPr>
          <w:rFonts w:ascii="Calibri" w:hAnsi="Calibri"/>
          <w:b w:val="0"/>
          <w:i w:val="0"/>
          <w:color w:val="172033"/>
          <w:sz w:val="22"/>
        </w:rPr>
        <w:t>Compare these three careers using daily tasks, work environment, education, outlook and my strongest MAPP preferences.</w:t>
      </w:r>
    </w:p>
    <w:p>
      <w:pPr>
        <w:widowControl/>
        <w:numPr>
          <w:ilvl w:val="0"/>
          <w:numId w:val="10"/>
        </w:numPr>
      </w:pPr>
      <w:r>
        <w:rPr>
          <w:rFonts w:ascii="Calibri" w:hAnsi="Calibri"/>
          <w:b w:val="0"/>
          <w:i w:val="0"/>
          <w:color w:val="172033"/>
          <w:sz w:val="22"/>
        </w:rPr>
        <w:t>Show me several majors, certificates or apprenticeship routes connected to this career. Do not assume a four-year degree is the only route.</w:t>
      </w:r>
    </w:p>
    <w:p>
      <w:pPr>
        <w:widowControl/>
        <w:numPr>
          <w:ilvl w:val="0"/>
          <w:numId w:val="10"/>
        </w:numPr>
      </w:pPr>
      <w:r>
        <w:rPr>
          <w:rFonts w:ascii="Calibri" w:hAnsi="Calibri"/>
          <w:b w:val="0"/>
          <w:i w:val="0"/>
          <w:color w:val="172033"/>
          <w:sz w:val="22"/>
        </w:rPr>
        <w:t>Review these live job listings and identify the five skills or credentials that appear most often. Tell me which claims need verification.</w:t>
      </w:r>
    </w:p>
    <w:p>
      <w:pPr>
        <w:widowControl/>
        <w:numPr>
          <w:ilvl w:val="0"/>
          <w:numId w:val="10"/>
        </w:numPr>
      </w:pPr>
      <w:r>
        <w:rPr>
          <w:rFonts w:ascii="Calibri" w:hAnsi="Calibri"/>
          <w:b w:val="0"/>
          <w:i w:val="0"/>
          <w:color w:val="172033"/>
          <w:sz w:val="22"/>
        </w:rPr>
        <w:t>Help me build a 30-day exploration plan with one conversation, one research task and one hands-on experiment.</w:t>
      </w:r>
    </w:p>
    <w:p>
      <w:pPr>
        <w:pStyle w:val="Heading2"/>
        <w:keepNext/>
        <w:widowControl/>
      </w:pPr>
      <w:r>
        <w:rPr>
          <w:rFonts w:ascii="Calibri" w:hAnsi="Calibri"/>
          <w:b w:val="0"/>
          <w:i w:val="0"/>
          <w:color w:val="172033"/>
          <w:sz w:val="28"/>
        </w:rPr>
        <w:t>For counselors</w:t>
      </w:r>
    </w:p>
    <w:p>
      <w:pPr>
        <w:widowControl/>
        <w:numPr>
          <w:ilvl w:val="0"/>
          <w:numId w:val="10"/>
        </w:numPr>
      </w:pPr>
      <w:r>
        <w:rPr>
          <w:rFonts w:ascii="Calibri" w:hAnsi="Calibri"/>
          <w:b w:val="0"/>
          <w:i w:val="0"/>
          <w:color w:val="172033"/>
          <w:sz w:val="22"/>
        </w:rPr>
        <w:t>Summarize this student’s strongest MAPP themes, possible tensions and five open-ended questions. Do not make a career prescription.</w:t>
      </w:r>
    </w:p>
    <w:p>
      <w:pPr>
        <w:widowControl/>
        <w:numPr>
          <w:ilvl w:val="0"/>
          <w:numId w:val="10"/>
        </w:numPr>
      </w:pPr>
      <w:r>
        <w:rPr>
          <w:rFonts w:ascii="Calibri" w:hAnsi="Calibri"/>
          <w:b w:val="0"/>
          <w:i w:val="0"/>
          <w:color w:val="172033"/>
          <w:sz w:val="22"/>
        </w:rPr>
        <w:t>Draft a parent-friendly summary that distinguishes motivation from demonstrated ability and preserves student choice.</w:t>
      </w:r>
    </w:p>
    <w:p>
      <w:pPr>
        <w:widowControl/>
        <w:numPr>
          <w:ilvl w:val="0"/>
          <w:numId w:val="10"/>
        </w:numPr>
      </w:pPr>
      <w:r>
        <w:rPr>
          <w:rFonts w:ascii="Calibri" w:hAnsi="Calibri"/>
          <w:b w:val="0"/>
          <w:i w:val="0"/>
          <w:color w:val="172033"/>
          <w:sz w:val="22"/>
        </w:rPr>
        <w:t>Create a comparison of college, community-college, certificate and apprenticeship routes for this goal. Include questions we must verify.</w:t>
      </w:r>
    </w:p>
    <w:p>
      <w:pPr>
        <w:widowControl/>
        <w:numPr>
          <w:ilvl w:val="0"/>
          <w:numId w:val="10"/>
        </w:numPr>
      </w:pPr>
      <w:r>
        <w:rPr>
          <w:rFonts w:ascii="Calibri" w:hAnsi="Calibri"/>
          <w:b w:val="0"/>
          <w:i w:val="0"/>
          <w:color w:val="172033"/>
          <w:sz w:val="22"/>
        </w:rPr>
        <w:t>Suggest a grade-appropriate individual learning plan based on the student’s selected goals, not solely on assessment scores.</w:t>
      </w:r>
    </w:p>
    <w:p>
      <w:pPr>
        <w:widowControl/>
        <w:numPr>
          <w:ilvl w:val="0"/>
          <w:numId w:val="10"/>
        </w:numPr>
      </w:pPr>
      <w:r>
        <w:rPr>
          <w:rFonts w:ascii="Calibri" w:hAnsi="Calibri"/>
          <w:b w:val="0"/>
          <w:i w:val="0"/>
          <w:color w:val="172033"/>
          <w:sz w:val="22"/>
        </w:rPr>
        <w:t>Identify what information is missing before this student can make a responsible decision.</w:t>
      </w:r>
    </w:p>
    <w:p>
      <w:pPr>
        <w:pStyle w:val="Heading2"/>
        <w:keepNext/>
        <w:widowControl/>
      </w:pPr>
      <w:r>
        <w:rPr>
          <w:rFonts w:ascii="Calibri" w:hAnsi="Calibri"/>
          <w:b w:val="0"/>
          <w:i w:val="0"/>
          <w:color w:val="172033"/>
          <w:sz w:val="28"/>
        </w:rPr>
        <w:t>For parents/guardians</w:t>
      </w:r>
    </w:p>
    <w:p>
      <w:pPr>
        <w:widowControl/>
        <w:numPr>
          <w:ilvl w:val="0"/>
          <w:numId w:val="10"/>
        </w:numPr>
      </w:pPr>
      <w:r>
        <w:rPr>
          <w:rFonts w:ascii="Calibri" w:hAnsi="Calibri"/>
          <w:b w:val="0"/>
          <w:i w:val="0"/>
          <w:color w:val="172033"/>
          <w:sz w:val="22"/>
        </w:rPr>
        <w:t>Explain my student’s main career areas without treating them as fixed recommendations.</w:t>
      </w:r>
    </w:p>
    <w:p>
      <w:pPr>
        <w:widowControl/>
        <w:numPr>
          <w:ilvl w:val="0"/>
          <w:numId w:val="10"/>
        </w:numPr>
      </w:pPr>
      <w:r>
        <w:rPr>
          <w:rFonts w:ascii="Calibri" w:hAnsi="Calibri"/>
          <w:b w:val="0"/>
          <w:i w:val="0"/>
          <w:color w:val="172033"/>
          <w:sz w:val="22"/>
        </w:rPr>
        <w:t>Give me questions that support exploration without pressuring the student toward one path.</w:t>
      </w:r>
    </w:p>
    <w:p>
      <w:pPr>
        <w:widowControl/>
        <w:numPr>
          <w:ilvl w:val="0"/>
          <w:numId w:val="10"/>
        </w:numPr>
      </w:pPr>
      <w:r>
        <w:rPr>
          <w:rFonts w:ascii="Calibri" w:hAnsi="Calibri"/>
          <w:b w:val="0"/>
          <w:i w:val="0"/>
          <w:color w:val="172033"/>
          <w:sz w:val="22"/>
        </w:rPr>
        <w:t>What cost, completion, support and outcome information should our family compare for these education options?</w:t>
      </w:r>
    </w:p>
    <w:p>
      <w:pPr>
        <w:pStyle w:val="Heading1"/>
        <w:keepNext/>
        <w:widowControl/>
      </w:pPr>
      <w:r>
        <w:rPr>
          <w:rFonts w:ascii="Calibri" w:hAnsi="Calibri"/>
          <w:b w:val="0"/>
          <w:i w:val="0"/>
          <w:color w:val="172033"/>
          <w:sz w:val="36"/>
        </w:rPr>
        <w:t>Appendix E. Launch and Procurement Checklist</w:t>
      </w:r>
    </w:p>
    <w:p>
      <w:pPr>
        <w:pStyle w:val="Heading2"/>
        <w:keepNext/>
        <w:widowControl/>
      </w:pPr>
      <w:r>
        <w:rPr>
          <w:rFonts w:ascii="Calibri" w:hAnsi="Calibri"/>
          <w:b w:val="0"/>
          <w:i w:val="0"/>
          <w:color w:val="172033"/>
          <w:sz w:val="28"/>
        </w:rPr>
        <w:t>Program design</w:t>
      </w:r>
    </w:p>
    <w:p>
      <w:pPr>
        <w:widowControl/>
        <w:numPr>
          <w:ilvl w:val="0"/>
          <w:numId w:val="10"/>
        </w:numPr>
      </w:pPr>
      <w:r>
        <w:rPr>
          <w:rFonts w:ascii="Calibri" w:hAnsi="Calibri"/>
          <w:b w:val="0"/>
          <w:i w:val="0"/>
          <w:color w:val="172033"/>
          <w:sz w:val="22"/>
        </w:rPr>
        <w:t>Purpose, grade levels, cohort and success measures are documented.</w:t>
      </w:r>
    </w:p>
    <w:p>
      <w:pPr>
        <w:widowControl/>
        <w:numPr>
          <w:ilvl w:val="0"/>
          <w:numId w:val="10"/>
        </w:numPr>
      </w:pPr>
      <w:r>
        <w:rPr>
          <w:rFonts w:ascii="Calibri" w:hAnsi="Calibri"/>
          <w:b w:val="0"/>
          <w:i w:val="0"/>
          <w:color w:val="172033"/>
          <w:sz w:val="22"/>
        </w:rPr>
        <w:t>A four-year or follow-up sequence exists beyond the initial assessment.</w:t>
      </w:r>
    </w:p>
    <w:p>
      <w:pPr>
        <w:widowControl/>
        <w:numPr>
          <w:ilvl w:val="0"/>
          <w:numId w:val="10"/>
        </w:numPr>
      </w:pPr>
      <w:r>
        <w:rPr>
          <w:rFonts w:ascii="Calibri" w:hAnsi="Calibri"/>
          <w:b w:val="0"/>
          <w:i w:val="0"/>
          <w:color w:val="172033"/>
          <w:sz w:val="22"/>
        </w:rPr>
        <w:t>An executive sponsor and operating lead are named.</w:t>
      </w:r>
    </w:p>
    <w:p>
      <w:pPr>
        <w:widowControl/>
        <w:numPr>
          <w:ilvl w:val="0"/>
          <w:numId w:val="10"/>
        </w:numPr>
      </w:pPr>
      <w:r>
        <w:rPr>
          <w:rFonts w:ascii="Calibri" w:hAnsi="Calibri"/>
          <w:b w:val="0"/>
          <w:i w:val="0"/>
          <w:color w:val="172033"/>
          <w:sz w:val="22"/>
        </w:rPr>
        <w:t>Counselor, advisory, CTE, IT and family roles are clear.</w:t>
      </w:r>
    </w:p>
    <w:p>
      <w:pPr>
        <w:pStyle w:val="Heading2"/>
        <w:keepNext/>
        <w:widowControl/>
      </w:pPr>
      <w:r>
        <w:rPr>
          <w:rFonts w:ascii="Calibri" w:hAnsi="Calibri"/>
          <w:b w:val="0"/>
          <w:i w:val="0"/>
          <w:color w:val="172033"/>
          <w:sz w:val="28"/>
        </w:rPr>
        <w:t>Configuration and training</w:t>
      </w:r>
    </w:p>
    <w:p>
      <w:pPr>
        <w:widowControl/>
        <w:numPr>
          <w:ilvl w:val="0"/>
          <w:numId w:val="10"/>
        </w:numPr>
      </w:pPr>
      <w:r>
        <w:rPr>
          <w:rFonts w:ascii="Calibri" w:hAnsi="Calibri"/>
          <w:b w:val="0"/>
          <w:i w:val="0"/>
          <w:color w:val="172033"/>
          <w:sz w:val="22"/>
        </w:rPr>
        <w:t>Cohorts, invitations, keycodes and role permissions have been tested.</w:t>
      </w:r>
    </w:p>
    <w:p>
      <w:pPr>
        <w:widowControl/>
        <w:numPr>
          <w:ilvl w:val="0"/>
          <w:numId w:val="10"/>
        </w:numPr>
      </w:pPr>
      <w:r>
        <w:rPr>
          <w:rFonts w:ascii="Calibri" w:hAnsi="Calibri"/>
          <w:b w:val="0"/>
          <w:i w:val="0"/>
          <w:color w:val="172033"/>
          <w:sz w:val="22"/>
        </w:rPr>
        <w:t>Student result visibility and AI access are intentionally configured.</w:t>
      </w:r>
    </w:p>
    <w:p>
      <w:pPr>
        <w:widowControl/>
        <w:numPr>
          <w:ilvl w:val="0"/>
          <w:numId w:val="10"/>
        </w:numPr>
      </w:pPr>
      <w:r>
        <w:rPr>
          <w:rFonts w:ascii="Calibri" w:hAnsi="Calibri"/>
          <w:b w:val="0"/>
          <w:i w:val="0"/>
          <w:color w:val="172033"/>
          <w:sz w:val="22"/>
        </w:rPr>
        <w:t>Counselors have practiced interpretation and responsible-use language.</w:t>
      </w:r>
    </w:p>
    <w:p>
      <w:pPr>
        <w:widowControl/>
        <w:numPr>
          <w:ilvl w:val="0"/>
          <w:numId w:val="10"/>
        </w:numPr>
      </w:pPr>
      <w:r>
        <w:rPr>
          <w:rFonts w:ascii="Calibri" w:hAnsi="Calibri"/>
          <w:b w:val="0"/>
          <w:i w:val="0"/>
          <w:color w:val="172033"/>
          <w:sz w:val="22"/>
        </w:rPr>
        <w:t>Teachers know what they may facilitate and when to refer to a counselor.</w:t>
      </w:r>
    </w:p>
    <w:p>
      <w:pPr>
        <w:widowControl/>
        <w:numPr>
          <w:ilvl w:val="0"/>
          <w:numId w:val="10"/>
        </w:numPr>
      </w:pPr>
      <w:r>
        <w:rPr>
          <w:rFonts w:ascii="Calibri" w:hAnsi="Calibri"/>
          <w:b w:val="0"/>
          <w:i w:val="0"/>
          <w:color w:val="172033"/>
          <w:sz w:val="22"/>
        </w:rPr>
        <w:t>Family and student communications are ready in needed languages.</w:t>
      </w:r>
    </w:p>
    <w:p>
      <w:pPr>
        <w:pStyle w:val="Heading2"/>
        <w:keepNext/>
        <w:widowControl/>
      </w:pPr>
      <w:r>
        <w:rPr>
          <w:rFonts w:ascii="Calibri" w:hAnsi="Calibri"/>
          <w:b w:val="0"/>
          <w:i w:val="0"/>
          <w:color w:val="172033"/>
          <w:sz w:val="28"/>
        </w:rPr>
        <w:t>Technology, privacy and support</w:t>
      </w:r>
    </w:p>
    <w:p>
      <w:pPr>
        <w:widowControl/>
        <w:numPr>
          <w:ilvl w:val="0"/>
          <w:numId w:val="10"/>
        </w:numPr>
      </w:pPr>
      <w:r>
        <w:rPr>
          <w:rFonts w:ascii="Calibri" w:hAnsi="Calibri"/>
          <w:b w:val="0"/>
          <w:i w:val="0"/>
          <w:color w:val="172033"/>
          <w:sz w:val="22"/>
        </w:rPr>
        <w:t>District IT, privacy and legal review is complete.</w:t>
      </w:r>
    </w:p>
    <w:p>
      <w:pPr>
        <w:widowControl/>
        <w:numPr>
          <w:ilvl w:val="0"/>
          <w:numId w:val="10"/>
        </w:numPr>
      </w:pPr>
      <w:r>
        <w:rPr>
          <w:rFonts w:ascii="Calibri" w:hAnsi="Calibri"/>
          <w:b w:val="0"/>
          <w:i w:val="0"/>
          <w:color w:val="172033"/>
          <w:sz w:val="22"/>
        </w:rPr>
        <w:t>Accessibility testing and accommodation procedures are complete.</w:t>
      </w:r>
    </w:p>
    <w:p>
      <w:pPr>
        <w:widowControl/>
        <w:numPr>
          <w:ilvl w:val="0"/>
          <w:numId w:val="10"/>
        </w:numPr>
      </w:pPr>
      <w:r>
        <w:rPr>
          <w:rFonts w:ascii="Calibri" w:hAnsi="Calibri"/>
          <w:b w:val="0"/>
          <w:i w:val="0"/>
          <w:color w:val="172033"/>
          <w:sz w:val="22"/>
        </w:rPr>
        <w:t>Data fields, retention, deletion, exports and incident response are documented.</w:t>
      </w:r>
    </w:p>
    <w:p>
      <w:pPr>
        <w:widowControl/>
        <w:numPr>
          <w:ilvl w:val="0"/>
          <w:numId w:val="10"/>
        </w:numPr>
      </w:pPr>
      <w:r>
        <w:rPr>
          <w:rFonts w:ascii="Calibri" w:hAnsi="Calibri"/>
          <w:b w:val="0"/>
          <w:i w:val="0"/>
          <w:color w:val="172033"/>
          <w:sz w:val="22"/>
        </w:rPr>
        <w:t>Integration, branding, language, security and support commitments are confirmed in writing.</w:t>
      </w:r>
    </w:p>
    <w:p>
      <w:pPr>
        <w:widowControl/>
        <w:numPr>
          <w:ilvl w:val="0"/>
          <w:numId w:val="10"/>
        </w:numPr>
      </w:pPr>
      <w:r>
        <w:rPr>
          <w:rFonts w:ascii="Calibri" w:hAnsi="Calibri"/>
          <w:b w:val="0"/>
          <w:i w:val="0"/>
          <w:color w:val="172033"/>
          <w:sz w:val="22"/>
        </w:rPr>
        <w:t>A help process exists for accounts, passwords, invitations and incomplete assessments.</w:t>
      </w:r>
    </w:p>
    <w:p>
      <w:pPr>
        <w:pStyle w:val="Heading2"/>
        <w:keepNext/>
        <w:widowControl/>
      </w:pPr>
      <w:r>
        <w:rPr>
          <w:rFonts w:ascii="Calibri" w:hAnsi="Calibri"/>
          <w:b w:val="0"/>
          <w:i w:val="0"/>
          <w:color w:val="172033"/>
          <w:sz w:val="28"/>
        </w:rPr>
        <w:t>Evaluation</w:t>
      </w:r>
    </w:p>
    <w:p>
      <w:pPr>
        <w:widowControl/>
        <w:numPr>
          <w:ilvl w:val="0"/>
          <w:numId w:val="10"/>
        </w:numPr>
      </w:pPr>
      <w:r>
        <w:rPr>
          <w:rFonts w:ascii="Calibri" w:hAnsi="Calibri"/>
          <w:b w:val="0"/>
          <w:i w:val="0"/>
          <w:color w:val="172033"/>
          <w:sz w:val="22"/>
        </w:rPr>
        <w:t>Baseline measures and reporting cadence are defined.</w:t>
      </w:r>
    </w:p>
    <w:p>
      <w:pPr>
        <w:widowControl/>
        <w:numPr>
          <w:ilvl w:val="0"/>
          <w:numId w:val="10"/>
        </w:numPr>
      </w:pPr>
      <w:r>
        <w:rPr>
          <w:rFonts w:ascii="Calibri" w:hAnsi="Calibri"/>
          <w:b w:val="0"/>
          <w:i w:val="0"/>
          <w:color w:val="172033"/>
          <w:sz w:val="22"/>
        </w:rPr>
        <w:t>Student, counselor and family feedback will be collected.</w:t>
      </w:r>
    </w:p>
    <w:p>
      <w:pPr>
        <w:widowControl/>
        <w:numPr>
          <w:ilvl w:val="0"/>
          <w:numId w:val="10"/>
        </w:numPr>
      </w:pPr>
      <w:r>
        <w:rPr>
          <w:rFonts w:ascii="Calibri" w:hAnsi="Calibri"/>
          <w:b w:val="0"/>
          <w:i w:val="0"/>
          <w:color w:val="172033"/>
          <w:sz w:val="22"/>
        </w:rPr>
        <w:t>Equity and access will be reviewed, not assumed.</w:t>
      </w:r>
    </w:p>
    <w:p>
      <w:pPr>
        <w:widowControl/>
        <w:numPr>
          <w:ilvl w:val="0"/>
          <w:numId w:val="10"/>
        </w:numPr>
      </w:pPr>
      <w:r>
        <w:rPr>
          <w:rFonts w:ascii="Calibri" w:hAnsi="Calibri"/>
          <w:b w:val="0"/>
          <w:i w:val="0"/>
          <w:color w:val="172033"/>
          <w:sz w:val="22"/>
        </w:rPr>
        <w:t>The pilot has a decision point for revise, expand or stop.</w:t>
      </w:r>
    </w:p>
    <w:p>
      <w:pPr>
        <w:widowControl/>
      </w:pPr>
      <w:r>
        <w:br w:type="page"/>
      </w:r>
    </w:p>
    <w:p>
      <w:pPr>
        <w:pStyle w:val="Heading1"/>
        <w:keepNext/>
        <w:widowControl/>
      </w:pPr>
      <w:r>
        <w:rPr>
          <w:rFonts w:ascii="Calibri" w:hAnsi="Calibri"/>
          <w:b w:val="0"/>
          <w:i w:val="0"/>
          <w:color w:val="172033"/>
          <w:sz w:val="36"/>
        </w:rPr>
        <w:t>Appendix F. Sources and Further Reading</w:t>
      </w:r>
    </w:p>
    <w:p>
      <w:pPr>
        <w:widowControl/>
        <w:spacing w:after="100"/>
      </w:pPr>
      <w:r>
        <w:rPr>
          <w:rFonts w:ascii="Calibri" w:hAnsi="Calibri"/>
          <w:b/>
          <w:i w:val="0"/>
          <w:color w:val="0B1F3A"/>
          <w:sz w:val="19"/>
        </w:rPr>
        <w:t xml:space="preserve">1. American School Counselor Association — School Counselor Roles &amp; Ratios: </w:t>
      </w:r>
      <w:hyperlink r:id="rId11">
        <w:r>
          <w:rPr>
            <w:color w:val="2E6BE6"/>
            <w:u w:val="single"/>
            <w:rFonts w:ascii="Calibri" w:hAnsi="Calibri"/>
            <w:sz w:val="20"/>
          </w:rPr>
          <w:t>https://www.schoolcounselor.org/About-School-Counseling/School-Counselor-Roles-Ratios</w:t>
        </w:r>
      </w:hyperlink>
    </w:p>
    <w:p>
      <w:pPr>
        <w:widowControl/>
        <w:spacing w:after="100"/>
      </w:pPr>
      <w:r>
        <w:rPr>
          <w:rFonts w:ascii="Calibri" w:hAnsi="Calibri"/>
          <w:b/>
          <w:i w:val="0"/>
          <w:color w:val="0B1F3A"/>
          <w:sz w:val="19"/>
        </w:rPr>
        <w:t xml:space="preserve">2. ASCA — Appraisal and Advisement for Postsecondary Preparation: </w:t>
      </w:r>
      <w:hyperlink r:id="rId12">
        <w:r>
          <w:rPr>
            <w:color w:val="2E6BE6"/>
            <w:u w:val="single"/>
            <w:rFonts w:ascii="Calibri" w:hAnsi="Calibri"/>
            <w:sz w:val="20"/>
          </w:rPr>
          <w:t>https://schoolcounselor.org/Standards-Positions/Position-Statements/ASCA-Position-Statements/The-School-Counselor-and-Individual-Student-Planni</w:t>
        </w:r>
      </w:hyperlink>
    </w:p>
    <w:p>
      <w:pPr>
        <w:widowControl/>
        <w:spacing w:after="100"/>
      </w:pPr>
      <w:r>
        <w:rPr>
          <w:rFonts w:ascii="Calibri" w:hAnsi="Calibri"/>
          <w:b/>
          <w:i w:val="0"/>
          <w:color w:val="0B1F3A"/>
          <w:sz w:val="19"/>
        </w:rPr>
        <w:t xml:space="preserve">3. Assessment.com — MAPP Assessment, About MAPP and MAPP FAQs: </w:t>
      </w:r>
      <w:hyperlink r:id="rId13">
        <w:r>
          <w:rPr>
            <w:color w:val="2E6BE6"/>
            <w:u w:val="single"/>
            <w:rFonts w:ascii="Calibri" w:hAnsi="Calibri"/>
            <w:sz w:val="20"/>
          </w:rPr>
          <w:t>https://www.assessment.com/mapp-assessment</w:t>
        </w:r>
      </w:hyperlink>
    </w:p>
    <w:p>
      <w:pPr>
        <w:widowControl/>
        <w:spacing w:after="100"/>
      </w:pPr>
      <w:r>
        <w:rPr>
          <w:rFonts w:ascii="Calibri" w:hAnsi="Calibri"/>
          <w:b/>
          <w:i w:val="0"/>
          <w:color w:val="0B1F3A"/>
          <w:sz w:val="19"/>
        </w:rPr>
        <w:t xml:space="preserve">4. Assessment.com — MAPP Validity Study: </w:t>
      </w:r>
      <w:hyperlink r:id="rId14">
        <w:r>
          <w:rPr>
            <w:color w:val="2E6BE6"/>
            <w:u w:val="single"/>
            <w:rFonts w:ascii="Calibri" w:hAnsi="Calibri"/>
            <w:sz w:val="20"/>
          </w:rPr>
          <w:t>https://www.assessment.com/validity-study</w:t>
        </w:r>
      </w:hyperlink>
    </w:p>
    <w:p>
      <w:pPr>
        <w:widowControl/>
        <w:spacing w:after="100"/>
      </w:pPr>
      <w:r>
        <w:rPr>
          <w:rFonts w:ascii="Calibri" w:hAnsi="Calibri"/>
          <w:b/>
          <w:i w:val="0"/>
          <w:color w:val="0B1F3A"/>
          <w:sz w:val="19"/>
        </w:rPr>
        <w:t xml:space="preserve">5. Assessment.com — MAPP Interpretation Guide and Reference Manual: </w:t>
      </w:r>
      <w:hyperlink r:id="rId15">
        <w:r>
          <w:rPr>
            <w:color w:val="2E6BE6"/>
            <w:u w:val="single"/>
            <w:rFonts w:ascii="Calibri" w:hAnsi="Calibri"/>
            <w:sz w:val="20"/>
          </w:rPr>
          <w:t>https://www.assessment.com/mapp-interpretation-guide</w:t>
        </w:r>
      </w:hyperlink>
    </w:p>
    <w:p>
      <w:pPr>
        <w:widowControl/>
        <w:spacing w:after="100"/>
      </w:pPr>
      <w:r>
        <w:rPr>
          <w:rFonts w:ascii="Calibri" w:hAnsi="Calibri"/>
          <w:b/>
          <w:i w:val="0"/>
          <w:color w:val="0B1F3A"/>
          <w:sz w:val="19"/>
        </w:rPr>
        <w:t xml:space="preserve">6. U.S. Department of Education — College Scorecard and Federal Student Aid college comparison guidance: </w:t>
      </w:r>
      <w:hyperlink r:id="rId16">
        <w:r>
          <w:rPr>
            <w:color w:val="2E6BE6"/>
            <w:u w:val="single"/>
            <w:rFonts w:ascii="Calibri" w:hAnsi="Calibri"/>
            <w:sz w:val="20"/>
          </w:rPr>
          <w:t>https://studentaid.gov/articles/4-things-consider-choosing-college-career-school/</w:t>
        </w:r>
      </w:hyperlink>
    </w:p>
    <w:p>
      <w:pPr>
        <w:widowControl/>
        <w:spacing w:after="100"/>
      </w:pPr>
      <w:r>
        <w:rPr>
          <w:rFonts w:ascii="Calibri" w:hAnsi="Calibri"/>
          <w:b/>
          <w:i w:val="0"/>
          <w:color w:val="0B1F3A"/>
          <w:sz w:val="19"/>
        </w:rPr>
        <w:t xml:space="preserve">7. National Association for College Admission Counseling — Guide to Ethical Practice in College Admission: </w:t>
      </w:r>
      <w:hyperlink r:id="rId17">
        <w:r>
          <w:rPr>
            <w:color w:val="2E6BE6"/>
            <w:u w:val="single"/>
            <w:rFonts w:ascii="Calibri" w:hAnsi="Calibri"/>
            <w:sz w:val="20"/>
          </w:rPr>
          <w:t>https://www.nacacnet.org/who-we-are/what-we-do/guiding-ethics/nacacs-guide-to-ethical-practice-in-college-admission/</w:t>
        </w:r>
      </w:hyperlink>
    </w:p>
    <w:p>
      <w:pPr>
        <w:widowControl/>
        <w:spacing w:after="100"/>
      </w:pPr>
      <w:r>
        <w:rPr>
          <w:rFonts w:ascii="Calibri" w:hAnsi="Calibri"/>
          <w:b/>
          <w:i w:val="0"/>
          <w:color w:val="0B1F3A"/>
          <w:sz w:val="19"/>
        </w:rPr>
        <w:t xml:space="preserve">8. O*NET Resource Center — Content Model: </w:t>
      </w:r>
      <w:hyperlink r:id="rId18">
        <w:r>
          <w:rPr>
            <w:color w:val="2E6BE6"/>
            <w:u w:val="single"/>
            <w:rFonts w:ascii="Calibri" w:hAnsi="Calibri"/>
            <w:sz w:val="20"/>
          </w:rPr>
          <w:t>https://www.onetcenter.org/content.html</w:t>
        </w:r>
      </w:hyperlink>
    </w:p>
    <w:p>
      <w:pPr>
        <w:widowControl/>
        <w:spacing w:after="100"/>
      </w:pPr>
      <w:r>
        <w:rPr>
          <w:rFonts w:ascii="Calibri" w:hAnsi="Calibri"/>
          <w:b/>
          <w:i w:val="0"/>
          <w:color w:val="0B1F3A"/>
          <w:sz w:val="19"/>
        </w:rPr>
        <w:t xml:space="preserve">9. U.S. Bureau of Labor Statistics — Occupational Information Included in the Occupational Outlook Handbook: </w:t>
      </w:r>
      <w:hyperlink r:id="rId19">
        <w:r>
          <w:rPr>
            <w:color w:val="2E6BE6"/>
            <w:u w:val="single"/>
            <w:rFonts w:ascii="Calibri" w:hAnsi="Calibri"/>
            <w:sz w:val="20"/>
          </w:rPr>
          <w:t>https://www.bls.gov/ooh/About/Occupational-Information-Included-in-the-OOH.htm</w:t>
        </w:r>
      </w:hyperlink>
    </w:p>
    <w:p>
      <w:pPr>
        <w:widowControl/>
        <w:spacing w:after="100"/>
      </w:pPr>
      <w:r>
        <w:rPr>
          <w:rFonts w:ascii="Calibri" w:hAnsi="Calibri"/>
          <w:b/>
          <w:i w:val="0"/>
          <w:color w:val="0B1F3A"/>
          <w:sz w:val="19"/>
        </w:rPr>
        <w:t xml:space="preserve">10. ASCA — The School Counselor and Career Development: </w:t>
      </w:r>
      <w:hyperlink r:id="rId20">
        <w:r>
          <w:rPr>
            <w:color w:val="2E6BE6"/>
            <w:u w:val="single"/>
            <w:rFonts w:ascii="Calibri" w:hAnsi="Calibri"/>
            <w:sz w:val="20"/>
          </w:rPr>
          <w:t>https://www.schoolcounselor.org/Standards-Positions/Position-Statements/ASCA-Position-Statements/The-School-Counselor-and-Career-Development</w:t>
        </w:r>
      </w:hyperlink>
    </w:p>
    <w:p>
      <w:pPr>
        <w:widowControl/>
        <w:spacing w:after="100"/>
      </w:pPr>
      <w:r>
        <w:rPr>
          <w:rFonts w:ascii="Calibri" w:hAnsi="Calibri"/>
          <w:b/>
          <w:i w:val="0"/>
          <w:color w:val="0B1F3A"/>
          <w:sz w:val="19"/>
        </w:rPr>
        <w:t xml:space="preserve">11. U.S. Department of Education Student Privacy Policy Office — FERPA school official guidance: </w:t>
      </w:r>
      <w:hyperlink r:id="rId21">
        <w:r>
          <w:rPr>
            <w:color w:val="2E6BE6"/>
            <w:u w:val="single"/>
            <w:rFonts w:ascii="Calibri" w:hAnsi="Calibri"/>
            <w:sz w:val="20"/>
          </w:rPr>
          <w:t>https://studentprivacy.ed.gov/faq/who-school-official-under-ferpa</w:t>
        </w:r>
      </w:hyperlink>
    </w:p>
    <w:p>
      <w:pPr>
        <w:widowControl/>
        <w:spacing w:after="100"/>
      </w:pPr>
      <w:r>
        <w:rPr>
          <w:rFonts w:ascii="Calibri" w:hAnsi="Calibri"/>
          <w:b/>
          <w:i w:val="0"/>
          <w:color w:val="0B1F3A"/>
          <w:sz w:val="19"/>
        </w:rPr>
        <w:t xml:space="preserve">Assessment.com — High School Platform: </w:t>
      </w:r>
      <w:hyperlink r:id="rId22">
        <w:r>
          <w:rPr>
            <w:color w:val="2E6BE6"/>
            <w:u w:val="single"/>
            <w:rFonts w:ascii="Calibri" w:hAnsi="Calibri"/>
            <w:sz w:val="20"/>
          </w:rPr>
          <w:t>https://www.assessment.com/platform/high-schools</w:t>
        </w:r>
      </w:hyperlink>
    </w:p>
    <w:p>
      <w:pPr>
        <w:widowControl/>
        <w:spacing w:after="100"/>
      </w:pPr>
      <w:r>
        <w:rPr>
          <w:rFonts w:ascii="Calibri" w:hAnsi="Calibri"/>
          <w:b/>
          <w:i w:val="0"/>
          <w:color w:val="0B1F3A"/>
          <w:sz w:val="19"/>
        </w:rPr>
        <w:t xml:space="preserve">Assessment.com — Education: </w:t>
      </w:r>
      <w:hyperlink r:id="rId23">
        <w:r>
          <w:rPr>
            <w:color w:val="2E6BE6"/>
            <w:u w:val="single"/>
            <w:rFonts w:ascii="Calibri" w:hAnsi="Calibri"/>
            <w:sz w:val="20"/>
          </w:rPr>
          <w:t>https://www.assessment.com/education</w:t>
        </w:r>
      </w:hyperlink>
    </w:p>
    <w:p>
      <w:pPr>
        <w:widowControl/>
        <w:spacing w:after="100"/>
      </w:pPr>
      <w:r>
        <w:rPr>
          <w:rFonts w:ascii="Calibri" w:hAnsi="Calibri"/>
          <w:b/>
          <w:i w:val="0"/>
          <w:color w:val="0B1F3A"/>
          <w:sz w:val="19"/>
        </w:rPr>
        <w:t xml:space="preserve">Assessment.com — Platform Overview: </w:t>
      </w:r>
      <w:hyperlink r:id="rId24">
        <w:r>
          <w:rPr>
            <w:color w:val="2E6BE6"/>
            <w:u w:val="single"/>
            <w:rFonts w:ascii="Calibri" w:hAnsi="Calibri"/>
            <w:sz w:val="20"/>
          </w:rPr>
          <w:t>https://www.assessment.com/platform</w:t>
        </w:r>
      </w:hyperlink>
    </w:p>
    <w:p>
      <w:pPr>
        <w:pStyle w:val="Heading2"/>
        <w:keepNext/>
        <w:widowControl/>
      </w:pPr>
      <w:r>
        <w:rPr>
          <w:rFonts w:ascii="Calibri" w:hAnsi="Calibri"/>
          <w:b w:val="0"/>
          <w:i w:val="0"/>
          <w:color w:val="172033"/>
          <w:sz w:val="28"/>
        </w:rPr>
        <w:t>Important implementation note</w:t>
      </w:r>
    </w:p>
    <w:p>
      <w:pPr>
        <w:widowControl/>
      </w:pPr>
      <w:r>
        <w:rPr>
          <w:rFonts w:ascii="Calibri" w:hAnsi="Calibri"/>
          <w:b w:val="0"/>
          <w:i w:val="0"/>
          <w:color w:val="172033"/>
          <w:sz w:val="21"/>
        </w:rPr>
        <w:t>Platform features, language availability, integrations, reporting, AI access, security controls and data practices may vary by package and configuration and can change over time. Schools should confirm current functionality and contractual requirements directly with Assessment.com before implementation. This guide is educational and operational guidance, not legal advice.</w:t>
      </w:r>
    </w:p>
    <w:p>
      <w:pPr>
        <w:pStyle w:val="Heading2"/>
        <w:keepNext/>
        <w:widowControl/>
      </w:pPr>
      <w:r>
        <w:rPr>
          <w:rFonts w:ascii="Calibri" w:hAnsi="Calibri"/>
          <w:b w:val="0"/>
          <w:i w:val="0"/>
          <w:color w:val="172033"/>
          <w:sz w:val="28"/>
        </w:rPr>
        <w:t>About MAPP® and Assessment.com</w:t>
      </w:r>
    </w:p>
    <w:p>
      <w:pPr>
        <w:widowControl/>
      </w:pPr>
      <w:r>
        <w:rPr>
          <w:rFonts w:ascii="Calibri" w:hAnsi="Calibri"/>
          <w:b w:val="0"/>
          <w:i w:val="0"/>
          <w:color w:val="172033"/>
          <w:sz w:val="21"/>
        </w:rPr>
        <w:t>MAPP® is the Motivational Appraisal of Personal Potential, the flagship career and motivation assessment from International Assessment Network LLC. Assessment.com combines MAPP with career and education exploration, live opportunities, additional assessments, AI-supported guidance, delivery, reporting and organizational tools.</w:t>
      </w:r>
    </w:p>
    <w:sectPr w:rsidR="00FC693F" w:rsidRPr="0006063C" w:rsidSect="00034616">
      <w:headerReference w:type="default" r:id="rId9"/>
      <w:footerReference w:type="default" r:id="rId10"/>
      <w:pgSz w:w="12240" w:h="15840"/>
      <w:pgMar w:top="1181" w:right="1440" w:bottom="1123" w:left="1440"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D6878"/>
        <w:sz w:val="16"/>
      </w:rPr>
      <w:t xml:space="preserve">ASSESSMENT.COM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i w:val="0"/>
        <w:color w:val="0B1F3A"/>
        <w:sz w:val="16"/>
      </w:rPr>
      <w:t>MAPP® HIGH SCHOOL IMPLEMENTATION GUIDE</w:t>
    </w:r>
    <w:r>
      <w:rPr>
        <w:rFonts w:ascii="Calibri" w:hAnsi="Calibri"/>
        <w:b w:val="0"/>
        <w:i w:val="0"/>
        <w:color w:val="5D6878"/>
        <w:sz w:val="16"/>
      </w:rPr>
      <w:t xml:space="preserve">    |    ASSESSMENT.COM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rFonts w:ascii="Calibri" w:hAnsi="Calibri"/>
      </w:rPr>
    </w:lvl>
  </w:abstractNum>
  <w:num w:numId="10">
    <w:abstractNumId w:val="9"/>
  </w:num>
  <w:abstractNum w:abstractNumId="10">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1">
    <w:abstractNumId w:val="10"/>
  </w:num>
  <w:abstractNum w:abstractNumId="11">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2">
    <w:abstractNumId w:val="11"/>
  </w:num>
  <w:abstractNum w:abstractNumId="12">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3">
    <w:abstractNumId w:val="12"/>
  </w:num>
  <w:abstractNum w:abstractNumId="13">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4">
    <w:abstractNumId w:val="13"/>
  </w:num>
  <w:abstractNum w:abstractNumId="14">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5">
    <w:abstractNumId w:val="14"/>
  </w:num>
  <w:abstractNum w:abstractNumId="15">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6">
    <w:abstractNumId w:val="15"/>
  </w:num>
  <w:abstractNum w:abstractNumId="16">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0B1F3A"/>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Calibri" w:hAnsi="Calibri"/>
      <w:b/>
      <w:bCs/>
      <w:color w:val="2E6BE6"/>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libri" w:hAnsi="Calibri"/>
      <w:b/>
      <w:bCs/>
      <w:color w:val="0B1F3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Calibri" w:hAnsi="Calibri"/>
      <w:b/>
      <w:color w:val="0B1F3A"/>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80"/>
    </w:pPr>
    <w:rPr>
      <w:rFonts w:asciiTheme="majorHAnsi" w:eastAsiaTheme="majorEastAsia" w:hAnsiTheme="majorHAnsi" w:cstheme="majorBidi" w:ascii="Calibri" w:hAnsi="Calibri"/>
      <w:b w:val="0"/>
      <w:i/>
      <w:iCs/>
      <w:color w:val="5D687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40"/>
    </w:pPr>
    <w:rPr>
      <w:rFonts w:ascii="Calibri" w:hAnsi="Calibri"/>
      <w:b/>
      <w:color w:val="F4C400"/>
      <w:sz w:val="20"/>
    </w:rPr>
  </w:style>
  <w:style w:type="paragraph" w:customStyle="1" w:styleId="Lead">
    <w:name w:val="Lead"/>
    <w:pPr>
      <w:spacing w:after="200"/>
    </w:pPr>
    <w:rPr>
      <w:rFonts w:ascii="Calibri" w:hAnsi="Calibri"/>
      <w:b w:val="0"/>
      <w:color w:val="0B1F3A"/>
      <w:sz w:val="24"/>
    </w:rPr>
  </w:style>
  <w:style w:type="paragraph" w:customStyle="1" w:styleId="Small">
    <w:name w:val="Small"/>
    <w:pPr>
      <w:spacing w:after="60"/>
    </w:pPr>
    <w:rPr>
      <w:rFonts w:ascii="Calibri" w:hAnsi="Calibri"/>
      <w:b w:val="0"/>
      <w:color w:val="5D6878"/>
      <w:sz w:val="17"/>
    </w:rPr>
  </w:style>
  <w:style w:type="paragraph" w:customStyle="1" w:styleId="CalloutLabel">
    <w:name w:val="Callout Label"/>
    <w:pPr>
      <w:spacing w:after="40"/>
    </w:pPr>
    <w:rPr>
      <w:rFonts w:ascii="Calibri" w:hAnsi="Calibri"/>
      <w:b/>
      <w:color w:val="0B1F3A"/>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schoolcounselor.org/About-School-Counseling/School-Counselor-Roles-Ratios" TargetMode="External"/><Relationship Id="rId12" Type="http://schemas.openxmlformats.org/officeDocument/2006/relationships/hyperlink" Target="https://schoolcounselor.org/Standards-Positions/Position-Statements/ASCA-Position-Statements/The-School-Counselor-and-Individual-Student-Planni" TargetMode="External"/><Relationship Id="rId13" Type="http://schemas.openxmlformats.org/officeDocument/2006/relationships/hyperlink" Target="https://www.assessment.com/mapp-assessment" TargetMode="External"/><Relationship Id="rId14" Type="http://schemas.openxmlformats.org/officeDocument/2006/relationships/hyperlink" Target="https://www.assessment.com/validity-study" TargetMode="External"/><Relationship Id="rId15" Type="http://schemas.openxmlformats.org/officeDocument/2006/relationships/hyperlink" Target="https://www.assessment.com/mapp-interpretation-guide" TargetMode="External"/><Relationship Id="rId16" Type="http://schemas.openxmlformats.org/officeDocument/2006/relationships/hyperlink" Target="https://studentaid.gov/articles/4-things-consider-choosing-college-career-school/" TargetMode="External"/><Relationship Id="rId17" Type="http://schemas.openxmlformats.org/officeDocument/2006/relationships/hyperlink" Target="https://www.nacacnet.org/who-we-are/what-we-do/guiding-ethics/nacacs-guide-to-ethical-practice-in-college-admission/" TargetMode="External"/><Relationship Id="rId18" Type="http://schemas.openxmlformats.org/officeDocument/2006/relationships/hyperlink" Target="https://www.onetcenter.org/content.html" TargetMode="External"/><Relationship Id="rId19" Type="http://schemas.openxmlformats.org/officeDocument/2006/relationships/hyperlink" Target="https://www.bls.gov/ooh/About/Occupational-Information-Included-in-the-OOH.htm" TargetMode="External"/><Relationship Id="rId20" Type="http://schemas.openxmlformats.org/officeDocument/2006/relationships/hyperlink" Target="https://www.schoolcounselor.org/Standards-Positions/Position-Statements/ASCA-Position-Statements/The-School-Counselor-and-Career-Development" TargetMode="External"/><Relationship Id="rId21" Type="http://schemas.openxmlformats.org/officeDocument/2006/relationships/hyperlink" Target="https://studentprivacy.ed.gov/faq/who-school-official-under-ferpa" TargetMode="External"/><Relationship Id="rId22" Type="http://schemas.openxmlformats.org/officeDocument/2006/relationships/hyperlink" Target="https://www.assessment.com/platform/high-schools" TargetMode="External"/><Relationship Id="rId23" Type="http://schemas.openxmlformats.org/officeDocument/2006/relationships/hyperlink" Target="https://www.assessment.com/education" TargetMode="External"/><Relationship Id="rId24" Type="http://schemas.openxmlformats.org/officeDocument/2006/relationships/hyperlink" Target="https://www.assessment.com/plat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MAPP High School Implementation Guide</dc:title>
  <dc:subject>Comprehensive guidance for using MAPP and Assessment.com in high schools</dc:subject>
  <dc:creator>Assessment.com</dc:creator>
  <cp:keywords>MAPP, high school, career readiness, college counseling, major selection, CTE, Assessment.com</cp:keywords>
  <dc:description>generated by python-docx</dc:description>
  <cp:lastModifiedBy/>
  <cp:revision>1</cp:revision>
  <dcterms:created xsi:type="dcterms:W3CDTF">2013-12-23T23:15:00Z</dcterms:created>
  <dcterms:modified xsi:type="dcterms:W3CDTF">2013-12-23T23:15:00Z</dcterms:modified>
  <cp:category/>
</cp:coreProperties>
</file>