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Pr>
      <w:r>
        <w:rPr>
          <w:rFonts w:ascii="Calibri" w:hAnsi="Calibri"/>
          <w:b/>
          <w:i w:val="0"/>
          <w:color w:val="172033"/>
          <w:sz w:val="20"/>
        </w:rPr>
        <w:t>WORKFORCE DEVELOPMENT RESOURCE GUIDE</w:t>
      </w:r>
    </w:p>
    <w:p>
      <w:pPr>
        <w:pStyle w:val="Title"/>
      </w:pPr>
      <w:r>
        <w:rPr>
          <w:rFonts w:ascii="Calibri" w:hAnsi="Calibri"/>
          <w:b w:val="0"/>
          <w:i w:val="0"/>
          <w:color w:val="172033"/>
          <w:sz w:val="58"/>
        </w:rPr>
        <w:t>MAPP® + Assessment.com</w:t>
        <w:br/>
        <w:t>for Workforce Development Agencies</w:t>
      </w:r>
    </w:p>
    <w:p>
      <w:pPr>
        <w:pStyle w:val="Subtitle"/>
      </w:pPr>
      <w:r>
        <w:rPr>
          <w:rFonts w:ascii="Calibri" w:hAnsi="Calibri"/>
          <w:b w:val="0"/>
          <w:i w:val="0"/>
          <w:color w:val="172033"/>
          <w:sz w:val="28"/>
        </w:rPr>
        <w:t>A practical operating guide for state, county, regional, and local workforce systems serving job seekers, career changers, youth, veterans, displaced workers, justice-involved participants, and employers.</w:t>
      </w:r>
    </w:p>
    <w:tbl>
      <w:tblPr>
        <w:tblW w:type="dxa" w:w="9360"/>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3120"/>
        <w:gridCol w:w="3120"/>
        <w:gridCol w:w="3120"/>
      </w:tblGrid>
      <w:tr>
        <w:tc>
          <w:tcPr>
            <w:tcW w:type="dxa" w:w="3120"/>
            <w:tcMar>
              <w:top w:w="100" w:type="dxa"/>
              <w:start w:w="140" w:type="dxa"/>
              <w:bottom w:w="100" w:type="dxa"/>
              <w:end w:w="140" w:type="dxa"/>
            </w:tcMar>
            <w:vAlign w:val="center"/>
            <w:shd w:fill="EAF1FF"/>
          </w:tcPr>
          <w:p>
            <w:pPr>
              <w:jc w:val="center"/>
            </w:pPr>
            <w:r>
              <w:rPr>
                <w:rFonts w:ascii="Calibri" w:hAnsi="Calibri"/>
                <w:b/>
                <w:i w:val="0"/>
                <w:color w:val="0B1F3A"/>
                <w:sz w:val="30"/>
              </w:rPr>
              <w:t>Discover</w:t>
            </w:r>
          </w:p>
          <w:p>
            <w:pPr>
              <w:jc w:val="center"/>
            </w:pPr>
            <w:r>
              <w:rPr>
                <w:rFonts w:ascii="Calibri" w:hAnsi="Calibri"/>
                <w:b w:val="0"/>
                <w:i w:val="0"/>
                <w:color w:val="5D6878"/>
                <w:sz w:val="19"/>
              </w:rPr>
              <w:t>Motivation, interests, strengths, and fit</w:t>
            </w:r>
          </w:p>
        </w:tc>
        <w:tc>
          <w:tcPr>
            <w:tcW w:type="dxa" w:w="3120"/>
            <w:tcMar>
              <w:top w:w="100" w:type="dxa"/>
              <w:start w:w="140" w:type="dxa"/>
              <w:bottom w:w="100" w:type="dxa"/>
              <w:end w:w="140" w:type="dxa"/>
            </w:tcMar>
            <w:vAlign w:val="center"/>
            <w:shd w:fill="EAF7F1"/>
          </w:tcPr>
          <w:p>
            <w:pPr>
              <w:jc w:val="center"/>
            </w:pPr>
            <w:r>
              <w:rPr>
                <w:rFonts w:ascii="Calibri" w:hAnsi="Calibri"/>
                <w:b/>
                <w:i w:val="0"/>
                <w:color w:val="0B1F3A"/>
                <w:sz w:val="30"/>
              </w:rPr>
              <w:t>Navigate</w:t>
            </w:r>
          </w:p>
          <w:p>
            <w:pPr>
              <w:jc w:val="center"/>
            </w:pPr>
            <w:r>
              <w:rPr>
                <w:rFonts w:ascii="Calibri" w:hAnsi="Calibri"/>
                <w:b w:val="0"/>
                <w:i w:val="0"/>
                <w:color w:val="5D6878"/>
                <w:sz w:val="19"/>
              </w:rPr>
              <w:t>Careers, education, credentials, and live jobs</w:t>
            </w:r>
          </w:p>
        </w:tc>
        <w:tc>
          <w:tcPr>
            <w:tcW w:type="dxa" w:w="3120"/>
            <w:tcMar>
              <w:top w:w="100" w:type="dxa"/>
              <w:start w:w="140" w:type="dxa"/>
              <w:bottom w:w="100" w:type="dxa"/>
              <w:end w:w="140" w:type="dxa"/>
            </w:tcMar>
            <w:vAlign w:val="center"/>
            <w:shd w:fill="FFF8D8"/>
          </w:tcPr>
          <w:p>
            <w:pPr>
              <w:jc w:val="center"/>
            </w:pPr>
            <w:r>
              <w:rPr>
                <w:rFonts w:ascii="Calibri" w:hAnsi="Calibri"/>
                <w:b/>
                <w:i w:val="0"/>
                <w:color w:val="0B1F3A"/>
                <w:sz w:val="30"/>
              </w:rPr>
              <w:t>Advance</w:t>
            </w:r>
          </w:p>
          <w:p>
            <w:pPr>
              <w:jc w:val="center"/>
            </w:pPr>
            <w:r>
              <w:rPr>
                <w:rFonts w:ascii="Calibri" w:hAnsi="Calibri"/>
                <w:b w:val="0"/>
                <w:i w:val="0"/>
                <w:color w:val="5D6878"/>
                <w:sz w:val="19"/>
              </w:rPr>
              <w:t>Plans, skills, employer connections, and outcomes</w:t>
            </w:r>
          </w:p>
        </w:tc>
      </w:tr>
    </w:tbl>
    <w:p>
      <w:pPr>
        <w:pStyle w:val="Quote"/>
      </w:pPr>
      <w:r>
        <w:rPr>
          <w:rFonts w:ascii="Calibri" w:hAnsi="Calibri"/>
          <w:b w:val="0"/>
          <w:i w:val="0"/>
          <w:color w:val="172033"/>
          <w:sz w:val="21"/>
        </w:rPr>
        <w:t>Prepared for workforce executives, program directors, career navigators, case managers, business-services teams, procurement leaders, and implementation partners.</w:t>
      </w:r>
    </w:p>
    <w:tbl>
      <w:tblPr>
        <w:tblW w:type="dxa" w:w="9360"/>
        <w:tblLayout w:type="fixed"/>
        <w:tblLook w:firstColumn="1" w:firstRow="1" w:lastColumn="0" w:lastRow="0" w:noHBand="0" w:noVBand="1" w:val="04A0"/>
        <w:tblInd w:w="120" w:type="dxa"/>
        <w:tblBorders>
          <w:top w:val="single" w:sz="10" w:space="0" w:color="F4C400"/>
          <w:left w:val="single" w:sz="10" w:space="0" w:color="F4C400"/>
          <w:bottom w:val="single" w:sz="10" w:space="0" w:color="F4C400"/>
          <w:right w:val="single" w:sz="10" w:space="0" w:color="F4C400"/>
          <w:insideH w:val="single" w:sz="10" w:space="0" w:color="F4C400"/>
          <w:insideV w:val="single" w:sz="10" w:space="0" w:color="F4C400"/>
        </w:tblBorders>
      </w:tblPr>
      <w:tblGrid>
        <w:gridCol w:w="9360"/>
      </w:tblGrid>
      <w:tr>
        <w:tc>
          <w:tcPr>
            <w:tcW w:type="dxa" w:w="9360"/>
            <w:tcMar>
              <w:top w:w="100" w:type="dxa"/>
              <w:start w:w="140" w:type="dxa"/>
              <w:bottom w:w="100" w:type="dxa"/>
              <w:end w:w="140" w:type="dxa"/>
            </w:tcMar>
            <w:vAlign w:val="center"/>
            <w:shd w:fill="FFF8D8"/>
          </w:tcPr>
          <w:p>
            <w:pPr>
              <w:spacing w:after="60"/>
            </w:pPr>
            <w:r>
              <w:rPr>
                <w:rFonts w:ascii="Calibri" w:hAnsi="Calibri"/>
                <w:b/>
                <w:i w:val="0"/>
                <w:color w:val="0B1F3A"/>
                <w:sz w:val="24"/>
              </w:rPr>
              <w:t>Start with a free workforce account</w:t>
            </w:r>
          </w:p>
          <w:p>
            <w:pPr>
              <w:spacing w:after="80"/>
            </w:pPr>
            <w:r>
              <w:rPr>
                <w:rFonts w:ascii="Calibri" w:hAnsi="Calibri"/>
                <w:b w:val="0"/>
                <w:i w:val="0"/>
                <w:color w:val="172033"/>
                <w:sz w:val="20"/>
              </w:rPr>
              <w:t>Explore the participant experience before planning a program-wide rollout.</w:t>
            </w:r>
          </w:p>
          <w:p>
            <w:pPr>
              <w:spacing w:after="0"/>
            </w:pPr>
            <w:hyperlink r:id="rId11">
              <w:r>
                <w:rPr>
                  <w:color w:val="2E6BE6"/>
                  <w:u w:val="single"/>
                  <w:rFonts w:ascii="Calibri" w:hAnsi="Calibri"/>
                  <w:sz w:val="20"/>
                </w:rPr>
                <w:t>Create a Free Account  →</w:t>
              </w:r>
            </w:hyperlink>
          </w:p>
        </w:tc>
      </w:tr>
    </w:tbl>
    <w:p>
      <w:pPr>
        <w:spacing w:after="20"/>
      </w:pPr>
    </w:p>
    <w:p>
      <w:r>
        <w:br w:type="page"/>
      </w:r>
    </w:p>
    <w:p>
      <w:pPr>
        <w:pStyle w:val="Kicker"/>
      </w:pPr>
      <w:r>
        <w:rPr>
          <w:rFonts w:ascii="Calibri" w:hAnsi="Calibri"/>
          <w:b/>
          <w:i w:val="0"/>
          <w:color w:val="172033"/>
          <w:sz w:val="20"/>
        </w:rPr>
        <w:t>HOW TO USE THIS GUIDE</w:t>
      </w:r>
    </w:p>
    <w:p>
      <w:pPr>
        <w:pStyle w:val="Heading1"/>
        <w:keepNext/>
      </w:pPr>
      <w:r>
        <w:rPr>
          <w:rFonts w:ascii="Calibri" w:hAnsi="Calibri"/>
          <w:b w:val="0"/>
          <w:i w:val="0"/>
          <w:color w:val="172033"/>
          <w:sz w:val="36"/>
        </w:rPr>
        <w:t>From assessment to measurable progress</w:t>
      </w:r>
    </w:p>
    <w:p>
      <w:pPr>
        <w:pStyle w:val="Lead"/>
      </w:pPr>
      <w:r>
        <w:rPr>
          <w:rFonts w:ascii="Calibri" w:hAnsi="Calibri"/>
          <w:b w:val="0"/>
          <w:i w:val="0"/>
          <w:color w:val="172033"/>
          <w:sz w:val="24"/>
        </w:rPr>
        <w:t>This resource is an implementation playbook—not a substitute for agency policy, professional judgment, or validated eligibility and selection procedures.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900"/>
        <w:gridCol w:w="5000"/>
        <w:gridCol w:w="2460"/>
      </w:tblGrid>
      <w:tr>
        <w:trPr>
          <w:tblHeader w:val="true"/>
          <w:cantSplit/>
        </w:trPr>
        <w:tc>
          <w:tcPr>
            <w:tcW w:type="dxa" w:w="1900"/>
            <w:tcMar>
              <w:top w:w="100" w:type="dxa"/>
              <w:start w:w="140" w:type="dxa"/>
              <w:bottom w:w="100" w:type="dxa"/>
              <w:end w:w="140" w:type="dxa"/>
            </w:tcMar>
            <w:vAlign w:val="center"/>
            <w:shd w:fill="0B1F3A"/>
          </w:tcPr>
          <w:p>
            <w:pPr>
              <w:spacing w:after="0"/>
              <w:jc w:val="left"/>
            </w:pPr>
            <w:r>
              <w:rPr>
                <w:rFonts w:ascii="Calibri" w:hAnsi="Calibri"/>
                <w:b/>
                <w:i w:val="0"/>
                <w:color w:val="FFFFFF"/>
                <w:sz w:val="18"/>
              </w:rPr>
              <w:t>If you are…</w:t>
            </w:r>
          </w:p>
        </w:tc>
        <w:tc>
          <w:tcPr>
            <w:tcW w:type="dxa" w:w="5000"/>
            <w:tcMar>
              <w:top w:w="100" w:type="dxa"/>
              <w:start w:w="140" w:type="dxa"/>
              <w:bottom w:w="100" w:type="dxa"/>
              <w:end w:w="140" w:type="dxa"/>
            </w:tcMar>
            <w:vAlign w:val="center"/>
            <w:shd w:fill="0B1F3A"/>
          </w:tcPr>
          <w:p>
            <w:pPr>
              <w:spacing w:after="0"/>
              <w:jc w:val="left"/>
            </w:pPr>
            <w:r>
              <w:rPr>
                <w:rFonts w:ascii="Calibri" w:hAnsi="Calibri"/>
                <w:b/>
                <w:i w:val="0"/>
                <w:color w:val="FFFFFF"/>
                <w:sz w:val="18"/>
              </w:rPr>
              <w:t>Use this guide to…</w:t>
            </w:r>
          </w:p>
        </w:tc>
        <w:tc>
          <w:tcPr>
            <w:tcW w:type="dxa" w:w="2460"/>
            <w:tcMar>
              <w:top w:w="100" w:type="dxa"/>
              <w:start w:w="140" w:type="dxa"/>
              <w:bottom w:w="100" w:type="dxa"/>
              <w:end w:w="140" w:type="dxa"/>
            </w:tcMar>
            <w:vAlign w:val="center"/>
            <w:shd w:fill="0B1F3A"/>
          </w:tcPr>
          <w:p>
            <w:pPr>
              <w:spacing w:after="0"/>
              <w:jc w:val="left"/>
            </w:pPr>
            <w:r>
              <w:rPr>
                <w:rFonts w:ascii="Calibri" w:hAnsi="Calibri"/>
                <w:b/>
                <w:i w:val="0"/>
                <w:color w:val="FFFFFF"/>
                <w:sz w:val="18"/>
              </w:rPr>
              <w:t>Start with</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Workforce executive</w:t>
            </w:r>
          </w:p>
        </w:tc>
        <w:tc>
          <w:tcPr>
            <w:tcW w:type="dxa" w:w="5000"/>
            <w:tcMar>
              <w:top w:w="100" w:type="dxa"/>
              <w:start w:w="140" w:type="dxa"/>
              <w:bottom w:w="100" w:type="dxa"/>
              <w:end w:w="140" w:type="dxa"/>
            </w:tcMar>
            <w:vAlign w:val="center"/>
          </w:tcPr>
          <w:p>
            <w:pPr>
              <w:spacing w:after="0" w:line="264" w:lineRule="auto"/>
            </w:pPr>
            <w:r>
              <w:rPr>
                <w:rFonts w:ascii="Calibri" w:hAnsi="Calibri"/>
                <w:b w:val="0"/>
                <w:i w:val="0"/>
                <w:color w:val="172033"/>
                <w:sz w:val="18"/>
              </w:rPr>
              <w:t>Connect platform capabilities to strategy, WIOA outcomes, governance, and procurement.</w:t>
            </w:r>
          </w:p>
        </w:tc>
        <w:tc>
          <w:tcPr>
            <w:tcW w:type="dxa" w:w="2460"/>
            <w:tcMar>
              <w:top w:w="100" w:type="dxa"/>
              <w:start w:w="140" w:type="dxa"/>
              <w:bottom w:w="100" w:type="dxa"/>
              <w:end w:w="140" w:type="dxa"/>
            </w:tcMar>
            <w:vAlign w:val="center"/>
          </w:tcPr>
          <w:p>
            <w:pPr>
              <w:spacing w:after="0" w:line="264" w:lineRule="auto"/>
            </w:pPr>
            <w:r>
              <w:rPr>
                <w:rFonts w:ascii="Calibri" w:hAnsi="Calibri"/>
                <w:b w:val="0"/>
                <w:i w:val="0"/>
                <w:color w:val="172033"/>
                <w:sz w:val="18"/>
              </w:rPr>
              <w:t>Sections 1, 14–17</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Program director</w:t>
            </w:r>
          </w:p>
        </w:tc>
        <w:tc>
          <w:tcPr>
            <w:tcW w:type="dxa" w:w="50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Design participant journeys, staffing, service tiers, and a pilot.</w:t>
            </w:r>
          </w:p>
        </w:tc>
        <w:tc>
          <w:tcPr>
            <w:tcW w:type="dxa" w:w="2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Sections 4, 10, 16</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Career navigator</w:t>
            </w:r>
          </w:p>
        </w:tc>
        <w:tc>
          <w:tcPr>
            <w:tcW w:type="dxa" w:w="5000"/>
            <w:tcMar>
              <w:top w:w="100" w:type="dxa"/>
              <w:start w:w="140" w:type="dxa"/>
              <w:bottom w:w="100" w:type="dxa"/>
              <w:end w:w="140" w:type="dxa"/>
            </w:tcMar>
            <w:vAlign w:val="center"/>
          </w:tcPr>
          <w:p>
            <w:pPr>
              <w:spacing w:after="0" w:line="264" w:lineRule="auto"/>
            </w:pPr>
            <w:r>
              <w:rPr>
                <w:rFonts w:ascii="Calibri" w:hAnsi="Calibri"/>
                <w:b w:val="0"/>
                <w:i w:val="0"/>
                <w:color w:val="172033"/>
                <w:sz w:val="18"/>
              </w:rPr>
              <w:t>Structure conversations, IEPs, referrals, and follow-up.</w:t>
            </w:r>
          </w:p>
        </w:tc>
        <w:tc>
          <w:tcPr>
            <w:tcW w:type="dxa" w:w="2460"/>
            <w:tcMar>
              <w:top w:w="100" w:type="dxa"/>
              <w:start w:w="140" w:type="dxa"/>
              <w:bottom w:w="100" w:type="dxa"/>
              <w:end w:w="140" w:type="dxa"/>
            </w:tcMar>
            <w:vAlign w:val="center"/>
          </w:tcPr>
          <w:p>
            <w:pPr>
              <w:spacing w:after="0" w:line="264" w:lineRule="auto"/>
            </w:pPr>
            <w:r>
              <w:rPr>
                <w:rFonts w:ascii="Calibri" w:hAnsi="Calibri"/>
                <w:b w:val="0"/>
                <w:i w:val="0"/>
                <w:color w:val="172033"/>
                <w:sz w:val="18"/>
              </w:rPr>
              <w:t>Sections 2, 4, 11; Appendices A–C</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Business-services lead</w:t>
            </w:r>
          </w:p>
        </w:tc>
        <w:tc>
          <w:tcPr>
            <w:tcW w:type="dxa" w:w="50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Translate participant evidence into employer engagement and talent matching.</w:t>
            </w:r>
          </w:p>
        </w:tc>
        <w:tc>
          <w:tcPr>
            <w:tcW w:type="dxa" w:w="2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Section 12</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Data or IT lead</w:t>
            </w:r>
          </w:p>
        </w:tc>
        <w:tc>
          <w:tcPr>
            <w:tcW w:type="dxa" w:w="5000"/>
            <w:tcMar>
              <w:top w:w="100" w:type="dxa"/>
              <w:start w:w="140" w:type="dxa"/>
              <w:bottom w:w="100" w:type="dxa"/>
              <w:end w:w="140" w:type="dxa"/>
            </w:tcMar>
            <w:vAlign w:val="center"/>
          </w:tcPr>
          <w:p>
            <w:pPr>
              <w:spacing w:after="0" w:line="264" w:lineRule="auto"/>
            </w:pPr>
            <w:r>
              <w:rPr>
                <w:rFonts w:ascii="Calibri" w:hAnsi="Calibri"/>
                <w:b w:val="0"/>
                <w:i w:val="0"/>
                <w:color w:val="172033"/>
                <w:sz w:val="18"/>
              </w:rPr>
              <w:t>Plan integrations, permissions, analytics, accessibility, and AI safeguards.</w:t>
            </w:r>
          </w:p>
        </w:tc>
        <w:tc>
          <w:tcPr>
            <w:tcW w:type="dxa" w:w="2460"/>
            <w:tcMar>
              <w:top w:w="100" w:type="dxa"/>
              <w:start w:w="140" w:type="dxa"/>
              <w:bottom w:w="100" w:type="dxa"/>
              <w:end w:w="140" w:type="dxa"/>
            </w:tcMar>
            <w:vAlign w:val="center"/>
          </w:tcPr>
          <w:p>
            <w:pPr>
              <w:spacing w:after="0" w:line="264" w:lineRule="auto"/>
            </w:pPr>
            <w:r>
              <w:rPr>
                <w:rFonts w:ascii="Calibri" w:hAnsi="Calibri"/>
                <w:b w:val="0"/>
                <w:i w:val="0"/>
                <w:color w:val="172033"/>
                <w:sz w:val="18"/>
              </w:rPr>
              <w:t>Sections 14, 15, 17</w:t>
            </w:r>
          </w:p>
        </w:tc>
      </w:tr>
    </w:tbl>
    <w:p>
      <w:pPr>
        <w:spacing w:after="20"/>
      </w:pPr>
    </w:p>
    <w:p>
      <w:pPr>
        <w:pStyle w:val="Heading2"/>
      </w:pPr>
      <w:r>
        <w:rPr>
          <w:rFonts w:ascii="Calibri" w:hAnsi="Calibri"/>
          <w:b w:val="0"/>
          <w:i w:val="0"/>
          <w:color w:val="172033"/>
          <w:sz w:val="28"/>
        </w:rPr>
        <w:t>Contents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900"/>
        <w:gridCol w:w="7460"/>
      </w:tblGrid>
      <w:tr>
        <w:trPr>
          <w:tblHeader w:val="true"/>
          <w:cantSplit/>
        </w:trPr>
        <w:tc>
          <w:tcPr>
            <w:tcW w:type="dxa" w:w="1900"/>
            <w:tcMar>
              <w:top w:w="100" w:type="dxa"/>
              <w:start w:w="140" w:type="dxa"/>
              <w:bottom w:w="100" w:type="dxa"/>
              <w:end w:w="140" w:type="dxa"/>
            </w:tcMar>
            <w:vAlign w:val="center"/>
            <w:shd w:fill="0B1F3A"/>
          </w:tcPr>
          <w:p>
            <w:pPr>
              <w:spacing w:after="0"/>
              <w:jc w:val="left"/>
            </w:pPr>
            <w:r>
              <w:rPr>
                <w:rFonts w:ascii="Calibri" w:hAnsi="Calibri"/>
                <w:b/>
                <w:i w:val="0"/>
                <w:color w:val="FFFFFF"/>
                <w:sz w:val="18"/>
              </w:rPr>
              <w:t>Part</w:t>
            </w:r>
          </w:p>
        </w:tc>
        <w:tc>
          <w:tcPr>
            <w:tcW w:type="dxa" w:w="7460"/>
            <w:tcMar>
              <w:top w:w="100" w:type="dxa"/>
              <w:start w:w="140" w:type="dxa"/>
              <w:bottom w:w="100" w:type="dxa"/>
              <w:end w:w="140" w:type="dxa"/>
            </w:tcMar>
            <w:vAlign w:val="center"/>
            <w:shd w:fill="0B1F3A"/>
          </w:tcPr>
          <w:p>
            <w:pPr>
              <w:spacing w:after="0"/>
              <w:jc w:val="left"/>
            </w:pPr>
            <w:r>
              <w:rPr>
                <w:rFonts w:ascii="Calibri" w:hAnsi="Calibri"/>
                <w:b/>
                <w:i w:val="0"/>
                <w:color w:val="FFFFFF"/>
                <w:sz w:val="18"/>
              </w:rPr>
              <w:t>Topics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I. Strategy</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Operating challenge • MAPP foundation • full platform</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II. Participant service</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Lifecycle • career/education navigation • AI • jobs • transitions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III. System delivery</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Population models • advisor workflow • employer services • readiness</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IV. Accountability</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WIOA measurement • equity/governance • implementation • procurement</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Appendices</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Advisor conversation • IEP worksheet • AI prompts • pilot checklist • sources</w:t>
            </w:r>
          </w:p>
        </w:tc>
      </w:tr>
    </w:tbl>
    <w:p>
      <w:pPr>
        <w:spacing w:after="20"/>
      </w:pPr>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Responsible-use principle  </w:t>
            </w:r>
            <w:r>
              <w:rPr>
                <w:rFonts w:ascii="Calibri" w:hAnsi="Calibri"/>
                <w:b w:val="0"/>
                <w:i w:val="0"/>
                <w:color w:val="172033"/>
                <w:sz w:val="20"/>
              </w:rPr>
              <w:t>MAPP results are decision support. They should expand options and improve conversations—not screen participants out, diagnose a condition, or predetermine a career.</w:t>
            </w:r>
          </w:p>
        </w:tc>
      </w:tr>
    </w:tbl>
    <w:p>
      <w:pPr>
        <w:spacing w:after="20"/>
      </w:pPr>
    </w:p>
    <w:p>
      <w:r>
        <w:br w:type="page"/>
      </w:r>
    </w:p>
    <w:p>
      <w:pPr>
        <w:pStyle w:val="Kicker"/>
      </w:pPr>
      <w:r>
        <w:rPr>
          <w:rFonts w:ascii="Calibri" w:hAnsi="Calibri"/>
          <w:b/>
          <w:i w:val="0"/>
          <w:color w:val="172033"/>
          <w:sz w:val="20"/>
        </w:rPr>
        <w:t>EXECUTIVE SUMMARY</w:t>
      </w:r>
    </w:p>
    <w:p>
      <w:pPr>
        <w:pStyle w:val="Heading1"/>
        <w:keepNext/>
      </w:pPr>
      <w:r>
        <w:rPr>
          <w:rFonts w:ascii="Calibri" w:hAnsi="Calibri"/>
          <w:b w:val="0"/>
          <w:i w:val="0"/>
          <w:color w:val="172033"/>
          <w:sz w:val="36"/>
        </w:rPr>
        <w:t>A connected career-navigation system for the whole participant journey</w:t>
      </w:r>
    </w:p>
    <w:p>
      <w:r>
        <w:rPr>
          <w:rFonts w:ascii="Calibri" w:hAnsi="Calibri"/>
          <w:b w:val="0"/>
          <w:i w:val="0"/>
          <w:color w:val="172033"/>
          <w:sz w:val="21"/>
        </w:rPr>
        <w:t>Assessment.com can help a workforce agency move from a fragmented sequence of intake forms, career searches, training referrals, job boards, and coaching notes toward a connected participant journey. MAPP provides a motivational foundation; the broader platform adds career and education matching, labor-market context, live opportunities, workforce-readiness tools, AI assistance, dashboards, and agency oversight.</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050"/>
        <w:gridCol w:w="3650"/>
        <w:gridCol w:w="3660"/>
      </w:tblGrid>
      <w:tr>
        <w:trPr>
          <w:tblHeader w:val="true"/>
          <w:cantSplit/>
        </w:trPr>
        <w:tc>
          <w:tcPr>
            <w:tcW w:type="dxa" w:w="2050"/>
            <w:tcMar>
              <w:top w:w="100" w:type="dxa"/>
              <w:start w:w="140" w:type="dxa"/>
              <w:bottom w:w="100" w:type="dxa"/>
              <w:end w:w="140" w:type="dxa"/>
            </w:tcMar>
            <w:vAlign w:val="center"/>
            <w:shd w:fill="0B1F3A"/>
          </w:tcPr>
          <w:p>
            <w:pPr>
              <w:spacing w:after="0"/>
              <w:jc w:val="left"/>
            </w:pPr>
            <w:r>
              <w:rPr>
                <w:rFonts w:ascii="Calibri" w:hAnsi="Calibri"/>
                <w:b/>
                <w:i w:val="0"/>
                <w:color w:val="FFFFFF"/>
                <w:sz w:val="18"/>
              </w:rPr>
              <w:t>Agency priority</w:t>
            </w:r>
          </w:p>
        </w:tc>
        <w:tc>
          <w:tcPr>
            <w:tcW w:type="dxa" w:w="3650"/>
            <w:tcMar>
              <w:top w:w="100" w:type="dxa"/>
              <w:start w:w="140" w:type="dxa"/>
              <w:bottom w:w="100" w:type="dxa"/>
              <w:end w:w="140" w:type="dxa"/>
            </w:tcMar>
            <w:vAlign w:val="center"/>
            <w:shd w:fill="0B1F3A"/>
          </w:tcPr>
          <w:p>
            <w:pPr>
              <w:spacing w:after="0"/>
              <w:jc w:val="left"/>
            </w:pPr>
            <w:r>
              <w:rPr>
                <w:rFonts w:ascii="Calibri" w:hAnsi="Calibri"/>
                <w:b/>
                <w:i w:val="0"/>
                <w:color w:val="FFFFFF"/>
                <w:sz w:val="18"/>
              </w:rPr>
              <w:t>Platform contribution</w:t>
            </w:r>
          </w:p>
        </w:tc>
        <w:tc>
          <w:tcPr>
            <w:tcW w:type="dxa" w:w="3660"/>
            <w:tcMar>
              <w:top w:w="100" w:type="dxa"/>
              <w:start w:w="140" w:type="dxa"/>
              <w:bottom w:w="100" w:type="dxa"/>
              <w:end w:w="140" w:type="dxa"/>
            </w:tcMar>
            <w:vAlign w:val="center"/>
            <w:shd w:fill="0B1F3A"/>
          </w:tcPr>
          <w:p>
            <w:pPr>
              <w:spacing w:after="0"/>
              <w:jc w:val="left"/>
            </w:pPr>
            <w:r>
              <w:rPr>
                <w:rFonts w:ascii="Calibri" w:hAnsi="Calibri"/>
                <w:b/>
                <w:i w:val="0"/>
                <w:color w:val="FFFFFF"/>
                <w:sz w:val="18"/>
              </w:rPr>
              <w:t>Operational result</w:t>
            </w:r>
          </w:p>
        </w:tc>
      </w:tr>
      <w:tr>
        <w:trPr>
          <w:cantSplit/>
        </w:trPr>
        <w:tc>
          <w:tcPr>
            <w:tcW w:type="dxa" w:w="2050"/>
            <w:tcMar>
              <w:top w:w="100" w:type="dxa"/>
              <w:start w:w="140" w:type="dxa"/>
              <w:bottom w:w="100" w:type="dxa"/>
              <w:end w:w="140" w:type="dxa"/>
            </w:tcMar>
            <w:vAlign w:val="center"/>
          </w:tcPr>
          <w:p>
            <w:pPr>
              <w:spacing w:after="0" w:line="264" w:lineRule="auto"/>
            </w:pPr>
            <w:r>
              <w:rPr>
                <w:rFonts w:ascii="Calibri" w:hAnsi="Calibri"/>
                <w:b/>
                <w:i w:val="0"/>
                <w:color w:val="172033"/>
                <w:sz w:val="17"/>
              </w:rPr>
              <w:t>Faster, more meaningful intake</w:t>
            </w:r>
          </w:p>
        </w:tc>
        <w:tc>
          <w:tcPr>
            <w:tcW w:type="dxa" w:w="3650"/>
            <w:tcMar>
              <w:top w:w="100" w:type="dxa"/>
              <w:start w:w="140" w:type="dxa"/>
              <w:bottom w:w="100" w:type="dxa"/>
              <w:end w:w="140" w:type="dxa"/>
            </w:tcMar>
            <w:vAlign w:val="center"/>
          </w:tcPr>
          <w:p>
            <w:pPr>
              <w:spacing w:after="0" w:line="264" w:lineRule="auto"/>
            </w:pPr>
            <w:r>
              <w:rPr>
                <w:rFonts w:ascii="Calibri" w:hAnsi="Calibri"/>
                <w:b w:val="0"/>
                <w:i w:val="0"/>
                <w:color w:val="172033"/>
                <w:sz w:val="17"/>
              </w:rPr>
              <w:t>MAPP plus focused assessments and AI-supported summaries</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A shared language for strengths, preferences, barriers, and goals</w:t>
            </w:r>
          </w:p>
        </w:tc>
      </w:tr>
      <w:tr>
        <w:trPr>
          <w:cantSplit/>
        </w:trPr>
        <w:tc>
          <w:tcPr>
            <w:tcW w:type="dxa" w:w="2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Better career plans</w:t>
            </w:r>
          </w:p>
        </w:tc>
        <w:tc>
          <w:tcPr>
            <w:tcW w:type="dxa" w:w="36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Career Explorer, matching, O*NET/BLS context, AI Career Risk</w:t>
            </w:r>
          </w:p>
        </w:tc>
        <w:tc>
          <w:tcPr>
            <w:tcW w:type="dxa" w:w="3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Options are ranked, compared, and stress-tested before referral</w:t>
            </w:r>
          </w:p>
        </w:tc>
      </w:tr>
      <w:tr>
        <w:trPr>
          <w:cantSplit/>
        </w:trPr>
        <w:tc>
          <w:tcPr>
            <w:tcW w:type="dxa" w:w="2050"/>
            <w:tcMar>
              <w:top w:w="100" w:type="dxa"/>
              <w:start w:w="140" w:type="dxa"/>
              <w:bottom w:w="100" w:type="dxa"/>
              <w:end w:w="140" w:type="dxa"/>
            </w:tcMar>
            <w:vAlign w:val="center"/>
          </w:tcPr>
          <w:p>
            <w:pPr>
              <w:spacing w:after="0" w:line="264" w:lineRule="auto"/>
            </w:pPr>
            <w:r>
              <w:rPr>
                <w:rFonts w:ascii="Calibri" w:hAnsi="Calibri"/>
                <w:b/>
                <w:i w:val="0"/>
                <w:color w:val="172033"/>
                <w:sz w:val="17"/>
              </w:rPr>
              <w:t>Training alignment</w:t>
            </w:r>
          </w:p>
        </w:tc>
        <w:tc>
          <w:tcPr>
            <w:tcW w:type="dxa" w:w="3650"/>
            <w:tcMar>
              <w:top w:w="100" w:type="dxa"/>
              <w:start w:w="140" w:type="dxa"/>
              <w:bottom w:w="100" w:type="dxa"/>
              <w:end w:w="140" w:type="dxa"/>
            </w:tcMar>
            <w:vAlign w:val="center"/>
          </w:tcPr>
          <w:p>
            <w:pPr>
              <w:spacing w:after="0" w:line="264" w:lineRule="auto"/>
            </w:pPr>
            <w:r>
              <w:rPr>
                <w:rFonts w:ascii="Calibri" w:hAnsi="Calibri"/>
                <w:b w:val="0"/>
                <w:i w:val="0"/>
                <w:color w:val="172033"/>
                <w:sz w:val="17"/>
              </w:rPr>
              <w:t>Educational pathways, degree/program and institution matching</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Training choices connect to occupations, credentials, costs, and outcomes</w:t>
            </w:r>
          </w:p>
        </w:tc>
      </w:tr>
      <w:tr>
        <w:trPr>
          <w:cantSplit/>
        </w:trPr>
        <w:tc>
          <w:tcPr>
            <w:tcW w:type="dxa" w:w="2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Job placement</w:t>
            </w:r>
          </w:p>
        </w:tc>
        <w:tc>
          <w:tcPr>
            <w:tcW w:type="dxa" w:w="36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Live matching jobs, resume and interview support</w:t>
            </w:r>
          </w:p>
        </w:tc>
        <w:tc>
          <w:tcPr>
            <w:tcW w:type="dxa" w:w="3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Participants move from exploration to applications with less handoff friction</w:t>
            </w:r>
          </w:p>
        </w:tc>
      </w:tr>
      <w:tr>
        <w:trPr>
          <w:cantSplit/>
        </w:trPr>
        <w:tc>
          <w:tcPr>
            <w:tcW w:type="dxa" w:w="2050"/>
            <w:tcMar>
              <w:top w:w="100" w:type="dxa"/>
              <w:start w:w="140" w:type="dxa"/>
              <w:bottom w:w="100" w:type="dxa"/>
              <w:end w:w="140" w:type="dxa"/>
            </w:tcMar>
            <w:vAlign w:val="center"/>
          </w:tcPr>
          <w:p>
            <w:pPr>
              <w:spacing w:after="0" w:line="264" w:lineRule="auto"/>
            </w:pPr>
            <w:r>
              <w:rPr>
                <w:rFonts w:ascii="Calibri" w:hAnsi="Calibri"/>
                <w:b/>
                <w:i w:val="0"/>
                <w:color w:val="172033"/>
                <w:sz w:val="17"/>
              </w:rPr>
              <w:t>Consistent service quality</w:t>
            </w:r>
          </w:p>
        </w:tc>
        <w:tc>
          <w:tcPr>
            <w:tcW w:type="dxa" w:w="3650"/>
            <w:tcMar>
              <w:top w:w="100" w:type="dxa"/>
              <w:start w:w="140" w:type="dxa"/>
              <w:bottom w:w="100" w:type="dxa"/>
              <w:end w:w="140" w:type="dxa"/>
            </w:tcMar>
            <w:vAlign w:val="center"/>
          </w:tcPr>
          <w:p>
            <w:pPr>
              <w:spacing w:after="0" w:line="264" w:lineRule="auto"/>
            </w:pPr>
            <w:r>
              <w:rPr>
                <w:rFonts w:ascii="Calibri" w:hAnsi="Calibri"/>
                <w:b w:val="0"/>
                <w:i w:val="0"/>
                <w:color w:val="172033"/>
                <w:sz w:val="17"/>
              </w:rPr>
              <w:t>Advisor portal, participant dashboards, AI assistance, progress tracking</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Teams can standardize core steps while preserving human judgment</w:t>
            </w:r>
          </w:p>
        </w:tc>
      </w:tr>
      <w:tr>
        <w:trPr>
          <w:cantSplit/>
        </w:trPr>
        <w:tc>
          <w:tcPr>
            <w:tcW w:type="dxa" w:w="2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Accountability</w:t>
            </w:r>
          </w:p>
        </w:tc>
        <w:tc>
          <w:tcPr>
            <w:tcW w:type="dxa" w:w="36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Enterprise analytics, reporting, API and white-label options</w:t>
            </w:r>
          </w:p>
        </w:tc>
        <w:tc>
          <w:tcPr>
            <w:tcW w:type="dxa" w:w="3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Leaders can monitor reach, engagement, progress, and service gaps</w:t>
            </w:r>
          </w:p>
        </w:tc>
      </w:tr>
    </w:tbl>
    <w:p>
      <w:pPr>
        <w:spacing w:after="20"/>
      </w:pPr>
    </w:p>
    <w:tbl>
      <w:tblPr>
        <w:tblW w:type="dxa" w:w="9360"/>
        <w:tblLayout w:type="fixed"/>
        <w:tblLook w:firstColumn="1" w:firstRow="1" w:lastColumn="0" w:lastRow="0" w:noHBand="0" w:noVBand="1" w:val="04A0"/>
        <w:tblInd w:w="120" w:type="dxa"/>
        <w:tblBorders>
          <w:top w:val="single" w:sz="10" w:space="0" w:color="F4C400"/>
          <w:left w:val="single" w:sz="10" w:space="0" w:color="F4C400"/>
          <w:bottom w:val="single" w:sz="10" w:space="0" w:color="F4C400"/>
          <w:right w:val="single" w:sz="10" w:space="0" w:color="F4C400"/>
          <w:insideH w:val="single" w:sz="10" w:space="0" w:color="F4C400"/>
          <w:insideV w:val="single" w:sz="10" w:space="0" w:color="F4C400"/>
        </w:tblBorders>
      </w:tblPr>
      <w:tblGrid>
        <w:gridCol w:w="9360"/>
      </w:tblGrid>
      <w:t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4"/>
              </w:rPr>
              <w:t>Explore the workforce platform</w:t>
            </w:r>
          </w:p>
          <w:p>
            <w:pPr>
              <w:spacing w:after="80"/>
            </w:pPr>
            <w:r>
              <w:rPr>
                <w:rFonts w:ascii="Calibri" w:hAnsi="Calibri"/>
                <w:b w:val="0"/>
                <w:i w:val="0"/>
                <w:color w:val="172033"/>
                <w:sz w:val="20"/>
              </w:rPr>
              <w:t>See the platform capabilities designed for agencies, partners, participants, and employers.</w:t>
            </w:r>
          </w:p>
          <w:p>
            <w:pPr>
              <w:spacing w:after="0"/>
            </w:pPr>
            <w:hyperlink r:id="rId12">
              <w:r>
                <w:rPr>
                  <w:color w:val="2E6BE6"/>
                  <w:u w:val="single"/>
                  <w:rFonts w:ascii="Calibri" w:hAnsi="Calibri"/>
                  <w:sz w:val="20"/>
                </w:rPr>
                <w:t>View Workforce Development Solutions  →</w:t>
              </w:r>
            </w:hyperlink>
          </w:p>
        </w:tc>
      </w:tr>
    </w:tbl>
    <w:p>
      <w:pPr>
        <w:spacing w:after="20"/>
      </w:pPr>
    </w:p>
    <w:p>
      <w:r>
        <w:br w:type="page"/>
      </w:r>
    </w:p>
    <w:p>
      <w:pPr>
        <w:pStyle w:val="Kicker"/>
      </w:pPr>
      <w:r>
        <w:rPr>
          <w:rFonts w:ascii="Calibri" w:hAnsi="Calibri"/>
          <w:b/>
          <w:i w:val="0"/>
          <w:color w:val="172033"/>
          <w:sz w:val="20"/>
        </w:rPr>
        <w:t>01 • STRATEGY</w:t>
      </w:r>
    </w:p>
    <w:p>
      <w:pPr>
        <w:pStyle w:val="Heading1"/>
        <w:keepNext/>
      </w:pPr>
      <w:r>
        <w:rPr>
          <w:rFonts w:ascii="Calibri" w:hAnsi="Calibri"/>
          <w:b w:val="0"/>
          <w:i w:val="0"/>
          <w:color w:val="172033"/>
          <w:sz w:val="36"/>
        </w:rPr>
        <w:t>The workforce operating challenge</w:t>
      </w:r>
    </w:p>
    <w:p>
      <w:r>
        <w:rPr>
          <w:rFonts w:ascii="Calibri" w:hAnsi="Calibri"/>
          <w:b w:val="0"/>
          <w:i w:val="0"/>
          <w:color w:val="172033"/>
          <w:sz w:val="21"/>
        </w:rPr>
        <w:t>Workforce systems serve people with different levels of readiness, digital access, work history, confidence, urgency, and support needs. A useful platform must support both self-service and staff-assisted delivery while keeping each participant’s plan coherent across programs and referrals.</w:t>
      </w:r>
    </w:p>
    <w:p>
      <w:pPr>
        <w:numPr>
          <w:ilvl w:val="0"/>
          <w:numId w:val="10"/>
        </w:numPr>
      </w:pPr>
      <w:r>
        <w:rPr>
          <w:rFonts w:ascii="Calibri" w:hAnsi="Calibri"/>
          <w:b/>
          <w:i w:val="0"/>
          <w:color w:val="172033"/>
          <w:sz w:val="22"/>
        </w:rPr>
        <w:t xml:space="preserve">Fragmented decisions. </w:t>
      </w:r>
      <w:r>
        <w:rPr>
          <w:rFonts w:ascii="Calibri" w:hAnsi="Calibri"/>
          <w:b w:val="0"/>
          <w:i w:val="0"/>
          <w:color w:val="172033"/>
          <w:sz w:val="22"/>
        </w:rPr>
        <w:t>Career choice, training choice, job search, and supportive-service planning often occur in different tools.</w:t>
      </w:r>
    </w:p>
    <w:p>
      <w:pPr>
        <w:numPr>
          <w:ilvl w:val="0"/>
          <w:numId w:val="10"/>
        </w:numPr>
      </w:pPr>
      <w:r>
        <w:rPr>
          <w:rFonts w:ascii="Calibri" w:hAnsi="Calibri"/>
          <w:b/>
          <w:i w:val="0"/>
          <w:color w:val="172033"/>
          <w:sz w:val="22"/>
        </w:rPr>
        <w:t xml:space="preserve">Uneven service intensity. </w:t>
      </w:r>
      <w:r>
        <w:rPr>
          <w:rFonts w:ascii="Calibri" w:hAnsi="Calibri"/>
          <w:b w:val="0"/>
          <w:i w:val="0"/>
          <w:color w:val="172033"/>
          <w:sz w:val="22"/>
        </w:rPr>
        <w:t>Some participants need a quick digital pathway; others need facilitated interpretation and frequent follow-up.</w:t>
      </w:r>
    </w:p>
    <w:p>
      <w:pPr>
        <w:numPr>
          <w:ilvl w:val="0"/>
          <w:numId w:val="10"/>
        </w:numPr>
      </w:pPr>
      <w:r>
        <w:rPr>
          <w:rFonts w:ascii="Calibri" w:hAnsi="Calibri"/>
          <w:b/>
          <w:i w:val="0"/>
          <w:color w:val="172033"/>
          <w:sz w:val="22"/>
        </w:rPr>
        <w:t xml:space="preserve">Labor-market change. </w:t>
      </w:r>
      <w:r>
        <w:rPr>
          <w:rFonts w:ascii="Calibri" w:hAnsi="Calibri"/>
          <w:b w:val="0"/>
          <w:i w:val="0"/>
          <w:color w:val="172033"/>
          <w:sz w:val="22"/>
        </w:rPr>
        <w:t>Career plans must account for demand, skills, credentials, wages, location, and potential technology disruption.</w:t>
      </w:r>
    </w:p>
    <w:p>
      <w:pPr>
        <w:numPr>
          <w:ilvl w:val="0"/>
          <w:numId w:val="10"/>
        </w:numPr>
      </w:pPr>
      <w:r>
        <w:rPr>
          <w:rFonts w:ascii="Calibri" w:hAnsi="Calibri"/>
          <w:b/>
          <w:i w:val="0"/>
          <w:color w:val="172033"/>
          <w:sz w:val="22"/>
        </w:rPr>
        <w:t xml:space="preserve">Administrative load. </w:t>
      </w:r>
      <w:r>
        <w:rPr>
          <w:rFonts w:ascii="Calibri" w:hAnsi="Calibri"/>
          <w:b w:val="0"/>
          <w:i w:val="0"/>
          <w:color w:val="172033"/>
          <w:sz w:val="22"/>
        </w:rPr>
        <w:t>Navigators need practical summaries, reusable workflows, and documentation support without replacing professional review.</w:t>
      </w:r>
    </w:p>
    <w:p>
      <w:pPr>
        <w:numPr>
          <w:ilvl w:val="0"/>
          <w:numId w:val="10"/>
        </w:numPr>
      </w:pPr>
      <w:r>
        <w:rPr>
          <w:rFonts w:ascii="Calibri" w:hAnsi="Calibri"/>
          <w:b/>
          <w:i w:val="0"/>
          <w:color w:val="172033"/>
          <w:sz w:val="22"/>
        </w:rPr>
        <w:t xml:space="preserve">Outcome pressure. </w:t>
      </w:r>
      <w:r>
        <w:rPr>
          <w:rFonts w:ascii="Calibri" w:hAnsi="Calibri"/>
          <w:b w:val="0"/>
          <w:i w:val="0"/>
          <w:color w:val="172033"/>
          <w:sz w:val="22"/>
        </w:rPr>
        <w:t>Programs must improve participant experience while tracking employment, earnings, skills progress, credentials, and employer value.</w:t>
      </w:r>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Design implication  </w:t>
            </w:r>
            <w:r>
              <w:rPr>
                <w:rFonts w:ascii="Calibri" w:hAnsi="Calibri"/>
                <w:b w:val="0"/>
                <w:i w:val="0"/>
                <w:color w:val="172033"/>
                <w:sz w:val="20"/>
              </w:rPr>
              <w:t>Do not deploy MAPP as a stand-alone test. Deploy it as the opening evidence layer in a guided sequence: discover → explore → plan → prepare → connect → follow up.</w:t>
            </w:r>
          </w:p>
        </w:tc>
      </w:tr>
    </w:tbl>
    <w:p>
      <w:pPr>
        <w:spacing w:after="20"/>
      </w:pPr>
    </w:p>
    <w:p>
      <w:pPr>
        <w:pStyle w:val="Kicker"/>
      </w:pPr>
      <w:r>
        <w:rPr>
          <w:rFonts w:ascii="Calibri" w:hAnsi="Calibri"/>
          <w:b/>
          <w:i w:val="0"/>
          <w:color w:val="172033"/>
          <w:sz w:val="20"/>
        </w:rPr>
        <w:t>02 • FOUNDATION</w:t>
      </w:r>
    </w:p>
    <w:p>
      <w:pPr>
        <w:pStyle w:val="Heading1"/>
        <w:keepNext/>
      </w:pPr>
      <w:r>
        <w:rPr>
          <w:rFonts w:ascii="Calibri" w:hAnsi="Calibri"/>
          <w:b w:val="0"/>
          <w:i w:val="0"/>
          <w:color w:val="172033"/>
          <w:sz w:val="36"/>
        </w:rPr>
        <w:t>What MAPP measures—and how to use it responsibly</w:t>
      </w:r>
    </w:p>
    <w:p>
      <w:r>
        <w:rPr>
          <w:rFonts w:ascii="Calibri" w:hAnsi="Calibri"/>
          <w:b w:val="0"/>
          <w:i w:val="0"/>
          <w:color w:val="172033"/>
          <w:sz w:val="21"/>
        </w:rPr>
        <w:t>MAPP is a motivational assessment designed to identify patterns in what a person is naturally drawn toward and the kinds of work environments and activities that may sustain engagement. The platform combines those results with career matching and additional exploration tools.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4680"/>
        <w:gridCol w:w="4680"/>
      </w:tblGrid>
      <w:tr>
        <w:trPr>
          <w:tblHeader w:val="true"/>
          <w:cantSplit/>
        </w:trPr>
        <w:tc>
          <w:tcPr>
            <w:tcW w:type="dxa" w:w="4680"/>
            <w:tcMar>
              <w:top w:w="100" w:type="dxa"/>
              <w:start w:w="140" w:type="dxa"/>
              <w:bottom w:w="100" w:type="dxa"/>
              <w:end w:w="140" w:type="dxa"/>
            </w:tcMar>
            <w:vAlign w:val="center"/>
            <w:shd w:fill="2E6BE6"/>
          </w:tcPr>
          <w:p>
            <w:pPr>
              <w:spacing w:after="0"/>
              <w:jc w:val="left"/>
            </w:pPr>
            <w:r>
              <w:rPr>
                <w:rFonts w:ascii="Calibri" w:hAnsi="Calibri"/>
                <w:b/>
                <w:i w:val="0"/>
                <w:color w:val="FFFFFF"/>
                <w:sz w:val="18"/>
              </w:rPr>
              <w:t>Use MAPP to…</w:t>
            </w:r>
          </w:p>
        </w:tc>
        <w:tc>
          <w:tcPr>
            <w:tcW w:type="dxa" w:w="4680"/>
            <w:tcMar>
              <w:top w:w="100" w:type="dxa"/>
              <w:start w:w="140" w:type="dxa"/>
              <w:bottom w:w="100" w:type="dxa"/>
              <w:end w:w="140" w:type="dxa"/>
            </w:tcMar>
            <w:vAlign w:val="center"/>
            <w:shd w:fill="2E6BE6"/>
          </w:tcPr>
          <w:p>
            <w:pPr>
              <w:spacing w:after="0"/>
              <w:jc w:val="left"/>
            </w:pPr>
            <w:r>
              <w:rPr>
                <w:rFonts w:ascii="Calibri" w:hAnsi="Calibri"/>
                <w:b/>
                <w:i w:val="0"/>
                <w:color w:val="FFFFFF"/>
                <w:sz w:val="18"/>
              </w:rPr>
              <w:t>Do not use MAPP to…</w:t>
            </w:r>
          </w:p>
        </w:tc>
      </w:tr>
      <w:tr>
        <w:trPr>
          <w:cantSplit/>
        </w:trPr>
        <w:tc>
          <w:tcPr>
            <w:tcW w:type="dxa" w:w="4680"/>
            <w:tcMar>
              <w:top w:w="100" w:type="dxa"/>
              <w:start w:w="140" w:type="dxa"/>
              <w:bottom w:w="100" w:type="dxa"/>
              <w:end w:w="140" w:type="dxa"/>
            </w:tcMar>
            <w:vAlign w:val="center"/>
          </w:tcPr>
          <w:p>
            <w:pPr>
              <w:spacing w:after="0" w:line="264" w:lineRule="auto"/>
            </w:pPr>
            <w:r>
              <w:rPr>
                <w:rFonts w:ascii="Calibri" w:hAnsi="Calibri"/>
                <w:b w:val="0"/>
                <w:i w:val="0"/>
                <w:color w:val="172033"/>
                <w:sz w:val="18"/>
              </w:rPr>
              <w:t>Open a strengths-based career conversation</w:t>
            </w:r>
          </w:p>
        </w:tc>
        <w:tc>
          <w:tcPr>
            <w:tcW w:type="dxa" w:w="4680"/>
            <w:tcMar>
              <w:top w:w="100" w:type="dxa"/>
              <w:start w:w="140" w:type="dxa"/>
              <w:bottom w:w="100" w:type="dxa"/>
              <w:end w:w="140" w:type="dxa"/>
            </w:tcMar>
            <w:vAlign w:val="center"/>
          </w:tcPr>
          <w:p>
            <w:pPr>
              <w:spacing w:after="0" w:line="264" w:lineRule="auto"/>
            </w:pPr>
            <w:r>
              <w:rPr>
                <w:rFonts w:ascii="Calibri" w:hAnsi="Calibri"/>
                <w:b w:val="0"/>
                <w:i w:val="0"/>
                <w:color w:val="172033"/>
                <w:sz w:val="18"/>
              </w:rPr>
              <w:t>Diagnose a psychological or medical condition</w:t>
            </w:r>
          </w:p>
        </w:tc>
      </w:tr>
      <w:tr>
        <w:trPr>
          <w:cantSplit/>
        </w:trPr>
        <w:tc>
          <w:tcPr>
            <w:tcW w:type="dxa" w:w="468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Generate and compare plausible career directions</w:t>
            </w:r>
          </w:p>
        </w:tc>
        <w:tc>
          <w:tcPr>
            <w:tcW w:type="dxa" w:w="468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Guarantee performance or predict employment success</w:t>
            </w:r>
          </w:p>
        </w:tc>
      </w:tr>
      <w:tr>
        <w:trPr>
          <w:cantSplit/>
        </w:trPr>
        <w:tc>
          <w:tcPr>
            <w:tcW w:type="dxa" w:w="4680"/>
            <w:tcMar>
              <w:top w:w="100" w:type="dxa"/>
              <w:start w:w="140" w:type="dxa"/>
              <w:bottom w:w="100" w:type="dxa"/>
              <w:end w:w="140" w:type="dxa"/>
            </w:tcMar>
            <w:vAlign w:val="center"/>
          </w:tcPr>
          <w:p>
            <w:pPr>
              <w:spacing w:after="0" w:line="264" w:lineRule="auto"/>
            </w:pPr>
            <w:r>
              <w:rPr>
                <w:rFonts w:ascii="Calibri" w:hAnsi="Calibri"/>
                <w:b w:val="0"/>
                <w:i w:val="0"/>
                <w:color w:val="172033"/>
                <w:sz w:val="18"/>
              </w:rPr>
              <w:t>Identify areas for deeper research and job shadowing</w:t>
            </w:r>
          </w:p>
        </w:tc>
        <w:tc>
          <w:tcPr>
            <w:tcW w:type="dxa" w:w="4680"/>
            <w:tcMar>
              <w:top w:w="100" w:type="dxa"/>
              <w:start w:w="140" w:type="dxa"/>
              <w:bottom w:w="100" w:type="dxa"/>
              <w:end w:w="140" w:type="dxa"/>
            </w:tcMar>
            <w:vAlign w:val="center"/>
          </w:tcPr>
          <w:p>
            <w:pPr>
              <w:spacing w:after="0" w:line="264" w:lineRule="auto"/>
            </w:pPr>
            <w:r>
              <w:rPr>
                <w:rFonts w:ascii="Calibri" w:hAnsi="Calibri"/>
                <w:b w:val="0"/>
                <w:i w:val="0"/>
                <w:color w:val="172033"/>
                <w:sz w:val="18"/>
              </w:rPr>
              <w:t>Exclude someone from a program, occupation, or employer referral</w:t>
            </w:r>
          </w:p>
        </w:tc>
      </w:tr>
      <w:tr>
        <w:trPr>
          <w:cantSplit/>
        </w:trPr>
        <w:tc>
          <w:tcPr>
            <w:tcW w:type="dxa" w:w="468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Connect motivation to training and job-search strategy</w:t>
            </w:r>
          </w:p>
        </w:tc>
        <w:tc>
          <w:tcPr>
            <w:tcW w:type="dxa" w:w="468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Override participant choice, lived experience, or current constraints</w:t>
            </w:r>
          </w:p>
        </w:tc>
      </w:tr>
      <w:tr>
        <w:trPr>
          <w:cantSplit/>
        </w:trPr>
        <w:tc>
          <w:tcPr>
            <w:tcW w:type="dxa" w:w="4680"/>
            <w:tcMar>
              <w:top w:w="100" w:type="dxa"/>
              <w:start w:w="140" w:type="dxa"/>
              <w:bottom w:w="100" w:type="dxa"/>
              <w:end w:w="140" w:type="dxa"/>
            </w:tcMar>
            <w:vAlign w:val="center"/>
          </w:tcPr>
          <w:p>
            <w:pPr>
              <w:spacing w:after="0" w:line="264" w:lineRule="auto"/>
            </w:pPr>
            <w:r>
              <w:rPr>
                <w:rFonts w:ascii="Calibri" w:hAnsi="Calibri"/>
                <w:b w:val="0"/>
                <w:i w:val="0"/>
                <w:color w:val="172033"/>
                <w:sz w:val="18"/>
              </w:rPr>
              <w:t>Create a baseline for an individual employment plan</w:t>
            </w:r>
          </w:p>
        </w:tc>
        <w:tc>
          <w:tcPr>
            <w:tcW w:type="dxa" w:w="4680"/>
            <w:tcMar>
              <w:top w:w="100" w:type="dxa"/>
              <w:start w:w="140" w:type="dxa"/>
              <w:bottom w:w="100" w:type="dxa"/>
              <w:end w:w="140" w:type="dxa"/>
            </w:tcMar>
            <w:vAlign w:val="center"/>
          </w:tcPr>
          <w:p>
            <w:pPr>
              <w:spacing w:after="0" w:line="264" w:lineRule="auto"/>
            </w:pPr>
            <w:r>
              <w:rPr>
                <w:rFonts w:ascii="Calibri" w:hAnsi="Calibri"/>
                <w:b w:val="0"/>
                <w:i w:val="0"/>
                <w:color w:val="172033"/>
                <w:sz w:val="18"/>
              </w:rPr>
              <w:t>Treat one score as a complete picture of employability</w:t>
            </w:r>
          </w:p>
        </w:tc>
      </w:tr>
    </w:tbl>
    <w:p>
      <w:pPr>
        <w:spacing w:after="20"/>
      </w:pPr>
    </w:p>
    <w:p>
      <w:r>
        <w:rPr>
          <w:rFonts w:ascii="Calibri" w:hAnsi="Calibri"/>
          <w:b w:val="0"/>
          <w:i w:val="0"/>
          <w:color w:val="172033"/>
          <w:sz w:val="21"/>
        </w:rPr>
        <w:t>A strong interpretation conversation combines four lenses: MAPP results, participant narrative, labor-market evidence, and feasibility. Feasibility includes credentials, geography, schedule, transportation, benefits, disability access, care responsibilities, and the time required to qualify.</w:t>
      </w:r>
    </w:p>
    <w:p>
      <w:pPr>
        <w:pStyle w:val="Kicker"/>
      </w:pPr>
      <w:r>
        <w:rPr>
          <w:rFonts w:ascii="Calibri" w:hAnsi="Calibri"/>
          <w:b/>
          <w:i w:val="0"/>
          <w:color w:val="172033"/>
          <w:sz w:val="20"/>
        </w:rPr>
        <w:t>03 • PLATFORM</w:t>
      </w:r>
    </w:p>
    <w:p>
      <w:pPr>
        <w:pStyle w:val="Heading1"/>
        <w:keepNext/>
      </w:pPr>
      <w:r>
        <w:rPr>
          <w:rFonts w:ascii="Calibri" w:hAnsi="Calibri"/>
          <w:b w:val="0"/>
          <w:i w:val="0"/>
          <w:color w:val="172033"/>
          <w:sz w:val="36"/>
        </w:rPr>
        <w:t>The Assessment.com capability map</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300"/>
        <w:gridCol w:w="3530"/>
        <w:gridCol w:w="3530"/>
      </w:tblGrid>
      <w:tr>
        <w:trPr>
          <w:tblHeader w:val="true"/>
          <w:cantSplit/>
        </w:trPr>
        <w:tc>
          <w:tcPr>
            <w:tcW w:type="dxa" w:w="2300"/>
            <w:tcMar>
              <w:top w:w="100" w:type="dxa"/>
              <w:start w:w="140" w:type="dxa"/>
              <w:bottom w:w="100" w:type="dxa"/>
              <w:end w:w="140" w:type="dxa"/>
            </w:tcMar>
            <w:vAlign w:val="center"/>
            <w:shd w:fill="0B1F3A"/>
          </w:tcPr>
          <w:p>
            <w:pPr>
              <w:spacing w:after="0"/>
              <w:jc w:val="left"/>
            </w:pPr>
            <w:r>
              <w:rPr>
                <w:rFonts w:ascii="Calibri" w:hAnsi="Calibri"/>
                <w:b/>
                <w:i w:val="0"/>
                <w:color w:val="FFFFFF"/>
                <w:sz w:val="18"/>
              </w:rPr>
              <w:t>Capability</w:t>
            </w:r>
          </w:p>
        </w:tc>
        <w:tc>
          <w:tcPr>
            <w:tcW w:type="dxa" w:w="3530"/>
            <w:tcMar>
              <w:top w:w="100" w:type="dxa"/>
              <w:start w:w="140" w:type="dxa"/>
              <w:bottom w:w="100" w:type="dxa"/>
              <w:end w:w="140" w:type="dxa"/>
            </w:tcMar>
            <w:vAlign w:val="center"/>
            <w:shd w:fill="0B1F3A"/>
          </w:tcPr>
          <w:p>
            <w:pPr>
              <w:spacing w:after="0"/>
              <w:jc w:val="left"/>
            </w:pPr>
            <w:r>
              <w:rPr>
                <w:rFonts w:ascii="Calibri" w:hAnsi="Calibri"/>
                <w:b/>
                <w:i w:val="0"/>
                <w:color w:val="FFFFFF"/>
                <w:sz w:val="18"/>
              </w:rPr>
              <w:t>Participant value</w:t>
            </w:r>
          </w:p>
        </w:tc>
        <w:tc>
          <w:tcPr>
            <w:tcW w:type="dxa" w:w="3530"/>
            <w:tcMar>
              <w:top w:w="100" w:type="dxa"/>
              <w:start w:w="140" w:type="dxa"/>
              <w:bottom w:w="100" w:type="dxa"/>
              <w:end w:w="140" w:type="dxa"/>
            </w:tcMar>
            <w:vAlign w:val="center"/>
            <w:shd w:fill="0B1F3A"/>
          </w:tcPr>
          <w:p>
            <w:pPr>
              <w:spacing w:after="0"/>
              <w:jc w:val="left"/>
            </w:pPr>
            <w:r>
              <w:rPr>
                <w:rFonts w:ascii="Calibri" w:hAnsi="Calibri"/>
                <w:b/>
                <w:i w:val="0"/>
                <w:color w:val="FFFFFF"/>
                <w:sz w:val="18"/>
              </w:rPr>
              <w:t>Agency value</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7"/>
              </w:rPr>
              <w:t>MAPP and Assessment Marketplace</w:t>
            </w:r>
          </w:p>
        </w:tc>
        <w:tc>
          <w:tcPr>
            <w:tcW w:type="dxa" w:w="3530"/>
            <w:tcMar>
              <w:top w:w="100" w:type="dxa"/>
              <w:start w:w="140" w:type="dxa"/>
              <w:bottom w:w="100" w:type="dxa"/>
              <w:end w:w="140" w:type="dxa"/>
            </w:tcMar>
            <w:vAlign w:val="center"/>
          </w:tcPr>
          <w:p>
            <w:pPr>
              <w:spacing w:after="0" w:line="264" w:lineRule="auto"/>
            </w:pPr>
            <w:r>
              <w:rPr>
                <w:rFonts w:ascii="Calibri" w:hAnsi="Calibri"/>
                <w:b w:val="0"/>
                <w:i w:val="0"/>
                <w:color w:val="172033"/>
                <w:sz w:val="17"/>
              </w:rPr>
              <w:t>Self-knowledge plus additional skill, interest, personality, and readiness exploration</w:t>
            </w:r>
          </w:p>
        </w:tc>
        <w:tc>
          <w:tcPr>
            <w:tcW w:type="dxa" w:w="3530"/>
            <w:tcMar>
              <w:top w:w="100" w:type="dxa"/>
              <w:start w:w="140" w:type="dxa"/>
              <w:bottom w:w="100" w:type="dxa"/>
              <w:end w:w="140" w:type="dxa"/>
            </w:tcMar>
            <w:vAlign w:val="center"/>
          </w:tcPr>
          <w:p>
            <w:pPr>
              <w:spacing w:after="0" w:line="264" w:lineRule="auto"/>
            </w:pPr>
            <w:r>
              <w:rPr>
                <w:rFonts w:ascii="Calibri" w:hAnsi="Calibri"/>
                <w:b w:val="0"/>
                <w:i w:val="0"/>
                <w:color w:val="172033"/>
                <w:sz w:val="17"/>
              </w:rPr>
              <w:t>Flexible intake and workshop content for varied populations</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Career Explorer and matching</w:t>
            </w:r>
          </w:p>
        </w:tc>
        <w:tc>
          <w:tcPr>
            <w:tcW w:type="dxa" w:w="35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Discover occupations and understand match factors</w:t>
            </w:r>
          </w:p>
        </w:tc>
        <w:tc>
          <w:tcPr>
            <w:tcW w:type="dxa" w:w="35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Consistent career-exploration workflow grounded in occupational data</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7"/>
              </w:rPr>
              <w:t>Education and training pathways</w:t>
            </w:r>
          </w:p>
        </w:tc>
        <w:tc>
          <w:tcPr>
            <w:tcW w:type="dxa" w:w="3530"/>
            <w:tcMar>
              <w:top w:w="100" w:type="dxa"/>
              <w:start w:w="140" w:type="dxa"/>
              <w:bottom w:w="100" w:type="dxa"/>
              <w:end w:w="140" w:type="dxa"/>
            </w:tcMar>
            <w:vAlign w:val="center"/>
          </w:tcPr>
          <w:p>
            <w:pPr>
              <w:spacing w:after="0" w:line="264" w:lineRule="auto"/>
            </w:pPr>
            <w:r>
              <w:rPr>
                <w:rFonts w:ascii="Calibri" w:hAnsi="Calibri"/>
                <w:b w:val="0"/>
                <w:i w:val="0"/>
                <w:color w:val="172033"/>
                <w:sz w:val="17"/>
              </w:rPr>
              <w:t>Move from career to degree, program, school, or credential options</w:t>
            </w:r>
          </w:p>
        </w:tc>
        <w:tc>
          <w:tcPr>
            <w:tcW w:type="dxa" w:w="3530"/>
            <w:tcMar>
              <w:top w:w="100" w:type="dxa"/>
              <w:start w:w="140" w:type="dxa"/>
              <w:bottom w:w="100" w:type="dxa"/>
              <w:end w:w="140" w:type="dxa"/>
            </w:tcMar>
            <w:vAlign w:val="center"/>
          </w:tcPr>
          <w:p>
            <w:pPr>
              <w:spacing w:after="0" w:line="264" w:lineRule="auto"/>
            </w:pPr>
            <w:r>
              <w:rPr>
                <w:rFonts w:ascii="Calibri" w:hAnsi="Calibri"/>
                <w:b w:val="0"/>
                <w:i w:val="0"/>
                <w:color w:val="172033"/>
                <w:sz w:val="17"/>
              </w:rPr>
              <w:t>Stronger alignment between training referrals and career goals</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Live jobs and internships</w:t>
            </w:r>
          </w:p>
        </w:tc>
        <w:tc>
          <w:tcPr>
            <w:tcW w:type="dxa" w:w="35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See current opportunities and match context</w:t>
            </w:r>
          </w:p>
        </w:tc>
        <w:tc>
          <w:tcPr>
            <w:tcW w:type="dxa" w:w="35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Shorter path from plan to application</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7"/>
              </w:rPr>
              <w:t>AI Career Navigator and coaches</w:t>
            </w:r>
          </w:p>
        </w:tc>
        <w:tc>
          <w:tcPr>
            <w:tcW w:type="dxa" w:w="3530"/>
            <w:tcMar>
              <w:top w:w="100" w:type="dxa"/>
              <w:start w:w="140" w:type="dxa"/>
              <w:bottom w:w="100" w:type="dxa"/>
              <w:end w:w="140" w:type="dxa"/>
            </w:tcMar>
            <w:vAlign w:val="center"/>
          </w:tcPr>
          <w:p>
            <w:pPr>
              <w:spacing w:after="0" w:line="264" w:lineRule="auto"/>
            </w:pPr>
            <w:r>
              <w:rPr>
                <w:rFonts w:ascii="Calibri" w:hAnsi="Calibri"/>
                <w:b w:val="0"/>
                <w:i w:val="0"/>
                <w:color w:val="172033"/>
                <w:sz w:val="17"/>
              </w:rPr>
              <w:t>On-demand explanations, planning, skill translation, and preparation</w:t>
            </w:r>
          </w:p>
        </w:tc>
        <w:tc>
          <w:tcPr>
            <w:tcW w:type="dxa" w:w="3530"/>
            <w:tcMar>
              <w:top w:w="100" w:type="dxa"/>
              <w:start w:w="140" w:type="dxa"/>
              <w:bottom w:w="100" w:type="dxa"/>
              <w:end w:w="140" w:type="dxa"/>
            </w:tcMar>
            <w:vAlign w:val="center"/>
          </w:tcPr>
          <w:p>
            <w:pPr>
              <w:spacing w:after="0" w:line="264" w:lineRule="auto"/>
            </w:pPr>
            <w:r>
              <w:rPr>
                <w:rFonts w:ascii="Calibri" w:hAnsi="Calibri"/>
                <w:b w:val="0"/>
                <w:i w:val="0"/>
                <w:color w:val="172033"/>
                <w:sz w:val="17"/>
              </w:rPr>
              <w:t>Scalable support between staff contacts</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Resume, interview, and readiness tools</w:t>
            </w:r>
          </w:p>
        </w:tc>
        <w:tc>
          <w:tcPr>
            <w:tcW w:type="dxa" w:w="35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Build practical job-search materials and confidence</w:t>
            </w:r>
          </w:p>
        </w:tc>
        <w:tc>
          <w:tcPr>
            <w:tcW w:type="dxa" w:w="35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Structured preparation before employer referral</w:t>
            </w:r>
          </w:p>
        </w:tc>
      </w:tr>
      <w:tr>
        <w:trPr>
          <w:cantSplit/>
        </w:trPr>
        <w:tc>
          <w:tcPr>
            <w:tcW w:type="dxa" w:w="2300"/>
            <w:tcMar>
              <w:top w:w="100" w:type="dxa"/>
              <w:start w:w="140" w:type="dxa"/>
              <w:bottom w:w="100" w:type="dxa"/>
              <w:end w:w="140" w:type="dxa"/>
            </w:tcMar>
            <w:vAlign w:val="center"/>
          </w:tcPr>
          <w:p>
            <w:pPr>
              <w:spacing w:after="0" w:line="264" w:lineRule="auto"/>
            </w:pPr>
            <w:r>
              <w:rPr>
                <w:rFonts w:ascii="Calibri" w:hAnsi="Calibri"/>
                <w:b/>
                <w:i w:val="0"/>
                <w:color w:val="172033"/>
                <w:sz w:val="17"/>
              </w:rPr>
              <w:t>Dashboards and advisor portal</w:t>
            </w:r>
          </w:p>
        </w:tc>
        <w:tc>
          <w:tcPr>
            <w:tcW w:type="dxa" w:w="3530"/>
            <w:tcMar>
              <w:top w:w="100" w:type="dxa"/>
              <w:start w:w="140" w:type="dxa"/>
              <w:bottom w:w="100" w:type="dxa"/>
              <w:end w:w="140" w:type="dxa"/>
            </w:tcMar>
            <w:vAlign w:val="center"/>
          </w:tcPr>
          <w:p>
            <w:pPr>
              <w:spacing w:after="0" w:line="264" w:lineRule="auto"/>
            </w:pPr>
            <w:r>
              <w:rPr>
                <w:rFonts w:ascii="Calibri" w:hAnsi="Calibri"/>
                <w:b w:val="0"/>
                <w:i w:val="0"/>
                <w:color w:val="172033"/>
                <w:sz w:val="17"/>
              </w:rPr>
              <w:t>Save results, plans, matches, and progress</w:t>
            </w:r>
          </w:p>
        </w:tc>
        <w:tc>
          <w:tcPr>
            <w:tcW w:type="dxa" w:w="3530"/>
            <w:tcMar>
              <w:top w:w="100" w:type="dxa"/>
              <w:start w:w="140" w:type="dxa"/>
              <w:bottom w:w="100" w:type="dxa"/>
              <w:end w:w="140" w:type="dxa"/>
            </w:tcMar>
            <w:vAlign w:val="center"/>
          </w:tcPr>
          <w:p>
            <w:pPr>
              <w:spacing w:after="0" w:line="264" w:lineRule="auto"/>
            </w:pPr>
            <w:r>
              <w:rPr>
                <w:rFonts w:ascii="Calibri" w:hAnsi="Calibri"/>
                <w:b w:val="0"/>
                <w:i w:val="0"/>
                <w:color w:val="172033"/>
                <w:sz w:val="17"/>
              </w:rPr>
              <w:t>Caseload visibility and more consistent follow-up</w:t>
            </w:r>
          </w:p>
        </w:tc>
      </w:tr>
      <w:tr>
        <w:trPr>
          <w:cantSplit/>
        </w:trPr>
        <w:tc>
          <w:tcPr>
            <w:tcW w:type="dxa" w:w="23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Enterprise controls</w:t>
            </w:r>
          </w:p>
        </w:tc>
        <w:tc>
          <w:tcPr>
            <w:tcW w:type="dxa" w:w="35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 coherent branded experience</w:t>
            </w:r>
          </w:p>
        </w:tc>
        <w:tc>
          <w:tcPr>
            <w:tcW w:type="dxa" w:w="35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Analytics, roles, integrations, API, multilingual delivery, and security options</w:t>
            </w:r>
          </w:p>
        </w:tc>
      </w:tr>
    </w:tbl>
    <w:p>
      <w:pPr>
        <w:spacing w:after="20"/>
      </w:pPr>
    </w:p>
    <w:tbl>
      <w:tblPr>
        <w:tblW w:type="dxa" w:w="9360"/>
        <w:tblLayout w:type="fixed"/>
        <w:tblLook w:firstColumn="1" w:firstRow="1" w:lastColumn="0" w:lastRow="0" w:noHBand="0" w:noVBand="1" w:val="04A0"/>
        <w:tblInd w:w="120" w:type="dxa"/>
        <w:tblBorders>
          <w:top w:val="single" w:sz="10" w:space="0" w:color="F4C400"/>
          <w:left w:val="single" w:sz="10" w:space="0" w:color="F4C400"/>
          <w:bottom w:val="single" w:sz="10" w:space="0" w:color="F4C400"/>
          <w:right w:val="single" w:sz="10" w:space="0" w:color="F4C400"/>
          <w:insideH w:val="single" w:sz="10" w:space="0" w:color="F4C400"/>
          <w:insideV w:val="single" w:sz="10" w:space="0" w:color="F4C400"/>
        </w:tblBorders>
      </w:tblPr>
      <w:tblGrid>
        <w:gridCol w:w="9360"/>
      </w:tblGrid>
      <w:tr>
        <w:tc>
          <w:tcPr>
            <w:tcW w:type="dxa" w:w="9360"/>
            <w:tcMar>
              <w:top w:w="100" w:type="dxa"/>
              <w:start w:w="140" w:type="dxa"/>
              <w:bottom w:w="100" w:type="dxa"/>
              <w:end w:w="140" w:type="dxa"/>
            </w:tcMar>
            <w:vAlign w:val="center"/>
            <w:shd w:fill="EAF7F1"/>
          </w:tcPr>
          <w:p>
            <w:pPr>
              <w:spacing w:after="60"/>
            </w:pPr>
            <w:r>
              <w:rPr>
                <w:rFonts w:ascii="Calibri" w:hAnsi="Calibri"/>
                <w:b/>
                <w:i w:val="0"/>
                <w:color w:val="0B1F3A"/>
                <w:sz w:val="24"/>
              </w:rPr>
              <w:t>See the participant experience</w:t>
            </w:r>
          </w:p>
          <w:p>
            <w:pPr>
              <w:spacing w:after="80"/>
            </w:pPr>
            <w:r>
              <w:rPr>
                <w:rFonts w:ascii="Calibri" w:hAnsi="Calibri"/>
                <w:b w:val="0"/>
                <w:i w:val="0"/>
                <w:color w:val="172033"/>
                <w:sz w:val="20"/>
              </w:rPr>
              <w:t>Review how assessments, career matching, education pathways, AI guidance, and live opportunities work together.</w:t>
            </w:r>
          </w:p>
          <w:p>
            <w:pPr>
              <w:spacing w:after="0"/>
            </w:pPr>
            <w:hyperlink r:id="rId13">
              <w:r>
                <w:rPr>
                  <w:color w:val="2E6BE6"/>
                  <w:u w:val="single"/>
                  <w:rFonts w:ascii="Calibri" w:hAnsi="Calibri"/>
                  <w:sz w:val="20"/>
                </w:rPr>
                <w:t>Explore Individual Career Tools  →</w:t>
              </w:r>
            </w:hyperlink>
          </w:p>
        </w:tc>
      </w:tr>
    </w:tbl>
    <w:p>
      <w:pPr>
        <w:spacing w:after="20"/>
      </w:pPr>
    </w:p>
    <w:p>
      <w:r>
        <w:br w:type="page"/>
      </w:r>
    </w:p>
    <w:p>
      <w:pPr>
        <w:pStyle w:val="Kicker"/>
      </w:pPr>
      <w:r>
        <w:rPr>
          <w:rFonts w:ascii="Calibri" w:hAnsi="Calibri"/>
          <w:b/>
          <w:i w:val="0"/>
          <w:color w:val="172033"/>
          <w:sz w:val="20"/>
        </w:rPr>
        <w:t>04 • PARTICIPANT JOURNEY</w:t>
      </w:r>
    </w:p>
    <w:p>
      <w:pPr>
        <w:pStyle w:val="Heading1"/>
        <w:keepNext/>
      </w:pPr>
      <w:r>
        <w:rPr>
          <w:rFonts w:ascii="Calibri" w:hAnsi="Calibri"/>
          <w:b w:val="0"/>
          <w:i w:val="0"/>
          <w:color w:val="172033"/>
          <w:sz w:val="36"/>
        </w:rPr>
        <w:t>A practical service model from intake through retention</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150"/>
        <w:gridCol w:w="2600"/>
        <w:gridCol w:w="2960"/>
        <w:gridCol w:w="2650"/>
      </w:tblGrid>
      <w:tr>
        <w:trPr>
          <w:tblHeader w:val="true"/>
          <w:cantSplit/>
        </w:trPr>
        <w:tc>
          <w:tcPr>
            <w:tcW w:type="dxa" w:w="1150"/>
            <w:tcMar>
              <w:top w:w="100" w:type="dxa"/>
              <w:start w:w="140" w:type="dxa"/>
              <w:bottom w:w="100" w:type="dxa"/>
              <w:end w:w="140" w:type="dxa"/>
            </w:tcMar>
            <w:vAlign w:val="center"/>
            <w:shd w:fill="0B1F3A"/>
          </w:tcPr>
          <w:p>
            <w:pPr>
              <w:spacing w:after="0"/>
              <w:jc w:val="left"/>
            </w:pPr>
            <w:r>
              <w:rPr>
                <w:rFonts w:ascii="Calibri" w:hAnsi="Calibri"/>
                <w:b/>
                <w:i w:val="0"/>
                <w:color w:val="FFFFFF"/>
                <w:sz w:val="18"/>
              </w:rPr>
              <w:t>Stage</w:t>
            </w:r>
          </w:p>
        </w:tc>
        <w:tc>
          <w:tcPr>
            <w:tcW w:type="dxa" w:w="2600"/>
            <w:tcMar>
              <w:top w:w="100" w:type="dxa"/>
              <w:start w:w="140" w:type="dxa"/>
              <w:bottom w:w="100" w:type="dxa"/>
              <w:end w:w="140" w:type="dxa"/>
            </w:tcMar>
            <w:vAlign w:val="center"/>
            <w:shd w:fill="0B1F3A"/>
          </w:tcPr>
          <w:p>
            <w:pPr>
              <w:spacing w:after="0"/>
              <w:jc w:val="left"/>
            </w:pPr>
            <w:r>
              <w:rPr>
                <w:rFonts w:ascii="Calibri" w:hAnsi="Calibri"/>
                <w:b/>
                <w:i w:val="0"/>
                <w:color w:val="FFFFFF"/>
                <w:sz w:val="18"/>
              </w:rPr>
              <w:t>Participant action</w:t>
            </w:r>
          </w:p>
        </w:tc>
        <w:tc>
          <w:tcPr>
            <w:tcW w:type="dxa" w:w="2960"/>
            <w:tcMar>
              <w:top w:w="100" w:type="dxa"/>
              <w:start w:w="140" w:type="dxa"/>
              <w:bottom w:w="100" w:type="dxa"/>
              <w:end w:w="140" w:type="dxa"/>
            </w:tcMar>
            <w:vAlign w:val="center"/>
            <w:shd w:fill="0B1F3A"/>
          </w:tcPr>
          <w:p>
            <w:pPr>
              <w:spacing w:after="0"/>
              <w:jc w:val="left"/>
            </w:pPr>
            <w:r>
              <w:rPr>
                <w:rFonts w:ascii="Calibri" w:hAnsi="Calibri"/>
                <w:b/>
                <w:i w:val="0"/>
                <w:color w:val="FFFFFF"/>
                <w:sz w:val="18"/>
              </w:rPr>
              <w:t>Staff contribution</w:t>
            </w:r>
          </w:p>
        </w:tc>
        <w:tc>
          <w:tcPr>
            <w:tcW w:type="dxa" w:w="2650"/>
            <w:tcMar>
              <w:top w:w="100" w:type="dxa"/>
              <w:start w:w="140" w:type="dxa"/>
              <w:bottom w:w="100" w:type="dxa"/>
              <w:end w:w="140" w:type="dxa"/>
            </w:tcMar>
            <w:vAlign w:val="center"/>
            <w:shd w:fill="0B1F3A"/>
          </w:tcPr>
          <w:p>
            <w:pPr>
              <w:spacing w:after="0"/>
              <w:jc w:val="left"/>
            </w:pPr>
            <w:r>
              <w:rPr>
                <w:rFonts w:ascii="Calibri" w:hAnsi="Calibri"/>
                <w:b/>
                <w:i w:val="0"/>
                <w:color w:val="FFFFFF"/>
                <w:sz w:val="18"/>
              </w:rPr>
              <w:t>Useful evidence</w:t>
            </w:r>
          </w:p>
        </w:tc>
      </w:tr>
      <w:tr>
        <w:trPr>
          <w:cantSplit/>
        </w:trPr>
        <w:tc>
          <w:tcPr>
            <w:tcW w:type="dxa" w:w="1150"/>
            <w:tcMar>
              <w:top w:w="100" w:type="dxa"/>
              <w:start w:w="140" w:type="dxa"/>
              <w:bottom w:w="100" w:type="dxa"/>
              <w:end w:w="140" w:type="dxa"/>
            </w:tcMar>
            <w:vAlign w:val="center"/>
          </w:tcPr>
          <w:p>
            <w:pPr>
              <w:spacing w:after="0" w:line="264" w:lineRule="auto"/>
            </w:pPr>
            <w:r>
              <w:rPr>
                <w:rFonts w:ascii="Calibri" w:hAnsi="Calibri"/>
                <w:b/>
                <w:i w:val="0"/>
                <w:color w:val="172033"/>
                <w:sz w:val="17"/>
              </w:rPr>
              <w:t>1. Discover</w:t>
            </w:r>
          </w:p>
        </w:tc>
        <w:tc>
          <w:tcPr>
            <w:tcW w:type="dxa" w:w="2600"/>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Complete MAPP and selected intake/readiness activities</w:t>
            </w:r>
          </w:p>
        </w:tc>
        <w:tc>
          <w:tcPr>
            <w:tcW w:type="dxa" w:w="2960"/>
            <w:tcMar>
              <w:top w:w="100" w:type="dxa"/>
              <w:start w:w="140" w:type="dxa"/>
              <w:bottom w:w="100" w:type="dxa"/>
              <w:end w:w="140" w:type="dxa"/>
            </w:tcMar>
            <w:vAlign w:val="center"/>
          </w:tcPr>
          <w:p>
            <w:pPr>
              <w:spacing w:after="0" w:line="264" w:lineRule="auto"/>
            </w:pPr>
            <w:r>
              <w:rPr>
                <w:rFonts w:ascii="Calibri" w:hAnsi="Calibri"/>
                <w:b w:val="0"/>
                <w:i w:val="0"/>
                <w:color w:val="172033"/>
                <w:sz w:val="17"/>
              </w:rPr>
              <w:t>Set expectations; provide access; interpret in context</w:t>
            </w:r>
          </w:p>
        </w:tc>
        <w:tc>
          <w:tcPr>
            <w:tcW w:type="dxa" w:w="2650"/>
            <w:tcMar>
              <w:top w:w="100" w:type="dxa"/>
              <w:start w:w="140" w:type="dxa"/>
              <w:bottom w:w="100" w:type="dxa"/>
              <w:end w:w="140" w:type="dxa"/>
            </w:tcMar>
            <w:vAlign w:val="center"/>
          </w:tcPr>
          <w:p>
            <w:pPr>
              <w:spacing w:after="0" w:line="264" w:lineRule="auto"/>
            </w:pPr>
            <w:r>
              <w:rPr>
                <w:rFonts w:ascii="Calibri" w:hAnsi="Calibri"/>
                <w:b w:val="0"/>
                <w:i w:val="0"/>
                <w:color w:val="172033"/>
                <w:sz w:val="17"/>
              </w:rPr>
              <w:t>Motivators, interests, strengths, preferences, barriers</w:t>
            </w:r>
          </w:p>
        </w:tc>
      </w:tr>
      <w:tr>
        <w:trPr>
          <w:cantSplit/>
        </w:trPr>
        <w:tc>
          <w:tcPr>
            <w:tcW w:type="dxa" w:w="11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2. Explore</w:t>
            </w:r>
          </w:p>
        </w:tc>
        <w:tc>
          <w:tcPr>
            <w:tcW w:type="dxa" w:w="26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Compare career matches and adjacent options</w:t>
            </w:r>
          </w:p>
        </w:tc>
        <w:tc>
          <w:tcPr>
            <w:tcW w:type="dxa" w:w="29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Challenge assumptions; add local labor-market evidence</w:t>
            </w:r>
          </w:p>
        </w:tc>
        <w:tc>
          <w:tcPr>
            <w:tcW w:type="dxa" w:w="26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Career match, wages, outlook, requirements, AI risk</w:t>
            </w:r>
          </w:p>
        </w:tc>
      </w:tr>
      <w:tr>
        <w:trPr>
          <w:cantSplit/>
        </w:trPr>
        <w:tc>
          <w:tcPr>
            <w:tcW w:type="dxa" w:w="1150"/>
            <w:tcMar>
              <w:top w:w="100" w:type="dxa"/>
              <w:start w:w="140" w:type="dxa"/>
              <w:bottom w:w="100" w:type="dxa"/>
              <w:end w:w="140" w:type="dxa"/>
            </w:tcMar>
            <w:vAlign w:val="center"/>
          </w:tcPr>
          <w:p>
            <w:pPr>
              <w:spacing w:after="0" w:line="264" w:lineRule="auto"/>
            </w:pPr>
            <w:r>
              <w:rPr>
                <w:rFonts w:ascii="Calibri" w:hAnsi="Calibri"/>
                <w:b/>
                <w:i w:val="0"/>
                <w:color w:val="172033"/>
                <w:sz w:val="17"/>
              </w:rPr>
              <w:t>3. Plan</w:t>
            </w:r>
          </w:p>
        </w:tc>
        <w:tc>
          <w:tcPr>
            <w:tcW w:type="dxa" w:w="2600"/>
            <w:tcMar>
              <w:top w:w="100" w:type="dxa"/>
              <w:start w:w="140" w:type="dxa"/>
              <w:bottom w:w="100" w:type="dxa"/>
              <w:end w:w="140" w:type="dxa"/>
            </w:tcMar>
            <w:vAlign w:val="center"/>
          </w:tcPr>
          <w:p>
            <w:pPr>
              <w:spacing w:after="0" w:line="264" w:lineRule="auto"/>
            </w:pPr>
            <w:r>
              <w:rPr>
                <w:rFonts w:ascii="Calibri" w:hAnsi="Calibri"/>
                <w:b w:val="0"/>
                <w:i w:val="0"/>
                <w:color w:val="172033"/>
                <w:sz w:val="17"/>
              </w:rPr>
              <w:t>Select a goal and alternatives; build an IEP</w:t>
            </w:r>
          </w:p>
        </w:tc>
        <w:tc>
          <w:tcPr>
            <w:tcW w:type="dxa" w:w="2960"/>
            <w:tcMar>
              <w:top w:w="100" w:type="dxa"/>
              <w:start w:w="140" w:type="dxa"/>
              <w:bottom w:w="100" w:type="dxa"/>
              <w:end w:w="140" w:type="dxa"/>
            </w:tcMar>
            <w:vAlign w:val="center"/>
          </w:tcPr>
          <w:p>
            <w:pPr>
              <w:spacing w:after="0" w:line="264" w:lineRule="auto"/>
            </w:pPr>
            <w:r>
              <w:rPr>
                <w:rFonts w:ascii="Calibri" w:hAnsi="Calibri"/>
                <w:b w:val="0"/>
                <w:i w:val="0"/>
                <w:color w:val="172033"/>
                <w:sz w:val="17"/>
              </w:rPr>
              <w:t>Test feasibility; coordinate referrals and supportive services</w:t>
            </w:r>
          </w:p>
        </w:tc>
        <w:tc>
          <w:tcPr>
            <w:tcW w:type="dxa" w:w="2650"/>
            <w:tcMar>
              <w:top w:w="100" w:type="dxa"/>
              <w:start w:w="140" w:type="dxa"/>
              <w:bottom w:w="100" w:type="dxa"/>
              <w:end w:w="140" w:type="dxa"/>
            </w:tcMar>
            <w:vAlign w:val="center"/>
          </w:tcPr>
          <w:p>
            <w:pPr>
              <w:spacing w:after="0" w:line="264" w:lineRule="auto"/>
            </w:pPr>
            <w:r>
              <w:rPr>
                <w:rFonts w:ascii="Calibri" w:hAnsi="Calibri"/>
                <w:b w:val="0"/>
                <w:i w:val="0"/>
                <w:color w:val="172033"/>
                <w:sz w:val="17"/>
              </w:rPr>
              <w:t>Goal, milestones, responsible parties, dates</w:t>
            </w:r>
          </w:p>
        </w:tc>
      </w:tr>
      <w:tr>
        <w:trPr>
          <w:cantSplit/>
        </w:trPr>
        <w:tc>
          <w:tcPr>
            <w:tcW w:type="dxa" w:w="11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4. Prepare</w:t>
            </w:r>
          </w:p>
        </w:tc>
        <w:tc>
          <w:tcPr>
            <w:tcW w:type="dxa" w:w="26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Pursue skills, credentials, resume, and interviews</w:t>
            </w:r>
          </w:p>
        </w:tc>
        <w:tc>
          <w:tcPr>
            <w:tcW w:type="dxa" w:w="29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Monitor progress; coach; remove barriers</w:t>
            </w:r>
          </w:p>
        </w:tc>
        <w:tc>
          <w:tcPr>
            <w:tcW w:type="dxa" w:w="26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Skills gains, credential steps, work-readiness artifacts</w:t>
            </w:r>
          </w:p>
        </w:tc>
      </w:tr>
      <w:tr>
        <w:trPr>
          <w:cantSplit/>
        </w:trPr>
        <w:tc>
          <w:tcPr>
            <w:tcW w:type="dxa" w:w="1150"/>
            <w:tcMar>
              <w:top w:w="100" w:type="dxa"/>
              <w:start w:w="140" w:type="dxa"/>
              <w:bottom w:w="100" w:type="dxa"/>
              <w:end w:w="140" w:type="dxa"/>
            </w:tcMar>
            <w:vAlign w:val="center"/>
          </w:tcPr>
          <w:p>
            <w:pPr>
              <w:spacing w:after="0" w:line="264" w:lineRule="auto"/>
            </w:pPr>
            <w:r>
              <w:rPr>
                <w:rFonts w:ascii="Calibri" w:hAnsi="Calibri"/>
                <w:b/>
                <w:i w:val="0"/>
                <w:color w:val="172033"/>
                <w:sz w:val="17"/>
              </w:rPr>
              <w:t>5. Connect</w:t>
            </w:r>
          </w:p>
        </w:tc>
        <w:tc>
          <w:tcPr>
            <w:tcW w:type="dxa" w:w="2600"/>
            <w:tcMar>
              <w:top w:w="100" w:type="dxa"/>
              <w:start w:w="140" w:type="dxa"/>
              <w:bottom w:w="100" w:type="dxa"/>
              <w:end w:w="140" w:type="dxa"/>
            </w:tcMar>
            <w:vAlign w:val="center"/>
          </w:tcPr>
          <w:p>
            <w:pPr>
              <w:spacing w:after="0" w:line="264" w:lineRule="auto"/>
            </w:pPr>
            <w:r>
              <w:rPr>
                <w:rFonts w:ascii="Calibri" w:hAnsi="Calibri"/>
                <w:b w:val="0"/>
                <w:i w:val="0"/>
                <w:color w:val="172033"/>
                <w:sz w:val="17"/>
              </w:rPr>
              <w:t>Search and apply to matched opportunities</w:t>
            </w:r>
          </w:p>
        </w:tc>
        <w:tc>
          <w:tcPr>
            <w:tcW w:type="dxa" w:w="2960"/>
            <w:tcMar>
              <w:top w:w="100" w:type="dxa"/>
              <w:start w:w="140" w:type="dxa"/>
              <w:bottom w:w="100" w:type="dxa"/>
              <w:end w:w="140" w:type="dxa"/>
            </w:tcMar>
            <w:vAlign w:val="center"/>
          </w:tcPr>
          <w:p>
            <w:pPr>
              <w:spacing w:after="0" w:line="264" w:lineRule="auto"/>
            </w:pPr>
            <w:r>
              <w:rPr>
                <w:rFonts w:ascii="Calibri" w:hAnsi="Calibri"/>
                <w:b w:val="0"/>
                <w:i w:val="0"/>
                <w:color w:val="172033"/>
                <w:sz w:val="17"/>
              </w:rPr>
              <w:t>Curate referrals; engage employers; support applications</w:t>
            </w:r>
          </w:p>
        </w:tc>
        <w:tc>
          <w:tcPr>
            <w:tcW w:type="dxa" w:w="2650"/>
            <w:tcMar>
              <w:top w:w="100" w:type="dxa"/>
              <w:start w:w="140" w:type="dxa"/>
              <w:bottom w:w="100" w:type="dxa"/>
              <w:end w:w="140" w:type="dxa"/>
            </w:tcMar>
            <w:vAlign w:val="center"/>
          </w:tcPr>
          <w:p>
            <w:pPr>
              <w:spacing w:after="0" w:line="264" w:lineRule="auto"/>
            </w:pPr>
            <w:r>
              <w:rPr>
                <w:rFonts w:ascii="Calibri" w:hAnsi="Calibri"/>
                <w:b w:val="0"/>
                <w:i w:val="0"/>
                <w:color w:val="172033"/>
                <w:sz w:val="17"/>
              </w:rPr>
              <w:t>Applications, interviews, referrals, offers</w:t>
            </w:r>
          </w:p>
        </w:tc>
      </w:tr>
      <w:tr>
        <w:trPr>
          <w:cantSplit/>
        </w:trPr>
        <w:tc>
          <w:tcPr>
            <w:tcW w:type="dxa" w:w="11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6. Sustain</w:t>
            </w:r>
          </w:p>
        </w:tc>
        <w:tc>
          <w:tcPr>
            <w:tcW w:type="dxa" w:w="26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Report milestones and request support</w:t>
            </w:r>
          </w:p>
        </w:tc>
        <w:tc>
          <w:tcPr>
            <w:tcW w:type="dxa" w:w="29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Follow up after exit; troubleshoot retention and advancement</w:t>
            </w:r>
          </w:p>
        </w:tc>
        <w:tc>
          <w:tcPr>
            <w:tcW w:type="dxa" w:w="26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Employment, earnings, credential, retention, advancement</w:t>
            </w:r>
          </w:p>
        </w:tc>
      </w:tr>
    </w:tbl>
    <w:p>
      <w:pPr>
        <w:spacing w:after="20"/>
      </w:pPr>
    </w:p>
    <w:p>
      <w:pPr>
        <w:pStyle w:val="Heading2"/>
      </w:pPr>
      <w:r>
        <w:rPr>
          <w:rFonts w:ascii="Calibri" w:hAnsi="Calibri"/>
          <w:b w:val="0"/>
          <w:i w:val="0"/>
          <w:color w:val="172033"/>
          <w:sz w:val="28"/>
        </w:rPr>
        <w:t>Suggested minimum digital pathway</w:t>
      </w:r>
    </w:p>
    <w:p>
      <w:pPr>
        <w:numPr>
          <w:ilvl w:val="0"/>
          <w:numId w:val="11"/>
        </w:numPr>
      </w:pPr>
      <w:r>
        <w:rPr>
          <w:rFonts w:ascii="Calibri" w:hAnsi="Calibri"/>
          <w:b w:val="0"/>
          <w:i w:val="0"/>
          <w:color w:val="172033"/>
          <w:sz w:val="22"/>
        </w:rPr>
        <w:t>Welcome, consent, accessibility and language check.</w:t>
      </w:r>
    </w:p>
    <w:p>
      <w:pPr>
        <w:numPr>
          <w:ilvl w:val="0"/>
          <w:numId w:val="11"/>
        </w:numPr>
      </w:pPr>
      <w:r>
        <w:rPr>
          <w:rFonts w:ascii="Calibri" w:hAnsi="Calibri"/>
          <w:b w:val="0"/>
          <w:i w:val="0"/>
          <w:color w:val="172033"/>
          <w:sz w:val="22"/>
        </w:rPr>
        <w:t>MAPP completion with plain-language explanation of purpose.</w:t>
      </w:r>
    </w:p>
    <w:p>
      <w:pPr>
        <w:numPr>
          <w:ilvl w:val="0"/>
          <w:numId w:val="11"/>
        </w:numPr>
      </w:pPr>
      <w:r>
        <w:rPr>
          <w:rFonts w:ascii="Calibri" w:hAnsi="Calibri"/>
          <w:b w:val="0"/>
          <w:i w:val="0"/>
          <w:color w:val="172033"/>
          <w:sz w:val="22"/>
        </w:rPr>
        <w:t>Save three career possibilities: a target, an adjacent option, and a bridge role.</w:t>
      </w:r>
    </w:p>
    <w:p>
      <w:pPr>
        <w:numPr>
          <w:ilvl w:val="0"/>
          <w:numId w:val="11"/>
        </w:numPr>
      </w:pPr>
      <w:r>
        <w:rPr>
          <w:rFonts w:ascii="Calibri" w:hAnsi="Calibri"/>
          <w:b w:val="0"/>
          <w:i w:val="0"/>
          <w:color w:val="172033"/>
          <w:sz w:val="22"/>
        </w:rPr>
        <w:t>Compare requirements, wages, local demand, transferable skills, and technology exposure.</w:t>
      </w:r>
    </w:p>
    <w:p>
      <w:pPr>
        <w:numPr>
          <w:ilvl w:val="0"/>
          <w:numId w:val="11"/>
        </w:numPr>
      </w:pPr>
      <w:r>
        <w:rPr>
          <w:rFonts w:ascii="Calibri" w:hAnsi="Calibri"/>
          <w:b w:val="0"/>
          <w:i w:val="0"/>
          <w:color w:val="172033"/>
          <w:sz w:val="22"/>
        </w:rPr>
        <w:t>Choose an education, credential, apprenticeship, or direct-to-work pathway.</w:t>
      </w:r>
    </w:p>
    <w:p>
      <w:pPr>
        <w:numPr>
          <w:ilvl w:val="0"/>
          <w:numId w:val="11"/>
        </w:numPr>
      </w:pPr>
      <w:r>
        <w:rPr>
          <w:rFonts w:ascii="Calibri" w:hAnsi="Calibri"/>
          <w:b w:val="0"/>
          <w:i w:val="0"/>
          <w:color w:val="172033"/>
          <w:sz w:val="22"/>
        </w:rPr>
        <w:t>Create next actions and schedule the next human checkpoint.</w:t>
      </w:r>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Service-tier rule  </w:t>
            </w:r>
            <w:r>
              <w:rPr>
                <w:rFonts w:ascii="Calibri" w:hAnsi="Calibri"/>
                <w:b w:val="0"/>
                <w:i w:val="0"/>
                <w:color w:val="172033"/>
                <w:sz w:val="20"/>
              </w:rPr>
              <w:t>Self-service should never mean unsupported. Use automated prompts and dashboards for momentum, with clear escalation to a navigator when risk, confusion, access needs, or high-stakes decisions appear.</w:t>
            </w:r>
          </w:p>
        </w:tc>
      </w:tr>
    </w:tbl>
    <w:p>
      <w:pPr>
        <w:spacing w:after="20"/>
      </w:pPr>
    </w:p>
    <w:p>
      <w:pPr>
        <w:pStyle w:val="Kicker"/>
      </w:pPr>
      <w:r>
        <w:rPr>
          <w:rFonts w:ascii="Calibri" w:hAnsi="Calibri"/>
          <w:b/>
          <w:i w:val="0"/>
          <w:color w:val="172033"/>
          <w:sz w:val="20"/>
        </w:rPr>
        <w:t>05 • CAREER INTELLIGENCE</w:t>
      </w:r>
    </w:p>
    <w:p>
      <w:pPr>
        <w:pStyle w:val="Heading1"/>
        <w:keepNext/>
      </w:pPr>
      <w:r>
        <w:rPr>
          <w:rFonts w:ascii="Calibri" w:hAnsi="Calibri"/>
          <w:b w:val="0"/>
          <w:i w:val="0"/>
          <w:color w:val="172033"/>
          <w:sz w:val="36"/>
        </w:rPr>
        <w:t>Career matching, labor-market context, and AI risk</w:t>
      </w:r>
    </w:p>
    <w:p>
      <w:r>
        <w:rPr>
          <w:rFonts w:ascii="Calibri" w:hAnsi="Calibri"/>
          <w:b w:val="0"/>
          <w:i w:val="0"/>
          <w:color w:val="172033"/>
          <w:sz w:val="21"/>
        </w:rPr>
        <w:t>The platform’s matching flow can help participants move from a broad inventory of occupations to a shortlist worth investigating. Staff should make the comparison visible: why a career matches, what preparation it requires, what it pays, where it is growing, and what tradeoffs it creates.</w:t>
      </w:r>
    </w:p>
    <w:p>
      <w:pPr>
        <w:jc w:val="center"/>
      </w:pPr>
      <w:r>
        <w:drawing>
          <wp:inline xmlns:a="http://schemas.openxmlformats.org/drawingml/2006/main" xmlns:pic="http://schemas.openxmlformats.org/drawingml/2006/picture">
            <wp:extent cx="6675120" cy="3756751"/>
            <wp:docPr id="1" name="Picture 1" title="Assessment.com career and workforce navigation journey" descr="Six connected platform views: career matching, career and degree matching, college search, program matching, degree matches with AI risk, and real-time jobs with MAPP match."/>
            <wp:cNvGraphicFramePr>
              <a:graphicFrameLocks noChangeAspect="1"/>
            </wp:cNvGraphicFramePr>
            <a:graphic>
              <a:graphicData uri="http://schemas.openxmlformats.org/drawingml/2006/picture">
                <pic:pic>
                  <pic:nvPicPr>
                    <pic:cNvPr id="0" name="exec-02602ef9-ea81-41cd-82cd-1613215949c5.png"/>
                    <pic:cNvPicPr/>
                  </pic:nvPicPr>
                  <pic:blipFill>
                    <a:blip r:embed="rId14"/>
                    <a:stretch>
                      <a:fillRect/>
                    </a:stretch>
                  </pic:blipFill>
                  <pic:spPr>
                    <a:xfrm>
                      <a:off x="0" y="0"/>
                      <a:ext cx="6675120" cy="3756751"/>
                    </a:xfrm>
                    <a:prstGeom prst="rect"/>
                  </pic:spPr>
                </pic:pic>
              </a:graphicData>
            </a:graphic>
          </wp:inline>
        </w:drawing>
      </w:r>
    </w:p>
    <w:p>
      <w:pPr>
        <w:jc w:val="center"/>
      </w:pPr>
      <w:r>
        <w:rPr>
          <w:rFonts w:ascii="Calibri" w:hAnsi="Calibri"/>
          <w:b w:val="0"/>
          <w:i/>
          <w:color w:val="5D6878"/>
          <w:sz w:val="17"/>
        </w:rPr>
        <w:t>A connected journey from career matching to degrees, institutions, program matches, AI-risk context, and live job opportunities.</w:t>
      </w:r>
    </w:p>
    <w:p>
      <w:r>
        <w:rPr>
          <w:rFonts w:ascii="Calibri" w:hAnsi="Calibri"/>
          <w:b w:val="0"/>
          <w:i w:val="0"/>
          <w:color w:val="172033"/>
          <w:sz w:val="21"/>
        </w:rPr>
        <w:t>Use the AI Career Risk indicator as a conversation starter about task change—not as a forecast that a job will disappear. Explore which tasks may be augmented or automated, which human capabilities remain valuable, and what skills or credentials make the participant more adaptable.</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900"/>
        <w:gridCol w:w="3300"/>
        <w:gridCol w:w="4160"/>
      </w:tblGrid>
      <w:tr>
        <w:trPr>
          <w:tblHeader w:val="true"/>
          <w:cantSplit/>
        </w:trPr>
        <w:tc>
          <w:tcPr>
            <w:tcW w:type="dxa" w:w="1900"/>
            <w:tcMar>
              <w:top w:w="100" w:type="dxa"/>
              <w:start w:w="140" w:type="dxa"/>
              <w:bottom w:w="100" w:type="dxa"/>
              <w:end w:w="140" w:type="dxa"/>
            </w:tcMar>
            <w:vAlign w:val="center"/>
            <w:shd w:fill="0B1F3A"/>
          </w:tcPr>
          <w:p>
            <w:pPr>
              <w:spacing w:after="0"/>
              <w:jc w:val="left"/>
            </w:pPr>
            <w:r>
              <w:rPr>
                <w:rFonts w:ascii="Calibri" w:hAnsi="Calibri"/>
                <w:b/>
                <w:i w:val="0"/>
                <w:color w:val="FFFFFF"/>
                <w:sz w:val="18"/>
              </w:rPr>
              <w:t>Comparison question</w:t>
            </w:r>
          </w:p>
        </w:tc>
        <w:tc>
          <w:tcPr>
            <w:tcW w:type="dxa" w:w="3300"/>
            <w:tcMar>
              <w:top w:w="100" w:type="dxa"/>
              <w:start w:w="140" w:type="dxa"/>
              <w:bottom w:w="100" w:type="dxa"/>
              <w:end w:w="140" w:type="dxa"/>
            </w:tcMar>
            <w:vAlign w:val="center"/>
            <w:shd w:fill="0B1F3A"/>
          </w:tcPr>
          <w:p>
            <w:pPr>
              <w:spacing w:after="0"/>
              <w:jc w:val="left"/>
            </w:pPr>
            <w:r>
              <w:rPr>
                <w:rFonts w:ascii="Calibri" w:hAnsi="Calibri"/>
                <w:b/>
                <w:i w:val="0"/>
                <w:color w:val="FFFFFF"/>
                <w:sz w:val="18"/>
              </w:rPr>
              <w:t>Evidence to review</w:t>
            </w:r>
          </w:p>
        </w:tc>
        <w:tc>
          <w:tcPr>
            <w:tcW w:type="dxa" w:w="4160"/>
            <w:tcMar>
              <w:top w:w="100" w:type="dxa"/>
              <w:start w:w="140" w:type="dxa"/>
              <w:bottom w:w="100" w:type="dxa"/>
              <w:end w:w="140" w:type="dxa"/>
            </w:tcMar>
            <w:vAlign w:val="center"/>
            <w:shd w:fill="0B1F3A"/>
          </w:tcPr>
          <w:p>
            <w:pPr>
              <w:spacing w:after="0"/>
              <w:jc w:val="left"/>
            </w:pPr>
            <w:r>
              <w:rPr>
                <w:rFonts w:ascii="Calibri" w:hAnsi="Calibri"/>
                <w:b/>
                <w:i w:val="0"/>
                <w:color w:val="FFFFFF"/>
                <w:sz w:val="18"/>
              </w:rPr>
              <w:t>Navigator prompt</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Is the work motivating?</w:t>
            </w:r>
          </w:p>
        </w:tc>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7"/>
              </w:rPr>
              <w:t>MAPP match factors and participant examples</w:t>
            </w:r>
          </w:p>
        </w:tc>
        <w:tc>
          <w:tcPr>
            <w:tcW w:type="dxa" w:w="4160"/>
            <w:tcMar>
              <w:top w:w="100" w:type="dxa"/>
              <w:start w:w="140" w:type="dxa"/>
              <w:bottom w:w="100" w:type="dxa"/>
              <w:end w:w="140" w:type="dxa"/>
            </w:tcMar>
            <w:vAlign w:val="center"/>
          </w:tcPr>
          <w:p>
            <w:pPr>
              <w:spacing w:after="0" w:line="264" w:lineRule="auto"/>
            </w:pPr>
            <w:r>
              <w:rPr>
                <w:rFonts w:ascii="Calibri" w:hAnsi="Calibri"/>
                <w:b w:val="0"/>
                <w:i w:val="0"/>
                <w:color w:val="172033"/>
                <w:sz w:val="17"/>
              </w:rPr>
              <w:t>“Which parts of this work sound energizing—and which do not?”</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Is the pathway feasible?</w:t>
            </w:r>
          </w:p>
        </w:tc>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Education, licensing, time, cost, delivery, prerequisites</w:t>
            </w:r>
          </w:p>
        </w:tc>
        <w:tc>
          <w:tcPr>
            <w:tcW w:type="dxa" w:w="4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“What would have to be true for this route to work?”</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Is there opportunity?</w:t>
            </w:r>
          </w:p>
        </w:tc>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7"/>
              </w:rPr>
              <w:t>Openings, outlook, geography, wages, employers</w:t>
            </w:r>
          </w:p>
        </w:tc>
        <w:tc>
          <w:tcPr>
            <w:tcW w:type="dxa" w:w="4160"/>
            <w:tcMar>
              <w:top w:w="100" w:type="dxa"/>
              <w:start w:w="140" w:type="dxa"/>
              <w:bottom w:w="100" w:type="dxa"/>
              <w:end w:w="140" w:type="dxa"/>
            </w:tcMar>
            <w:vAlign w:val="center"/>
          </w:tcPr>
          <w:p>
            <w:pPr>
              <w:spacing w:after="0" w:line="264" w:lineRule="auto"/>
            </w:pPr>
            <w:r>
              <w:rPr>
                <w:rFonts w:ascii="Calibri" w:hAnsi="Calibri"/>
                <w:b w:val="0"/>
                <w:i w:val="0"/>
                <w:color w:val="172033"/>
                <w:sz w:val="17"/>
              </w:rPr>
              <w:t>“Where is demand real in your commute or remote-work area?”</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Is the work changing?</w:t>
            </w:r>
          </w:p>
        </w:tc>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AI risk, task mix, tools, emerging skills</w:t>
            </w:r>
          </w:p>
        </w:tc>
        <w:tc>
          <w:tcPr>
            <w:tcW w:type="dxa" w:w="41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“Which tasks are changing, and how could you stay ahead?”</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What is the bridge?</w:t>
            </w:r>
          </w:p>
        </w:tc>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7"/>
              </w:rPr>
              <w:t>Transferable skills and adjacent roles</w:t>
            </w:r>
          </w:p>
        </w:tc>
        <w:tc>
          <w:tcPr>
            <w:tcW w:type="dxa" w:w="4160"/>
            <w:tcMar>
              <w:top w:w="100" w:type="dxa"/>
              <w:start w:w="140" w:type="dxa"/>
              <w:bottom w:w="100" w:type="dxa"/>
              <w:end w:w="140" w:type="dxa"/>
            </w:tcMar>
            <w:vAlign w:val="center"/>
          </w:tcPr>
          <w:p>
            <w:pPr>
              <w:spacing w:after="0" w:line="264" w:lineRule="auto"/>
            </w:pPr>
            <w:r>
              <w:rPr>
                <w:rFonts w:ascii="Calibri" w:hAnsi="Calibri"/>
                <w:b w:val="0"/>
                <w:i w:val="0"/>
                <w:color w:val="172033"/>
                <w:sz w:val="17"/>
              </w:rPr>
              <w:t>“What can you enter sooner while building toward the target?”</w:t>
            </w:r>
          </w:p>
        </w:tc>
      </w:tr>
    </w:tbl>
    <w:p>
      <w:pPr>
        <w:spacing w:after="20"/>
      </w:pPr>
    </w:p>
    <w:p>
      <w:r>
        <w:br w:type="page"/>
      </w:r>
    </w:p>
    <w:p>
      <w:pPr>
        <w:pStyle w:val="Kicker"/>
      </w:pPr>
      <w:r>
        <w:rPr>
          <w:rFonts w:ascii="Calibri" w:hAnsi="Calibri"/>
          <w:b/>
          <w:i w:val="0"/>
          <w:color w:val="172033"/>
          <w:sz w:val="20"/>
        </w:rPr>
        <w:t>06 • TRAINING AND CREDENTIALS</w:t>
      </w:r>
    </w:p>
    <w:p>
      <w:pPr>
        <w:pStyle w:val="Heading1"/>
        <w:keepNext/>
      </w:pPr>
      <w:r>
        <w:rPr>
          <w:rFonts w:ascii="Calibri" w:hAnsi="Calibri"/>
          <w:b w:val="0"/>
          <w:i w:val="0"/>
          <w:color w:val="172033"/>
          <w:sz w:val="36"/>
        </w:rPr>
        <w:t>Connect career goals to education, apprenticeships, and credentials</w:t>
      </w:r>
    </w:p>
    <w:p>
      <w:r>
        <w:rPr>
          <w:rFonts w:ascii="Calibri" w:hAnsi="Calibri"/>
          <w:b w:val="0"/>
          <w:i w:val="0"/>
          <w:color w:val="172033"/>
          <w:sz w:val="21"/>
        </w:rPr>
        <w:t>A career plan becomes actionable when the participant can see the route from current qualifications to the target occupation. Assessment.com’s educational pathways and institution/program matching can support career-to-major exploration and comparison of delivery, credential level, school type, cost, debt, graduation, earnings, and other available indicators.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200"/>
        <w:gridCol w:w="3300"/>
        <w:gridCol w:w="3860"/>
      </w:tblGrid>
      <w:tr>
        <w:trPr>
          <w:tblHeader w:val="true"/>
          <w:cantSplit/>
        </w:trPr>
        <w:tc>
          <w:tcPr>
            <w:tcW w:type="dxa" w:w="2200"/>
            <w:tcMar>
              <w:top w:w="100" w:type="dxa"/>
              <w:start w:w="140" w:type="dxa"/>
              <w:bottom w:w="100" w:type="dxa"/>
              <w:end w:w="140" w:type="dxa"/>
            </w:tcMar>
            <w:vAlign w:val="center"/>
            <w:shd w:fill="0B1F3A"/>
          </w:tcPr>
          <w:p>
            <w:pPr>
              <w:spacing w:after="0"/>
              <w:jc w:val="left"/>
            </w:pPr>
            <w:r>
              <w:rPr>
                <w:rFonts w:ascii="Calibri" w:hAnsi="Calibri"/>
                <w:b/>
                <w:i w:val="0"/>
                <w:color w:val="FFFFFF"/>
                <w:sz w:val="18"/>
              </w:rPr>
              <w:t>Pathway</w:t>
            </w:r>
          </w:p>
        </w:tc>
        <w:tc>
          <w:tcPr>
            <w:tcW w:type="dxa" w:w="3300"/>
            <w:tcMar>
              <w:top w:w="100" w:type="dxa"/>
              <w:start w:w="140" w:type="dxa"/>
              <w:bottom w:w="100" w:type="dxa"/>
              <w:end w:w="140" w:type="dxa"/>
            </w:tcMar>
            <w:vAlign w:val="center"/>
            <w:shd w:fill="0B1F3A"/>
          </w:tcPr>
          <w:p>
            <w:pPr>
              <w:spacing w:after="0"/>
              <w:jc w:val="left"/>
            </w:pPr>
            <w:r>
              <w:rPr>
                <w:rFonts w:ascii="Calibri" w:hAnsi="Calibri"/>
                <w:b/>
                <w:i w:val="0"/>
                <w:color w:val="FFFFFF"/>
                <w:sz w:val="18"/>
              </w:rPr>
              <w:t>Best fit when…</w:t>
            </w:r>
          </w:p>
        </w:tc>
        <w:tc>
          <w:tcPr>
            <w:tcW w:type="dxa" w:w="3860"/>
            <w:tcMar>
              <w:top w:w="100" w:type="dxa"/>
              <w:start w:w="140" w:type="dxa"/>
              <w:bottom w:w="100" w:type="dxa"/>
              <w:end w:w="140" w:type="dxa"/>
            </w:tcMar>
            <w:vAlign w:val="center"/>
            <w:shd w:fill="0B1F3A"/>
          </w:tcPr>
          <w:p>
            <w:pPr>
              <w:spacing w:after="0"/>
              <w:jc w:val="left"/>
            </w:pPr>
            <w:r>
              <w:rPr>
                <w:rFonts w:ascii="Calibri" w:hAnsi="Calibri"/>
                <w:b/>
                <w:i w:val="0"/>
                <w:color w:val="FFFFFF"/>
                <w:sz w:val="18"/>
              </w:rPr>
              <w:t>Agency action</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7"/>
              </w:rPr>
              <w:t>Direct to work</w:t>
            </w:r>
          </w:p>
        </w:tc>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7"/>
              </w:rPr>
              <w:t>The participant already has sufficient skills or needs immediate income</w:t>
            </w:r>
          </w:p>
        </w:tc>
        <w:tc>
          <w:tcPr>
            <w:tcW w:type="dxa" w:w="3860"/>
            <w:tcMar>
              <w:top w:w="100" w:type="dxa"/>
              <w:start w:w="140" w:type="dxa"/>
              <w:bottom w:w="100" w:type="dxa"/>
              <w:end w:w="140" w:type="dxa"/>
            </w:tcMar>
            <w:vAlign w:val="center"/>
          </w:tcPr>
          <w:p>
            <w:pPr>
              <w:spacing w:after="0" w:line="264" w:lineRule="auto"/>
            </w:pPr>
            <w:r>
              <w:rPr>
                <w:rFonts w:ascii="Calibri" w:hAnsi="Calibri"/>
                <w:b w:val="0"/>
                <w:i w:val="0"/>
                <w:color w:val="172033"/>
                <w:sz w:val="17"/>
              </w:rPr>
              <w:t>Match live jobs; improve resume; prepare interviews; plan upskilling</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Short-term credential</w:t>
            </w:r>
          </w:p>
        </w:tc>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 targeted credential unlocks entry or advancement</w:t>
            </w:r>
          </w:p>
        </w:tc>
        <w:tc>
          <w:tcPr>
            <w:tcW w:type="dxa" w:w="38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Verify employer demand, eligibility, quality, cost, completion, and stackability</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7"/>
              </w:rPr>
              <w:t>Registered Apprenticeship</w:t>
            </w:r>
          </w:p>
        </w:tc>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7"/>
              </w:rPr>
              <w:t>Paid work-based learning fits the occupation and participant</w:t>
            </w:r>
          </w:p>
        </w:tc>
        <w:tc>
          <w:tcPr>
            <w:tcW w:type="dxa" w:w="3860"/>
            <w:tcMar>
              <w:top w:w="100" w:type="dxa"/>
              <w:start w:w="140" w:type="dxa"/>
              <w:bottom w:w="100" w:type="dxa"/>
              <w:end w:w="140" w:type="dxa"/>
            </w:tcMar>
            <w:vAlign w:val="center"/>
          </w:tcPr>
          <w:p>
            <w:pPr>
              <w:spacing w:after="0" w:line="264" w:lineRule="auto"/>
            </w:pPr>
            <w:r>
              <w:rPr>
                <w:rFonts w:ascii="Calibri" w:hAnsi="Calibri"/>
                <w:b w:val="0"/>
                <w:i w:val="0"/>
                <w:color w:val="172033"/>
                <w:sz w:val="17"/>
              </w:rPr>
              <w:t>Connect to sponsors; verify requirements; coordinate supportive services</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Community/technical college</w:t>
            </w:r>
          </w:p>
        </w:tc>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 certificate or degree is the realistic bridge</w:t>
            </w:r>
          </w:p>
        </w:tc>
        <w:tc>
          <w:tcPr>
            <w:tcW w:type="dxa" w:w="38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Compare programs, delivery, outcomes, prerequisites, and aid</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7"/>
              </w:rPr>
              <w:t>Four-year or graduate study</w:t>
            </w:r>
          </w:p>
        </w:tc>
        <w:tc>
          <w:tcPr>
            <w:tcW w:type="dxa" w:w="3300"/>
            <w:tcMar>
              <w:top w:w="100" w:type="dxa"/>
              <w:start w:w="140" w:type="dxa"/>
              <w:bottom w:w="100" w:type="dxa"/>
              <w:end w:w="140" w:type="dxa"/>
            </w:tcMar>
            <w:vAlign w:val="center"/>
          </w:tcPr>
          <w:p>
            <w:pPr>
              <w:spacing w:after="0" w:line="264" w:lineRule="auto"/>
            </w:pPr>
            <w:r>
              <w:rPr>
                <w:rFonts w:ascii="Calibri" w:hAnsi="Calibri"/>
                <w:b w:val="0"/>
                <w:i w:val="0"/>
                <w:color w:val="172033"/>
                <w:sz w:val="17"/>
              </w:rPr>
              <w:t>The target occupation requires deeper academic preparation</w:t>
            </w:r>
          </w:p>
        </w:tc>
        <w:tc>
          <w:tcPr>
            <w:tcW w:type="dxa" w:w="3860"/>
            <w:tcMar>
              <w:top w:w="100" w:type="dxa"/>
              <w:start w:w="140" w:type="dxa"/>
              <w:bottom w:w="100" w:type="dxa"/>
              <w:end w:w="140" w:type="dxa"/>
            </w:tcMar>
            <w:vAlign w:val="center"/>
          </w:tcPr>
          <w:p>
            <w:pPr>
              <w:spacing w:after="0" w:line="264" w:lineRule="auto"/>
            </w:pPr>
            <w:r>
              <w:rPr>
                <w:rFonts w:ascii="Calibri" w:hAnsi="Calibri"/>
                <w:b w:val="0"/>
                <w:i w:val="0"/>
                <w:color w:val="172033"/>
                <w:sz w:val="17"/>
              </w:rPr>
              <w:t>Build a staged plan with time, affordability, transfer, and alternatives</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Bridge or pre-apprenticeship</w:t>
            </w:r>
          </w:p>
        </w:tc>
        <w:tc>
          <w:tcPr>
            <w:tcW w:type="dxa" w:w="33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Foundational skills or readiness must be developed first</w:t>
            </w:r>
          </w:p>
        </w:tc>
        <w:tc>
          <w:tcPr>
            <w:tcW w:type="dxa" w:w="38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Specify milestones and the handoff into the next credential or employer</w:t>
            </w:r>
          </w:p>
        </w:tc>
      </w:tr>
    </w:tbl>
    <w:p>
      <w:pPr>
        <w:spacing w:after="20"/>
      </w:pPr>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Quality gate  </w:t>
            </w:r>
            <w:r>
              <w:rPr>
                <w:rFonts w:ascii="Calibri" w:hAnsi="Calibri"/>
                <w:b w:val="0"/>
                <w:i w:val="0"/>
                <w:color w:val="172033"/>
                <w:sz w:val="20"/>
              </w:rPr>
              <w:t>A match is not an approval. Apply agency policy, eligibility rules, consumer information, approved-training-provider requirements, accessibility review, and due diligence before funding or referral.</w:t>
            </w:r>
          </w:p>
        </w:tc>
      </w:tr>
    </w:tbl>
    <w:p>
      <w:pPr>
        <w:spacing w:after="20"/>
      </w:pPr>
    </w:p>
    <w:p>
      <w:pPr>
        <w:pStyle w:val="Kicker"/>
      </w:pPr>
      <w:r>
        <w:rPr>
          <w:rFonts w:ascii="Calibri" w:hAnsi="Calibri"/>
          <w:b/>
          <w:i w:val="0"/>
          <w:color w:val="172033"/>
          <w:sz w:val="20"/>
        </w:rPr>
        <w:t>07 • WORKFORCE DEVELOPMENT AI SOLUTIONS</w:t>
      </w:r>
    </w:p>
    <w:p>
      <w:pPr>
        <w:pStyle w:val="Heading1"/>
        <w:keepNext/>
      </w:pPr>
      <w:r>
        <w:rPr>
          <w:rFonts w:ascii="Calibri" w:hAnsi="Calibri"/>
          <w:b w:val="0"/>
          <w:i w:val="0"/>
          <w:color w:val="172033"/>
          <w:sz w:val="36"/>
        </w:rPr>
        <w:t>Scale guidance while protecting human judgment</w:t>
      </w:r>
    </w:p>
    <w:p>
      <w:r>
        <w:rPr>
          <w:rFonts w:ascii="Calibri" w:hAnsi="Calibri"/>
          <w:b w:val="0"/>
          <w:i w:val="0"/>
          <w:color w:val="172033"/>
          <w:sz w:val="21"/>
        </w:rPr>
        <w:t>The platform describes AI capabilities for career navigation, education planning, job preparation, summaries, transferable-skill translation, individual employment plans, training recommendations, interview practice, resume support, and progress documentation. These capabilities can reduce blank-page work and improve access between appointments when governed carefully.</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900"/>
        <w:gridCol w:w="3260"/>
        <w:gridCol w:w="4200"/>
      </w:tblGrid>
      <w:tr>
        <w:trPr>
          <w:tblHeader w:val="true"/>
          <w:cantSplit/>
        </w:trPr>
        <w:tc>
          <w:tcPr>
            <w:tcW w:type="dxa" w:w="1900"/>
            <w:tcMar>
              <w:top w:w="100" w:type="dxa"/>
              <w:start w:w="140" w:type="dxa"/>
              <w:bottom w:w="100" w:type="dxa"/>
              <w:end w:w="140" w:type="dxa"/>
            </w:tcMar>
            <w:vAlign w:val="center"/>
            <w:shd w:fill="0B1F3A"/>
          </w:tcPr>
          <w:p>
            <w:pPr>
              <w:spacing w:after="0"/>
              <w:jc w:val="left"/>
            </w:pPr>
            <w:r>
              <w:rPr>
                <w:rFonts w:ascii="Calibri" w:hAnsi="Calibri"/>
                <w:b/>
                <w:i w:val="0"/>
                <w:color w:val="FFFFFF"/>
                <w:sz w:val="18"/>
              </w:rPr>
              <w:t>AI-supported task</w:t>
            </w:r>
          </w:p>
        </w:tc>
        <w:tc>
          <w:tcPr>
            <w:tcW w:type="dxa" w:w="3260"/>
            <w:tcMar>
              <w:top w:w="100" w:type="dxa"/>
              <w:start w:w="140" w:type="dxa"/>
              <w:bottom w:w="100" w:type="dxa"/>
              <w:end w:w="140" w:type="dxa"/>
            </w:tcMar>
            <w:vAlign w:val="center"/>
            <w:shd w:fill="0B1F3A"/>
          </w:tcPr>
          <w:p>
            <w:pPr>
              <w:spacing w:after="0"/>
              <w:jc w:val="left"/>
            </w:pPr>
            <w:r>
              <w:rPr>
                <w:rFonts w:ascii="Calibri" w:hAnsi="Calibri"/>
                <w:b/>
                <w:i w:val="0"/>
                <w:color w:val="FFFFFF"/>
                <w:sz w:val="18"/>
              </w:rPr>
              <w:t>Useful output</w:t>
            </w:r>
          </w:p>
        </w:tc>
        <w:tc>
          <w:tcPr>
            <w:tcW w:type="dxa" w:w="4200"/>
            <w:tcMar>
              <w:top w:w="100" w:type="dxa"/>
              <w:start w:w="140" w:type="dxa"/>
              <w:bottom w:w="100" w:type="dxa"/>
              <w:end w:w="140" w:type="dxa"/>
            </w:tcMar>
            <w:vAlign w:val="center"/>
            <w:shd w:fill="0B1F3A"/>
          </w:tcPr>
          <w:p>
            <w:pPr>
              <w:spacing w:after="0"/>
              <w:jc w:val="left"/>
            </w:pPr>
            <w:r>
              <w:rPr>
                <w:rFonts w:ascii="Calibri" w:hAnsi="Calibri"/>
                <w:b/>
                <w:i w:val="0"/>
                <w:color w:val="FFFFFF"/>
                <w:sz w:val="18"/>
              </w:rPr>
              <w:t>Required human check</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Explain results</w:t>
            </w:r>
          </w:p>
        </w:tc>
        <w:tc>
          <w:tcPr>
            <w:tcW w:type="dxa" w:w="3260"/>
            <w:tcMar>
              <w:top w:w="100" w:type="dxa"/>
              <w:start w:w="140" w:type="dxa"/>
              <w:bottom w:w="100" w:type="dxa"/>
              <w:end w:w="140" w:type="dxa"/>
            </w:tcMar>
            <w:vAlign w:val="center"/>
          </w:tcPr>
          <w:p>
            <w:pPr>
              <w:spacing w:after="0" w:line="264" w:lineRule="auto"/>
            </w:pPr>
            <w:r>
              <w:rPr>
                <w:rFonts w:ascii="Calibri" w:hAnsi="Calibri"/>
                <w:b w:val="0"/>
                <w:i w:val="0"/>
                <w:color w:val="172033"/>
                <w:sz w:val="17"/>
              </w:rPr>
              <w:t>Plain-language summary and reflection prompts</w:t>
            </w:r>
          </w:p>
        </w:tc>
        <w:tc>
          <w:tcPr>
            <w:tcW w:type="dxa" w:w="4200"/>
            <w:tcMar>
              <w:top w:w="100" w:type="dxa"/>
              <w:start w:w="140" w:type="dxa"/>
              <w:bottom w:w="100" w:type="dxa"/>
              <w:end w:w="140" w:type="dxa"/>
            </w:tcMar>
            <w:vAlign w:val="center"/>
          </w:tcPr>
          <w:p>
            <w:pPr>
              <w:spacing w:after="0" w:line="264" w:lineRule="auto"/>
            </w:pPr>
            <w:r>
              <w:rPr>
                <w:rFonts w:ascii="Calibri" w:hAnsi="Calibri"/>
                <w:b w:val="0"/>
                <w:i w:val="0"/>
                <w:color w:val="172033"/>
                <w:sz w:val="17"/>
              </w:rPr>
              <w:t>Accuracy, tone, accessibility, cultural relevance</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Generate career options</w:t>
            </w:r>
          </w:p>
        </w:tc>
        <w:tc>
          <w:tcPr>
            <w:tcW w:type="dxa" w:w="32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Shortlist of target, adjacent, and bridge roles</w:t>
            </w:r>
          </w:p>
        </w:tc>
        <w:tc>
          <w:tcPr>
            <w:tcW w:type="dxa" w:w="4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Local demand, feasibility, participant preference</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Draft an IEP</w:t>
            </w:r>
          </w:p>
        </w:tc>
        <w:tc>
          <w:tcPr>
            <w:tcW w:type="dxa" w:w="3260"/>
            <w:tcMar>
              <w:top w:w="100" w:type="dxa"/>
              <w:start w:w="140" w:type="dxa"/>
              <w:bottom w:w="100" w:type="dxa"/>
              <w:end w:w="140" w:type="dxa"/>
            </w:tcMar>
            <w:vAlign w:val="center"/>
          </w:tcPr>
          <w:p>
            <w:pPr>
              <w:spacing w:after="0" w:line="264" w:lineRule="auto"/>
            </w:pPr>
            <w:r>
              <w:rPr>
                <w:rFonts w:ascii="Calibri" w:hAnsi="Calibri"/>
                <w:b w:val="0"/>
                <w:i w:val="0"/>
                <w:color w:val="172033"/>
                <w:sz w:val="17"/>
              </w:rPr>
              <w:t>Goal, milestones, tasks, dates, and support needs</w:t>
            </w:r>
          </w:p>
        </w:tc>
        <w:tc>
          <w:tcPr>
            <w:tcW w:type="dxa" w:w="4200"/>
            <w:tcMar>
              <w:top w:w="100" w:type="dxa"/>
              <w:start w:w="140" w:type="dxa"/>
              <w:bottom w:w="100" w:type="dxa"/>
              <w:end w:w="140" w:type="dxa"/>
            </w:tcMar>
            <w:vAlign w:val="center"/>
          </w:tcPr>
          <w:p>
            <w:pPr>
              <w:spacing w:after="0" w:line="264" w:lineRule="auto"/>
            </w:pPr>
            <w:r>
              <w:rPr>
                <w:rFonts w:ascii="Calibri" w:hAnsi="Calibri"/>
                <w:b w:val="0"/>
                <w:i w:val="0"/>
                <w:color w:val="172033"/>
                <w:sz w:val="17"/>
              </w:rPr>
              <w:t>Eligibility, commitments, sequencing, responsible parties</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Translate skills</w:t>
            </w:r>
          </w:p>
        </w:tc>
        <w:tc>
          <w:tcPr>
            <w:tcW w:type="dxa" w:w="32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Civilian, cross-industry, or employer-facing language</w:t>
            </w:r>
          </w:p>
        </w:tc>
        <w:tc>
          <w:tcPr>
            <w:tcW w:type="dxa" w:w="4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Evidence from actual experience; no fabricated claims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Recommend learning</w:t>
            </w:r>
          </w:p>
        </w:tc>
        <w:tc>
          <w:tcPr>
            <w:tcW w:type="dxa" w:w="3260"/>
            <w:tcMar>
              <w:top w:w="100" w:type="dxa"/>
              <w:start w:w="140" w:type="dxa"/>
              <w:bottom w:w="100" w:type="dxa"/>
              <w:end w:w="140" w:type="dxa"/>
            </w:tcMar>
            <w:vAlign w:val="center"/>
          </w:tcPr>
          <w:p>
            <w:pPr>
              <w:spacing w:after="0" w:line="264" w:lineRule="auto"/>
            </w:pPr>
            <w:r>
              <w:rPr>
                <w:rFonts w:ascii="Calibri" w:hAnsi="Calibri"/>
                <w:b w:val="0"/>
                <w:i w:val="0"/>
                <w:color w:val="172033"/>
                <w:sz w:val="17"/>
              </w:rPr>
              <w:t>Skill gaps and possible training steps</w:t>
            </w:r>
          </w:p>
        </w:tc>
        <w:tc>
          <w:tcPr>
            <w:tcW w:type="dxa" w:w="4200"/>
            <w:tcMar>
              <w:top w:w="100" w:type="dxa"/>
              <w:start w:w="140" w:type="dxa"/>
              <w:bottom w:w="100" w:type="dxa"/>
              <w:end w:w="140" w:type="dxa"/>
            </w:tcMar>
            <w:vAlign w:val="center"/>
          </w:tcPr>
          <w:p>
            <w:pPr>
              <w:spacing w:after="0" w:line="264" w:lineRule="auto"/>
            </w:pPr>
            <w:r>
              <w:rPr>
                <w:rFonts w:ascii="Calibri" w:hAnsi="Calibri"/>
                <w:b w:val="0"/>
                <w:i w:val="0"/>
                <w:color w:val="172033"/>
                <w:sz w:val="17"/>
              </w:rPr>
              <w:t>Provider quality, funding rules, cost, prerequisites</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Prepare applications</w:t>
            </w:r>
          </w:p>
        </w:tc>
        <w:tc>
          <w:tcPr>
            <w:tcW w:type="dxa" w:w="32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Resume bullets, cover-letter ideas, interview practice</w:t>
            </w:r>
          </w:p>
        </w:tc>
        <w:tc>
          <w:tcPr>
            <w:tcW w:type="dxa" w:w="4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Truthfulness, relevance, accommodations, employer requirements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Draft case notes</w:t>
            </w:r>
          </w:p>
        </w:tc>
        <w:tc>
          <w:tcPr>
            <w:tcW w:type="dxa" w:w="3260"/>
            <w:tcMar>
              <w:top w:w="100" w:type="dxa"/>
              <w:start w:w="140" w:type="dxa"/>
              <w:bottom w:w="100" w:type="dxa"/>
              <w:end w:w="140" w:type="dxa"/>
            </w:tcMar>
            <w:vAlign w:val="center"/>
          </w:tcPr>
          <w:p>
            <w:pPr>
              <w:spacing w:after="0" w:line="264" w:lineRule="auto"/>
            </w:pPr>
            <w:r>
              <w:rPr>
                <w:rFonts w:ascii="Calibri" w:hAnsi="Calibri"/>
                <w:b w:val="0"/>
                <w:i w:val="0"/>
                <w:color w:val="172033"/>
                <w:sz w:val="17"/>
              </w:rPr>
              <w:t>Concise summary of activities and next steps</w:t>
            </w:r>
          </w:p>
        </w:tc>
        <w:tc>
          <w:tcPr>
            <w:tcW w:type="dxa" w:w="4200"/>
            <w:tcMar>
              <w:top w:w="100" w:type="dxa"/>
              <w:start w:w="140" w:type="dxa"/>
              <w:bottom w:w="100" w:type="dxa"/>
              <w:end w:w="140" w:type="dxa"/>
            </w:tcMar>
            <w:vAlign w:val="center"/>
          </w:tcPr>
          <w:p>
            <w:pPr>
              <w:spacing w:after="0" w:line="264" w:lineRule="auto"/>
            </w:pPr>
            <w:r>
              <w:rPr>
                <w:rFonts w:ascii="Calibri" w:hAnsi="Calibri"/>
                <w:b w:val="0"/>
                <w:i w:val="0"/>
                <w:color w:val="172033"/>
                <w:sz w:val="17"/>
              </w:rPr>
              <w:t>Consent, minimization, objective wording, policy compliance</w:t>
            </w:r>
          </w:p>
        </w:tc>
      </w:tr>
    </w:tbl>
    <w:p>
      <w:pPr>
        <w:spacing w:after="20"/>
      </w:pPr>
    </w:p>
    <w:p>
      <w:pPr>
        <w:pStyle w:val="Heading2"/>
      </w:pPr>
      <w:r>
        <w:rPr>
          <w:rFonts w:ascii="Calibri" w:hAnsi="Calibri"/>
          <w:b w:val="0"/>
          <w:i w:val="0"/>
          <w:color w:val="172033"/>
          <w:sz w:val="28"/>
        </w:rPr>
        <w:t>Minimum AI governance controls</w:t>
      </w:r>
    </w:p>
    <w:p>
      <w:pPr>
        <w:numPr>
          <w:ilvl w:val="0"/>
          <w:numId w:val="10"/>
        </w:numPr>
      </w:pPr>
      <w:r>
        <w:rPr>
          <w:rFonts w:ascii="Calibri" w:hAnsi="Calibri"/>
          <w:b w:val="0"/>
          <w:i w:val="0"/>
          <w:color w:val="172033"/>
          <w:sz w:val="22"/>
        </w:rPr>
        <w:t>Tell participants when AI is being used and what it can and cannot do.</w:t>
      </w:r>
    </w:p>
    <w:p>
      <w:pPr>
        <w:numPr>
          <w:ilvl w:val="0"/>
          <w:numId w:val="10"/>
        </w:numPr>
      </w:pPr>
      <w:r>
        <w:rPr>
          <w:rFonts w:ascii="Calibri" w:hAnsi="Calibri"/>
          <w:b w:val="0"/>
          <w:i w:val="0"/>
          <w:color w:val="172033"/>
          <w:sz w:val="22"/>
        </w:rPr>
        <w:t>Keep eligibility, funding, sanctions, selection, and adverse decisions under authorized human control.</w:t>
      </w:r>
    </w:p>
    <w:p>
      <w:pPr>
        <w:numPr>
          <w:ilvl w:val="0"/>
          <w:numId w:val="10"/>
        </w:numPr>
      </w:pPr>
      <w:r>
        <w:rPr>
          <w:rFonts w:ascii="Calibri" w:hAnsi="Calibri"/>
          <w:b w:val="0"/>
          <w:i w:val="0"/>
          <w:color w:val="172033"/>
          <w:sz w:val="22"/>
        </w:rPr>
        <w:t>Do not enter sensitive information unless the approved configuration, contract, and policy permit it.</w:t>
      </w:r>
    </w:p>
    <w:p>
      <w:pPr>
        <w:numPr>
          <w:ilvl w:val="0"/>
          <w:numId w:val="10"/>
        </w:numPr>
      </w:pPr>
      <w:r>
        <w:rPr>
          <w:rFonts w:ascii="Calibri" w:hAnsi="Calibri"/>
          <w:b w:val="0"/>
          <w:i w:val="0"/>
          <w:color w:val="172033"/>
          <w:sz w:val="22"/>
        </w:rPr>
        <w:t>Require staff and participants to verify facts, credentials, employers, dates, and generated claims.</w:t>
      </w:r>
    </w:p>
    <w:p>
      <w:pPr>
        <w:numPr>
          <w:ilvl w:val="0"/>
          <w:numId w:val="10"/>
        </w:numPr>
      </w:pPr>
      <w:r>
        <w:rPr>
          <w:rFonts w:ascii="Calibri" w:hAnsi="Calibri"/>
          <w:b w:val="0"/>
          <w:i w:val="0"/>
          <w:color w:val="172033"/>
          <w:sz w:val="22"/>
        </w:rPr>
        <w:t>Test for accessibility, language quality, bias patterns, hallucinations, and inconsistent recommendations.</w:t>
      </w:r>
    </w:p>
    <w:p>
      <w:pPr>
        <w:numPr>
          <w:ilvl w:val="0"/>
          <w:numId w:val="10"/>
        </w:numPr>
      </w:pPr>
      <w:r>
        <w:rPr>
          <w:rFonts w:ascii="Calibri" w:hAnsi="Calibri"/>
          <w:b w:val="0"/>
          <w:i w:val="0"/>
          <w:color w:val="172033"/>
          <w:sz w:val="22"/>
        </w:rPr>
        <w:t>Maintain escalation, incident, audit, retention, and vendor-management procedures.</w:t>
      </w:r>
    </w:p>
    <w:tbl>
      <w:tblPr>
        <w:tblW w:type="dxa" w:w="9360"/>
        <w:tblLayout w:type="fixed"/>
        <w:tblLook w:firstColumn="1" w:firstRow="1" w:lastColumn="0" w:lastRow="0" w:noHBand="0" w:noVBand="1" w:val="04A0"/>
        <w:tblInd w:w="120" w:type="dxa"/>
        <w:tblBorders>
          <w:top w:val="single" w:sz="10" w:space="0" w:color="F4C400"/>
          <w:left w:val="single" w:sz="10" w:space="0" w:color="F4C400"/>
          <w:bottom w:val="single" w:sz="10" w:space="0" w:color="F4C400"/>
          <w:right w:val="single" w:sz="10" w:space="0" w:color="F4C400"/>
          <w:insideH w:val="single" w:sz="10" w:space="0" w:color="F4C400"/>
          <w:insideV w:val="single" w:sz="10" w:space="0" w:color="F4C400"/>
        </w:tblBorders>
      </w:tblPr>
      <w:tblGrid>
        <w:gridCol w:w="9360"/>
      </w:tblGrid>
      <w:tr>
        <w:tc>
          <w:tcPr>
            <w:tcW w:type="dxa" w:w="9360"/>
            <w:tcMar>
              <w:top w:w="100" w:type="dxa"/>
              <w:start w:w="140" w:type="dxa"/>
              <w:bottom w:w="100" w:type="dxa"/>
              <w:end w:w="140" w:type="dxa"/>
            </w:tcMar>
            <w:vAlign w:val="center"/>
            <w:shd w:fill="F1EEFF"/>
          </w:tcPr>
          <w:p>
            <w:pPr>
              <w:spacing w:after="60"/>
            </w:pPr>
            <w:r>
              <w:rPr>
                <w:rFonts w:ascii="Calibri" w:hAnsi="Calibri"/>
                <w:b/>
                <w:i w:val="0"/>
                <w:color w:val="0B1F3A"/>
                <w:sz w:val="24"/>
              </w:rPr>
              <w:t>Explore before you scale</w:t>
            </w:r>
          </w:p>
          <w:p>
            <w:pPr>
              <w:spacing w:after="80"/>
            </w:pPr>
            <w:r>
              <w:rPr>
                <w:rFonts w:ascii="Calibri" w:hAnsi="Calibri"/>
                <w:b w:val="0"/>
                <w:i w:val="0"/>
                <w:color w:val="172033"/>
                <w:sz w:val="20"/>
              </w:rPr>
              <w:t>Create a free account to experience the assessment, matching, and AI-supported participant journey.</w:t>
            </w:r>
          </w:p>
          <w:p>
            <w:pPr>
              <w:spacing w:after="0"/>
            </w:pPr>
            <w:hyperlink r:id="rId11">
              <w:r>
                <w:rPr>
                  <w:color w:val="2E6BE6"/>
                  <w:u w:val="single"/>
                  <w:rFonts w:ascii="Calibri" w:hAnsi="Calibri"/>
                  <w:sz w:val="20"/>
                </w:rPr>
                <w:t>Create a Free Workforce Account  →</w:t>
              </w:r>
            </w:hyperlink>
          </w:p>
        </w:tc>
      </w:tr>
    </w:tbl>
    <w:p>
      <w:pPr>
        <w:spacing w:after="20"/>
      </w:pPr>
    </w:p>
    <w:p>
      <w:r>
        <w:br w:type="page"/>
      </w:r>
    </w:p>
    <w:p>
      <w:pPr>
        <w:pStyle w:val="Kicker"/>
      </w:pPr>
      <w:r>
        <w:rPr>
          <w:rFonts w:ascii="Calibri" w:hAnsi="Calibri"/>
          <w:b/>
          <w:i w:val="0"/>
          <w:color w:val="172033"/>
          <w:sz w:val="20"/>
        </w:rPr>
        <w:t>08 • CAREER ASSISTANCE</w:t>
      </w:r>
    </w:p>
    <w:p>
      <w:pPr>
        <w:pStyle w:val="Heading1"/>
        <w:keepNext/>
      </w:pPr>
      <w:r>
        <w:rPr>
          <w:rFonts w:ascii="Calibri" w:hAnsi="Calibri"/>
          <w:b w:val="0"/>
          <w:i w:val="0"/>
          <w:color w:val="172033"/>
          <w:sz w:val="36"/>
        </w:rPr>
        <w:t>Turn insight into applications, interviews, and live opportunities</w:t>
      </w:r>
    </w:p>
    <w:p>
      <w:r>
        <w:rPr>
          <w:rFonts w:ascii="Calibri" w:hAnsi="Calibri"/>
          <w:b w:val="0"/>
          <w:i w:val="0"/>
          <w:color w:val="172033"/>
          <w:sz w:val="21"/>
        </w:rPr>
        <w:t>Career assistance should connect exploration to action without forcing participants through separate, disconnected tools. The platform can combine saved matches, live job listings, MAPP-informed fit context, AI coaching, resume development, interview preparation, and learning roadmaps.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950"/>
        <w:gridCol w:w="3330"/>
        <w:gridCol w:w="4080"/>
      </w:tblGrid>
      <w:tr>
        <w:trPr>
          <w:tblHeader w:val="true"/>
          <w:cantSplit/>
        </w:trPr>
        <w:tc>
          <w:tcPr>
            <w:tcW w:type="dxa" w:w="1950"/>
            <w:tcMar>
              <w:top w:w="100" w:type="dxa"/>
              <w:start w:w="140" w:type="dxa"/>
              <w:bottom w:w="100" w:type="dxa"/>
              <w:end w:w="140" w:type="dxa"/>
            </w:tcMar>
            <w:vAlign w:val="center"/>
            <w:shd w:fill="0B1F3A"/>
          </w:tcPr>
          <w:p>
            <w:pPr>
              <w:spacing w:after="0"/>
              <w:jc w:val="left"/>
            </w:pPr>
            <w:r>
              <w:rPr>
                <w:rFonts w:ascii="Calibri" w:hAnsi="Calibri"/>
                <w:b/>
                <w:i w:val="0"/>
                <w:color w:val="FFFFFF"/>
                <w:sz w:val="18"/>
              </w:rPr>
              <w:t>Career-assistance moment</w:t>
            </w:r>
          </w:p>
        </w:tc>
        <w:tc>
          <w:tcPr>
            <w:tcW w:type="dxa" w:w="3330"/>
            <w:tcMar>
              <w:top w:w="100" w:type="dxa"/>
              <w:start w:w="140" w:type="dxa"/>
              <w:bottom w:w="100" w:type="dxa"/>
              <w:end w:w="140" w:type="dxa"/>
            </w:tcMar>
            <w:vAlign w:val="center"/>
            <w:shd w:fill="0B1F3A"/>
          </w:tcPr>
          <w:p>
            <w:pPr>
              <w:spacing w:after="0"/>
              <w:jc w:val="left"/>
            </w:pPr>
            <w:r>
              <w:rPr>
                <w:rFonts w:ascii="Calibri" w:hAnsi="Calibri"/>
                <w:b/>
                <w:i w:val="0"/>
                <w:color w:val="FFFFFF"/>
                <w:sz w:val="18"/>
              </w:rPr>
              <w:t>Participant task</w:t>
            </w:r>
          </w:p>
        </w:tc>
        <w:tc>
          <w:tcPr>
            <w:tcW w:type="dxa" w:w="4080"/>
            <w:tcMar>
              <w:top w:w="100" w:type="dxa"/>
              <w:start w:w="140" w:type="dxa"/>
              <w:bottom w:w="100" w:type="dxa"/>
              <w:end w:w="140" w:type="dxa"/>
            </w:tcMar>
            <w:vAlign w:val="center"/>
            <w:shd w:fill="0B1F3A"/>
          </w:tcPr>
          <w:p>
            <w:pPr>
              <w:spacing w:after="0"/>
              <w:jc w:val="left"/>
            </w:pPr>
            <w:r>
              <w:rPr>
                <w:rFonts w:ascii="Calibri" w:hAnsi="Calibri"/>
                <w:b/>
                <w:i w:val="0"/>
                <w:color w:val="FFFFFF"/>
                <w:sz w:val="18"/>
              </w:rPr>
              <w:t>Staff quality check</w:t>
            </w:r>
          </w:p>
        </w:tc>
      </w:tr>
      <w:tr>
        <w:trPr>
          <w:cantSplit/>
        </w:trPr>
        <w:tc>
          <w:tcPr>
            <w:tcW w:type="dxa" w:w="1950"/>
            <w:tcMar>
              <w:top w:w="100" w:type="dxa"/>
              <w:start w:w="140" w:type="dxa"/>
              <w:bottom w:w="100" w:type="dxa"/>
              <w:end w:w="140" w:type="dxa"/>
            </w:tcMar>
            <w:vAlign w:val="center"/>
          </w:tcPr>
          <w:p>
            <w:pPr>
              <w:spacing w:after="0" w:line="264" w:lineRule="auto"/>
            </w:pPr>
            <w:r>
              <w:rPr>
                <w:rFonts w:ascii="Calibri" w:hAnsi="Calibri"/>
                <w:b/>
                <w:i w:val="0"/>
                <w:color w:val="172033"/>
                <w:sz w:val="17"/>
              </w:rPr>
              <w:t>Targeting</w:t>
            </w:r>
          </w:p>
        </w:tc>
        <w:tc>
          <w:tcPr>
            <w:tcW w:type="dxa" w:w="3330"/>
            <w:tcMar>
              <w:top w:w="100" w:type="dxa"/>
              <w:start w:w="140" w:type="dxa"/>
              <w:bottom w:w="100" w:type="dxa"/>
              <w:end w:w="140" w:type="dxa"/>
            </w:tcMar>
            <w:vAlign w:val="center"/>
          </w:tcPr>
          <w:p>
            <w:pPr>
              <w:spacing w:after="0" w:line="264" w:lineRule="auto"/>
            </w:pPr>
            <w:r>
              <w:rPr>
                <w:rFonts w:ascii="Calibri" w:hAnsi="Calibri"/>
                <w:b w:val="0"/>
                <w:i w:val="0"/>
                <w:color w:val="172033"/>
                <w:sz w:val="17"/>
              </w:rPr>
              <w:t>Define role families, geography, schedule, wage floor, and job type</w:t>
            </w:r>
          </w:p>
        </w:tc>
        <w:tc>
          <w:tcPr>
            <w:tcW w:type="dxa" w:w="4080"/>
            <w:tcMar>
              <w:top w:w="100" w:type="dxa"/>
              <w:start w:w="140" w:type="dxa"/>
              <w:bottom w:w="100" w:type="dxa"/>
              <w:end w:w="140" w:type="dxa"/>
            </w:tcMar>
            <w:vAlign w:val="center"/>
          </w:tcPr>
          <w:p>
            <w:pPr>
              <w:spacing w:after="0" w:line="264" w:lineRule="auto"/>
            </w:pPr>
            <w:r>
              <w:rPr>
                <w:rFonts w:ascii="Calibri" w:hAnsi="Calibri"/>
                <w:b w:val="0"/>
                <w:i w:val="0"/>
                <w:color w:val="172033"/>
                <w:sz w:val="17"/>
              </w:rPr>
              <w:t>Confirm constraints, accommodations, and realistic alternatives</w:t>
            </w:r>
          </w:p>
        </w:tc>
      </w:tr>
      <w:tr>
        <w:trPr>
          <w:cantSplit/>
        </w:trPr>
        <w:tc>
          <w:tcPr>
            <w:tcW w:type="dxa" w:w="19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Resume</w:t>
            </w:r>
          </w:p>
        </w:tc>
        <w:tc>
          <w:tcPr>
            <w:tcW w:type="dxa" w:w="33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Translate experience into relevant, truthful accomplishments</w:t>
            </w:r>
          </w:p>
        </w:tc>
        <w:tc>
          <w:tcPr>
            <w:tcW w:type="dxa" w:w="408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Check evidence, readability, keywords, gaps, and accessibility</w:t>
            </w:r>
          </w:p>
        </w:tc>
      </w:tr>
      <w:tr>
        <w:trPr>
          <w:cantSplit/>
        </w:trPr>
        <w:tc>
          <w:tcPr>
            <w:tcW w:type="dxa" w:w="1950"/>
            <w:tcMar>
              <w:top w:w="100" w:type="dxa"/>
              <w:start w:w="140" w:type="dxa"/>
              <w:bottom w:w="100" w:type="dxa"/>
              <w:end w:w="140" w:type="dxa"/>
            </w:tcMar>
            <w:vAlign w:val="center"/>
          </w:tcPr>
          <w:p>
            <w:pPr>
              <w:spacing w:after="0" w:line="264" w:lineRule="auto"/>
            </w:pPr>
            <w:r>
              <w:rPr>
                <w:rFonts w:ascii="Calibri" w:hAnsi="Calibri"/>
                <w:b/>
                <w:i w:val="0"/>
                <w:color w:val="172033"/>
                <w:sz w:val="17"/>
              </w:rPr>
              <w:t>Search</w:t>
            </w:r>
          </w:p>
        </w:tc>
        <w:tc>
          <w:tcPr>
            <w:tcW w:type="dxa" w:w="3330"/>
            <w:tcMar>
              <w:top w:w="100" w:type="dxa"/>
              <w:start w:w="140" w:type="dxa"/>
              <w:bottom w:w="100" w:type="dxa"/>
              <w:end w:w="140" w:type="dxa"/>
            </w:tcMar>
            <w:vAlign w:val="center"/>
          </w:tcPr>
          <w:p>
            <w:pPr>
              <w:spacing w:after="0" w:line="264" w:lineRule="auto"/>
            </w:pPr>
            <w:r>
              <w:rPr>
                <w:rFonts w:ascii="Calibri" w:hAnsi="Calibri"/>
                <w:b w:val="0"/>
                <w:i w:val="0"/>
                <w:color w:val="172033"/>
                <w:sz w:val="17"/>
              </w:rPr>
              <w:t>Review live openings and match information</w:t>
            </w:r>
          </w:p>
        </w:tc>
        <w:tc>
          <w:tcPr>
            <w:tcW w:type="dxa" w:w="4080"/>
            <w:tcMar>
              <w:top w:w="100" w:type="dxa"/>
              <w:start w:w="140" w:type="dxa"/>
              <w:bottom w:w="100" w:type="dxa"/>
              <w:end w:w="140" w:type="dxa"/>
            </w:tcMar>
            <w:vAlign w:val="center"/>
          </w:tcPr>
          <w:p>
            <w:pPr>
              <w:spacing w:after="0" w:line="264" w:lineRule="auto"/>
            </w:pPr>
            <w:r>
              <w:rPr>
                <w:rFonts w:ascii="Calibri" w:hAnsi="Calibri"/>
                <w:b w:val="0"/>
                <w:i w:val="0"/>
                <w:color w:val="172033"/>
                <w:sz w:val="17"/>
              </w:rPr>
              <w:t>Validate freshness, employer, requirements, commute, and scam risk</w:t>
            </w:r>
          </w:p>
        </w:tc>
      </w:tr>
      <w:tr>
        <w:trPr>
          <w:cantSplit/>
        </w:trPr>
        <w:tc>
          <w:tcPr>
            <w:tcW w:type="dxa" w:w="19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Application</w:t>
            </w:r>
          </w:p>
        </w:tc>
        <w:tc>
          <w:tcPr>
            <w:tcW w:type="dxa" w:w="33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Tailor materials and complete submission</w:t>
            </w:r>
          </w:p>
        </w:tc>
        <w:tc>
          <w:tcPr>
            <w:tcW w:type="dxa" w:w="408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Avoid false claims; document application and follow-up</w:t>
            </w:r>
          </w:p>
        </w:tc>
      </w:tr>
      <w:tr>
        <w:trPr>
          <w:cantSplit/>
        </w:trPr>
        <w:tc>
          <w:tcPr>
            <w:tcW w:type="dxa" w:w="1950"/>
            <w:tcMar>
              <w:top w:w="100" w:type="dxa"/>
              <w:start w:w="140" w:type="dxa"/>
              <w:bottom w:w="100" w:type="dxa"/>
              <w:end w:w="140" w:type="dxa"/>
            </w:tcMar>
            <w:vAlign w:val="center"/>
          </w:tcPr>
          <w:p>
            <w:pPr>
              <w:spacing w:after="0" w:line="264" w:lineRule="auto"/>
            </w:pPr>
            <w:r>
              <w:rPr>
                <w:rFonts w:ascii="Calibri" w:hAnsi="Calibri"/>
                <w:b/>
                <w:i w:val="0"/>
                <w:color w:val="172033"/>
                <w:sz w:val="17"/>
              </w:rPr>
              <w:t>Interview</w:t>
            </w:r>
          </w:p>
        </w:tc>
        <w:tc>
          <w:tcPr>
            <w:tcW w:type="dxa" w:w="3330"/>
            <w:tcMar>
              <w:top w:w="100" w:type="dxa"/>
              <w:start w:w="140" w:type="dxa"/>
              <w:bottom w:w="100" w:type="dxa"/>
              <w:end w:w="140" w:type="dxa"/>
            </w:tcMar>
            <w:vAlign w:val="center"/>
          </w:tcPr>
          <w:p>
            <w:pPr>
              <w:spacing w:after="0" w:line="264" w:lineRule="auto"/>
            </w:pPr>
            <w:r>
              <w:rPr>
                <w:rFonts w:ascii="Calibri" w:hAnsi="Calibri"/>
                <w:b w:val="0"/>
                <w:i w:val="0"/>
                <w:color w:val="172033"/>
                <w:sz w:val="17"/>
              </w:rPr>
              <w:t>Practice stories, questions, and role-specific scenarios</w:t>
            </w:r>
          </w:p>
        </w:tc>
        <w:tc>
          <w:tcPr>
            <w:tcW w:type="dxa" w:w="4080"/>
            <w:tcMar>
              <w:top w:w="100" w:type="dxa"/>
              <w:start w:w="140" w:type="dxa"/>
              <w:bottom w:w="100" w:type="dxa"/>
              <w:end w:w="140" w:type="dxa"/>
            </w:tcMar>
            <w:vAlign w:val="center"/>
          </w:tcPr>
          <w:p>
            <w:pPr>
              <w:spacing w:after="0" w:line="264" w:lineRule="auto"/>
            </w:pPr>
            <w:r>
              <w:rPr>
                <w:rFonts w:ascii="Calibri" w:hAnsi="Calibri"/>
                <w:b w:val="0"/>
                <w:i w:val="0"/>
                <w:color w:val="172033"/>
                <w:sz w:val="17"/>
              </w:rPr>
              <w:t>Coach clarity, examples, disclosure choices, and accommodations</w:t>
            </w:r>
          </w:p>
        </w:tc>
      </w:tr>
      <w:tr>
        <w:trPr>
          <w:cantSplit/>
        </w:trPr>
        <w:tc>
          <w:tcPr>
            <w:tcW w:type="dxa" w:w="19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Offer</w:t>
            </w:r>
          </w:p>
        </w:tc>
        <w:tc>
          <w:tcPr>
            <w:tcW w:type="dxa" w:w="333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Compare pay, benefits, schedule, growth, travel, and stability</w:t>
            </w:r>
          </w:p>
        </w:tc>
        <w:tc>
          <w:tcPr>
            <w:tcW w:type="dxa" w:w="408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Support informed choice; connect benefits or legal resources when needed</w:t>
            </w:r>
          </w:p>
        </w:tc>
      </w:tr>
      <w:tr>
        <w:trPr>
          <w:cantSplit/>
        </w:trPr>
        <w:tc>
          <w:tcPr>
            <w:tcW w:type="dxa" w:w="1950"/>
            <w:tcMar>
              <w:top w:w="100" w:type="dxa"/>
              <w:start w:w="140" w:type="dxa"/>
              <w:bottom w:w="100" w:type="dxa"/>
              <w:end w:w="140" w:type="dxa"/>
            </w:tcMar>
            <w:vAlign w:val="center"/>
          </w:tcPr>
          <w:p>
            <w:pPr>
              <w:spacing w:after="0" w:line="264" w:lineRule="auto"/>
            </w:pPr>
            <w:r>
              <w:rPr>
                <w:rFonts w:ascii="Calibri" w:hAnsi="Calibri"/>
                <w:b/>
                <w:i w:val="0"/>
                <w:color w:val="172033"/>
                <w:sz w:val="17"/>
              </w:rPr>
              <w:t>Retention</w:t>
            </w:r>
          </w:p>
        </w:tc>
        <w:tc>
          <w:tcPr>
            <w:tcW w:type="dxa" w:w="3330"/>
            <w:tcMar>
              <w:top w:w="100" w:type="dxa"/>
              <w:start w:w="140" w:type="dxa"/>
              <w:bottom w:w="100" w:type="dxa"/>
              <w:end w:w="140" w:type="dxa"/>
            </w:tcMar>
            <w:vAlign w:val="center"/>
          </w:tcPr>
          <w:p>
            <w:pPr>
              <w:spacing w:after="0" w:line="264" w:lineRule="auto"/>
            </w:pPr>
            <w:r>
              <w:rPr>
                <w:rFonts w:ascii="Calibri" w:hAnsi="Calibri"/>
                <w:b w:val="0"/>
                <w:i w:val="0"/>
                <w:color w:val="172033"/>
                <w:sz w:val="17"/>
              </w:rPr>
              <w:t>Check in and address early challenges</w:t>
            </w:r>
          </w:p>
        </w:tc>
        <w:tc>
          <w:tcPr>
            <w:tcW w:type="dxa" w:w="4080"/>
            <w:tcMar>
              <w:top w:w="100" w:type="dxa"/>
              <w:start w:w="140" w:type="dxa"/>
              <w:bottom w:w="100" w:type="dxa"/>
              <w:end w:w="140" w:type="dxa"/>
            </w:tcMar>
            <w:vAlign w:val="center"/>
          </w:tcPr>
          <w:p>
            <w:pPr>
              <w:spacing w:after="0" w:line="264" w:lineRule="auto"/>
            </w:pPr>
            <w:r>
              <w:rPr>
                <w:rFonts w:ascii="Calibri" w:hAnsi="Calibri"/>
                <w:b w:val="0"/>
                <w:i w:val="0"/>
                <w:color w:val="172033"/>
                <w:sz w:val="17"/>
              </w:rPr>
              <w:t>Coordinate supports; protect confidentiality; document outcomes</w:t>
            </w:r>
          </w:p>
        </w:tc>
      </w:tr>
    </w:tbl>
    <w:p>
      <w:pPr>
        <w:spacing w:after="20"/>
      </w:pPr>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Live-listing safeguard  </w:t>
            </w:r>
            <w:r>
              <w:rPr>
                <w:rFonts w:ascii="Calibri" w:hAnsi="Calibri"/>
                <w:b w:val="0"/>
                <w:i w:val="0"/>
                <w:color w:val="172033"/>
                <w:sz w:val="20"/>
              </w:rPr>
              <w:t>Job listings change. Always verify that an opening is current and legitimate at the employer’s destination before a participant invests time or shares personal information.</w:t>
            </w:r>
          </w:p>
        </w:tc>
      </w:tr>
    </w:tbl>
    <w:p>
      <w:pPr>
        <w:spacing w:after="20"/>
      </w:pPr>
    </w:p>
    <w:p>
      <w:pPr>
        <w:pStyle w:val="Kicker"/>
      </w:pPr>
      <w:r>
        <w:rPr>
          <w:rFonts w:ascii="Calibri" w:hAnsi="Calibri"/>
          <w:b/>
          <w:i w:val="0"/>
          <w:color w:val="172033"/>
          <w:sz w:val="20"/>
        </w:rPr>
        <w:t>09 • TRANSITIONS AND OUTPLACEMENT</w:t>
      </w:r>
    </w:p>
    <w:p>
      <w:pPr>
        <w:pStyle w:val="Heading1"/>
        <w:keepNext/>
      </w:pPr>
      <w:r>
        <w:rPr>
          <w:rFonts w:ascii="Calibri" w:hAnsi="Calibri"/>
          <w:b w:val="0"/>
          <w:i w:val="0"/>
          <w:color w:val="172033"/>
          <w:sz w:val="36"/>
        </w:rPr>
        <w:t>Support rapid response, restructuring, and career change</w:t>
      </w:r>
    </w:p>
    <w:p>
      <w:r>
        <w:rPr>
          <w:rFonts w:ascii="Calibri" w:hAnsi="Calibri"/>
          <w:b w:val="0"/>
          <w:i w:val="0"/>
          <w:color w:val="172033"/>
          <w:sz w:val="21"/>
        </w:rPr>
        <w:t>For layoffs, closures, restructuring, mergers, voluntary separation, and other transitions, a technology-supported outplacement model can provide immediate access and a full-year runway for exploration, skill translation, job search, and coaching. Agencies can use the same core workflow for rapid-response cohorts while layering local services and eligibility pathways.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750"/>
        <w:gridCol w:w="4400"/>
        <w:gridCol w:w="3210"/>
      </w:tblGrid>
      <w:tr>
        <w:trPr>
          <w:tblHeader w:val="true"/>
          <w:cantSplit/>
        </w:trPr>
        <w:tc>
          <w:tcPr>
            <w:tcW w:type="dxa" w:w="1750"/>
            <w:tcMar>
              <w:top w:w="100" w:type="dxa"/>
              <w:start w:w="140" w:type="dxa"/>
              <w:bottom w:w="100" w:type="dxa"/>
              <w:end w:w="140" w:type="dxa"/>
            </w:tcMar>
            <w:vAlign w:val="center"/>
            <w:shd w:fill="0B1F3A"/>
          </w:tcPr>
          <w:p>
            <w:pPr>
              <w:spacing w:after="0"/>
              <w:jc w:val="left"/>
            </w:pPr>
            <w:r>
              <w:rPr>
                <w:rFonts w:ascii="Calibri" w:hAnsi="Calibri"/>
                <w:b/>
                <w:i w:val="0"/>
                <w:color w:val="FFFFFF"/>
                <w:sz w:val="18"/>
              </w:rPr>
              <w:t>Transition phase</w:t>
            </w:r>
          </w:p>
        </w:tc>
        <w:tc>
          <w:tcPr>
            <w:tcW w:type="dxa" w:w="4400"/>
            <w:tcMar>
              <w:top w:w="100" w:type="dxa"/>
              <w:start w:w="140" w:type="dxa"/>
              <w:bottom w:w="100" w:type="dxa"/>
              <w:end w:w="140" w:type="dxa"/>
            </w:tcMar>
            <w:vAlign w:val="center"/>
            <w:shd w:fill="0B1F3A"/>
          </w:tcPr>
          <w:p>
            <w:pPr>
              <w:spacing w:after="0"/>
              <w:jc w:val="left"/>
            </w:pPr>
            <w:r>
              <w:rPr>
                <w:rFonts w:ascii="Calibri" w:hAnsi="Calibri"/>
                <w:b/>
                <w:i w:val="0"/>
                <w:color w:val="FFFFFF"/>
                <w:sz w:val="18"/>
              </w:rPr>
              <w:t>Recommended service bundle</w:t>
            </w:r>
          </w:p>
        </w:tc>
        <w:tc>
          <w:tcPr>
            <w:tcW w:type="dxa" w:w="3210"/>
            <w:tcMar>
              <w:top w:w="100" w:type="dxa"/>
              <w:start w:w="140" w:type="dxa"/>
              <w:bottom w:w="100" w:type="dxa"/>
              <w:end w:w="140" w:type="dxa"/>
            </w:tcMar>
            <w:vAlign w:val="center"/>
            <w:shd w:fill="0B1F3A"/>
          </w:tcPr>
          <w:p>
            <w:pPr>
              <w:spacing w:after="0"/>
              <w:jc w:val="left"/>
            </w:pPr>
            <w:r>
              <w:rPr>
                <w:rFonts w:ascii="Calibri" w:hAnsi="Calibri"/>
                <w:b/>
                <w:i w:val="0"/>
                <w:color w:val="FFFFFF"/>
                <w:sz w:val="18"/>
              </w:rPr>
              <w:t>Agency coordination</w:t>
            </w:r>
          </w:p>
        </w:tc>
      </w:tr>
      <w:tr>
        <w:trPr>
          <w:cantSplit/>
        </w:trPr>
        <w:tc>
          <w:tcPr>
            <w:tcW w:type="dxa" w:w="1750"/>
            <w:tcMar>
              <w:top w:w="100" w:type="dxa"/>
              <w:start w:w="140" w:type="dxa"/>
              <w:bottom w:w="100" w:type="dxa"/>
              <w:end w:w="140" w:type="dxa"/>
            </w:tcMar>
            <w:vAlign w:val="center"/>
          </w:tcPr>
          <w:p>
            <w:pPr>
              <w:spacing w:after="0" w:line="264" w:lineRule="auto"/>
            </w:pPr>
            <w:r>
              <w:rPr>
                <w:rFonts w:ascii="Calibri" w:hAnsi="Calibri"/>
                <w:b/>
                <w:i w:val="0"/>
                <w:color w:val="172033"/>
                <w:sz w:val="17"/>
              </w:rPr>
              <w:t>Before separation</w:t>
            </w:r>
          </w:p>
        </w:tc>
        <w:tc>
          <w:tcPr>
            <w:tcW w:type="dxa" w:w="4400"/>
            <w:tcMar>
              <w:top w:w="100" w:type="dxa"/>
              <w:start w:w="140" w:type="dxa"/>
              <w:bottom w:w="100" w:type="dxa"/>
              <w:end w:w="140" w:type="dxa"/>
            </w:tcMar>
            <w:vAlign w:val="center"/>
          </w:tcPr>
          <w:p>
            <w:pPr>
              <w:spacing w:after="0" w:line="264" w:lineRule="auto"/>
            </w:pPr>
            <w:r>
              <w:rPr>
                <w:rFonts w:ascii="Calibri" w:hAnsi="Calibri"/>
                <w:b w:val="0"/>
                <w:i w:val="0"/>
                <w:color w:val="172033"/>
                <w:sz w:val="17"/>
              </w:rPr>
              <w:t>Orientation, consent, account activation, MAPP, transferable-skills inventory</w:t>
            </w:r>
          </w:p>
        </w:tc>
        <w:tc>
          <w:tcPr>
            <w:tcW w:type="dxa" w:w="3210"/>
            <w:tcMar>
              <w:top w:w="100" w:type="dxa"/>
              <w:start w:w="140" w:type="dxa"/>
              <w:bottom w:w="100" w:type="dxa"/>
              <w:end w:w="140" w:type="dxa"/>
            </w:tcMar>
            <w:vAlign w:val="center"/>
          </w:tcPr>
          <w:p>
            <w:pPr>
              <w:spacing w:after="0" w:line="264" w:lineRule="auto"/>
            </w:pPr>
            <w:r>
              <w:rPr>
                <w:rFonts w:ascii="Calibri" w:hAnsi="Calibri"/>
                <w:b w:val="0"/>
                <w:i w:val="0"/>
                <w:color w:val="172033"/>
                <w:sz w:val="17"/>
              </w:rPr>
              <w:t>Employer briefing, labor partnership, privacy and communications plan</w:t>
            </w:r>
          </w:p>
        </w:tc>
      </w:tr>
      <w:tr>
        <w:trPr>
          <w:cantSplit/>
        </w:trPr>
        <w:tc>
          <w:tcPr>
            <w:tcW w:type="dxa" w:w="17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First 30 days</w:t>
            </w:r>
          </w:p>
        </w:tc>
        <w:tc>
          <w:tcPr>
            <w:tcW w:type="dxa" w:w="44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Career shortlist, labor-market review, resume, job alerts, benefits and training triage</w:t>
            </w:r>
          </w:p>
        </w:tc>
        <w:tc>
          <w:tcPr>
            <w:tcW w:type="dxa" w:w="32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Rapid-response intake, unemployment and supportive-service connections</w:t>
            </w:r>
          </w:p>
        </w:tc>
      </w:tr>
      <w:tr>
        <w:trPr>
          <w:cantSplit/>
        </w:trPr>
        <w:tc>
          <w:tcPr>
            <w:tcW w:type="dxa" w:w="1750"/>
            <w:tcMar>
              <w:top w:w="100" w:type="dxa"/>
              <w:start w:w="140" w:type="dxa"/>
              <w:bottom w:w="100" w:type="dxa"/>
              <w:end w:w="140" w:type="dxa"/>
            </w:tcMar>
            <w:vAlign w:val="center"/>
          </w:tcPr>
          <w:p>
            <w:pPr>
              <w:spacing w:after="0" w:line="264" w:lineRule="auto"/>
            </w:pPr>
            <w:r>
              <w:rPr>
                <w:rFonts w:ascii="Calibri" w:hAnsi="Calibri"/>
                <w:b/>
                <w:i w:val="0"/>
                <w:color w:val="172033"/>
                <w:sz w:val="17"/>
              </w:rPr>
              <w:t>30–90 days</w:t>
            </w:r>
          </w:p>
        </w:tc>
        <w:tc>
          <w:tcPr>
            <w:tcW w:type="dxa" w:w="4400"/>
            <w:tcMar>
              <w:top w:w="100" w:type="dxa"/>
              <w:start w:w="140" w:type="dxa"/>
              <w:bottom w:w="100" w:type="dxa"/>
              <w:end w:w="140" w:type="dxa"/>
            </w:tcMar>
            <w:vAlign w:val="center"/>
          </w:tcPr>
          <w:p>
            <w:pPr>
              <w:spacing w:after="0" w:line="264" w:lineRule="auto"/>
            </w:pPr>
            <w:r>
              <w:rPr>
                <w:rFonts w:ascii="Calibri" w:hAnsi="Calibri"/>
                <w:b w:val="0"/>
                <w:i w:val="0"/>
                <w:color w:val="172033"/>
                <w:sz w:val="17"/>
              </w:rPr>
              <w:t>Applications, interviews, credentials, apprenticeships, career pivots</w:t>
            </w:r>
          </w:p>
        </w:tc>
        <w:tc>
          <w:tcPr>
            <w:tcW w:type="dxa" w:w="3210"/>
            <w:tcMar>
              <w:top w:w="100" w:type="dxa"/>
              <w:start w:w="140" w:type="dxa"/>
              <w:bottom w:w="100" w:type="dxa"/>
              <w:end w:w="140" w:type="dxa"/>
            </w:tcMar>
            <w:vAlign w:val="center"/>
          </w:tcPr>
          <w:p>
            <w:pPr>
              <w:spacing w:after="0" w:line="264" w:lineRule="auto"/>
            </w:pPr>
            <w:r>
              <w:rPr>
                <w:rFonts w:ascii="Calibri" w:hAnsi="Calibri"/>
                <w:b w:val="0"/>
                <w:i w:val="0"/>
                <w:color w:val="172033"/>
                <w:sz w:val="17"/>
              </w:rPr>
              <w:t>Navigator checkpoints, employer outreach, training approvals</w:t>
            </w:r>
          </w:p>
        </w:tc>
      </w:tr>
      <w:tr>
        <w:trPr>
          <w:cantSplit/>
        </w:trPr>
        <w:tc>
          <w:tcPr>
            <w:tcW w:type="dxa" w:w="17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90–365 days</w:t>
            </w:r>
          </w:p>
        </w:tc>
        <w:tc>
          <w:tcPr>
            <w:tcW w:type="dxa" w:w="44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Continued search, advancement, reskilling, AI coaching, retention support</w:t>
            </w:r>
          </w:p>
        </w:tc>
        <w:tc>
          <w:tcPr>
            <w:tcW w:type="dxa" w:w="32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Outcome follow-up, re-engagement triggers, partner handoffs</w:t>
            </w:r>
          </w:p>
        </w:tc>
      </w:tr>
    </w:tbl>
    <w:p>
      <w:pPr>
        <w:spacing w:after="20"/>
      </w:pPr>
    </w:p>
    <w:tbl>
      <w:tblPr>
        <w:tblW w:type="dxa" w:w="9360"/>
        <w:tblLayout w:type="fixed"/>
        <w:tblLook w:firstColumn="1" w:firstRow="1" w:lastColumn="0" w:lastRow="0" w:noHBand="0" w:noVBand="1" w:val="04A0"/>
        <w:tblInd w:w="120" w:type="dxa"/>
        <w:tblBorders>
          <w:top w:val="single" w:sz="10" w:space="0" w:color="F4C400"/>
          <w:left w:val="single" w:sz="10" w:space="0" w:color="F4C400"/>
          <w:bottom w:val="single" w:sz="10" w:space="0" w:color="F4C400"/>
          <w:right w:val="single" w:sz="10" w:space="0" w:color="F4C400"/>
          <w:insideH w:val="single" w:sz="10" w:space="0" w:color="F4C400"/>
          <w:insideV w:val="single" w:sz="10" w:space="0" w:color="F4C400"/>
        </w:tblBorders>
      </w:tblPr>
      <w:tblGrid>
        <w:gridCol w:w="9360"/>
      </w:tblGrid>
      <w:tr>
        <w:tc>
          <w:tcPr>
            <w:tcW w:type="dxa" w:w="9360"/>
            <w:tcMar>
              <w:top w:w="100" w:type="dxa"/>
              <w:start w:w="140" w:type="dxa"/>
              <w:bottom w:w="100" w:type="dxa"/>
              <w:end w:w="140" w:type="dxa"/>
            </w:tcMar>
            <w:vAlign w:val="center"/>
            <w:shd w:fill="FFF8D8"/>
          </w:tcPr>
          <w:p>
            <w:pPr>
              <w:spacing w:after="60"/>
            </w:pPr>
            <w:r>
              <w:rPr>
                <w:rFonts w:ascii="Calibri" w:hAnsi="Calibri"/>
                <w:b/>
                <w:i w:val="0"/>
                <w:color w:val="0B1F3A"/>
                <w:sz w:val="24"/>
              </w:rPr>
              <w:t>Plan transition services</w:t>
            </w:r>
          </w:p>
          <w:p>
            <w:pPr>
              <w:spacing w:after="80"/>
            </w:pPr>
            <w:r>
              <w:rPr>
                <w:rFonts w:ascii="Calibri" w:hAnsi="Calibri"/>
                <w:b w:val="0"/>
                <w:i w:val="0"/>
                <w:color w:val="172033"/>
                <w:sz w:val="20"/>
              </w:rPr>
              <w:t>Review Assessment.com’s technology-first, hybrid, and executive-support outplacement options.</w:t>
            </w:r>
          </w:p>
          <w:p>
            <w:pPr>
              <w:spacing w:after="0"/>
            </w:pPr>
            <w:hyperlink r:id="rId15">
              <w:r>
                <w:rPr>
                  <w:color w:val="2E6BE6"/>
                  <w:u w:val="single"/>
                  <w:rFonts w:ascii="Calibri" w:hAnsi="Calibri"/>
                  <w:sz w:val="20"/>
                </w:rPr>
                <w:t>Explore Outplacement Services  →</w:t>
              </w:r>
            </w:hyperlink>
          </w:p>
        </w:tc>
      </w:tr>
    </w:tbl>
    <w:p>
      <w:pPr>
        <w:spacing w:after="20"/>
      </w:pPr>
    </w:p>
    <w:p>
      <w:r>
        <w:br w:type="page"/>
      </w:r>
    </w:p>
    <w:p>
      <w:pPr>
        <w:pStyle w:val="Kicker"/>
      </w:pPr>
      <w:r>
        <w:rPr>
          <w:rFonts w:ascii="Calibri" w:hAnsi="Calibri"/>
          <w:b/>
          <w:i w:val="0"/>
          <w:color w:val="172033"/>
          <w:sz w:val="20"/>
        </w:rPr>
        <w:t>10 • POPULATION MODELS</w:t>
      </w:r>
    </w:p>
    <w:p>
      <w:pPr>
        <w:pStyle w:val="Heading1"/>
        <w:keepNext/>
      </w:pPr>
      <w:r>
        <w:rPr>
          <w:rFonts w:ascii="Calibri" w:hAnsi="Calibri"/>
          <w:b w:val="0"/>
          <w:i w:val="0"/>
          <w:color w:val="172033"/>
          <w:sz w:val="36"/>
        </w:rPr>
        <w:t>Adapt the same platform to different starting points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500"/>
        <w:gridCol w:w="2350"/>
        <w:gridCol w:w="3100"/>
        <w:gridCol w:w="2410"/>
      </w:tblGrid>
      <w:tr>
        <w:trPr>
          <w:tblHeader w:val="true"/>
          <w:cantSplit/>
        </w:trPr>
        <w:tc>
          <w:tcPr>
            <w:tcW w:type="dxa" w:w="1500"/>
            <w:tcMar>
              <w:top w:w="100" w:type="dxa"/>
              <w:start w:w="140" w:type="dxa"/>
              <w:bottom w:w="100" w:type="dxa"/>
              <w:end w:w="140" w:type="dxa"/>
            </w:tcMar>
            <w:vAlign w:val="center"/>
            <w:shd w:fill="0B1F3A"/>
          </w:tcPr>
          <w:p>
            <w:pPr>
              <w:spacing w:after="0"/>
              <w:jc w:val="left"/>
            </w:pPr>
            <w:r>
              <w:rPr>
                <w:rFonts w:ascii="Calibri" w:hAnsi="Calibri"/>
                <w:b/>
                <w:i w:val="0"/>
                <w:color w:val="FFFFFF"/>
                <w:sz w:val="18"/>
              </w:rPr>
              <w:t>Population</w:t>
            </w:r>
          </w:p>
        </w:tc>
        <w:tc>
          <w:tcPr>
            <w:tcW w:type="dxa" w:w="2350"/>
            <w:tcMar>
              <w:top w:w="100" w:type="dxa"/>
              <w:start w:w="140" w:type="dxa"/>
              <w:bottom w:w="100" w:type="dxa"/>
              <w:end w:w="140" w:type="dxa"/>
            </w:tcMar>
            <w:vAlign w:val="center"/>
            <w:shd w:fill="0B1F3A"/>
          </w:tcPr>
          <w:p>
            <w:pPr>
              <w:spacing w:after="0"/>
              <w:jc w:val="left"/>
            </w:pPr>
            <w:r>
              <w:rPr>
                <w:rFonts w:ascii="Calibri" w:hAnsi="Calibri"/>
                <w:b/>
                <w:i w:val="0"/>
                <w:color w:val="FFFFFF"/>
                <w:sz w:val="18"/>
              </w:rPr>
              <w:t>Design emphasis</w:t>
            </w:r>
          </w:p>
        </w:tc>
        <w:tc>
          <w:tcPr>
            <w:tcW w:type="dxa" w:w="3100"/>
            <w:tcMar>
              <w:top w:w="100" w:type="dxa"/>
              <w:start w:w="140" w:type="dxa"/>
              <w:bottom w:w="100" w:type="dxa"/>
              <w:end w:w="140" w:type="dxa"/>
            </w:tcMar>
            <w:vAlign w:val="center"/>
            <w:shd w:fill="0B1F3A"/>
          </w:tcPr>
          <w:p>
            <w:pPr>
              <w:spacing w:after="0"/>
              <w:jc w:val="left"/>
            </w:pPr>
            <w:r>
              <w:rPr>
                <w:rFonts w:ascii="Calibri" w:hAnsi="Calibri"/>
                <w:b/>
                <w:i w:val="0"/>
                <w:color w:val="FFFFFF"/>
                <w:sz w:val="18"/>
              </w:rPr>
              <w:t>Helpful platform uses</w:t>
            </w:r>
          </w:p>
        </w:tc>
        <w:tc>
          <w:tcPr>
            <w:tcW w:type="dxa" w:w="2410"/>
            <w:tcMar>
              <w:top w:w="100" w:type="dxa"/>
              <w:start w:w="140" w:type="dxa"/>
              <w:bottom w:w="100" w:type="dxa"/>
              <w:end w:w="140" w:type="dxa"/>
            </w:tcMar>
            <w:vAlign w:val="center"/>
            <w:shd w:fill="0B1F3A"/>
          </w:tcPr>
          <w:p>
            <w:pPr>
              <w:spacing w:after="0"/>
              <w:jc w:val="left"/>
            </w:pPr>
            <w:r>
              <w:rPr>
                <w:rFonts w:ascii="Calibri" w:hAnsi="Calibri"/>
                <w:b/>
                <w:i w:val="0"/>
                <w:color w:val="FFFFFF"/>
                <w:sz w:val="18"/>
              </w:rPr>
              <w:t>Watch-outs</w:t>
            </w:r>
          </w:p>
        </w:tc>
      </w:tr>
      <w:tr>
        <w:trPr>
          <w:cantSplit/>
        </w:trPr>
        <w:tc>
          <w:tcPr>
            <w:tcW w:type="dxa" w:w="1500"/>
            <w:tcMar>
              <w:top w:w="100" w:type="dxa"/>
              <w:start w:w="140" w:type="dxa"/>
              <w:bottom w:w="100" w:type="dxa"/>
              <w:end w:w="140" w:type="dxa"/>
            </w:tcMar>
            <w:vAlign w:val="center"/>
          </w:tcPr>
          <w:p>
            <w:pPr>
              <w:spacing w:after="0" w:line="264" w:lineRule="auto"/>
            </w:pPr>
            <w:r>
              <w:rPr>
                <w:rFonts w:ascii="Calibri" w:hAnsi="Calibri"/>
                <w:b/>
                <w:i w:val="0"/>
                <w:color w:val="172033"/>
                <w:sz w:val="16"/>
              </w:rPr>
              <w:t>Dislocated workers</w:t>
            </w:r>
          </w:p>
        </w:tc>
        <w:tc>
          <w:tcPr>
            <w:tcW w:type="dxa" w:w="2350"/>
            <w:tcMar>
              <w:top w:w="100" w:type="dxa"/>
              <w:start w:w="140" w:type="dxa"/>
              <w:bottom w:w="100" w:type="dxa"/>
              <w:end w:w="140" w:type="dxa"/>
            </w:tcMar>
            <w:vAlign w:val="center"/>
          </w:tcPr>
          <w:p>
            <w:pPr>
              <w:spacing w:after="0" w:line="264" w:lineRule="auto"/>
            </w:pPr>
            <w:r>
              <w:rPr>
                <w:rFonts w:ascii="Calibri" w:hAnsi="Calibri"/>
                <w:b w:val="0"/>
                <w:i w:val="0"/>
                <w:color w:val="172033"/>
                <w:sz w:val="16"/>
              </w:rPr>
              <w:t>Speed, identity transition, income continuity</w:t>
            </w:r>
          </w:p>
        </w:tc>
        <w:tc>
          <w:tcPr>
            <w:tcW w:type="dxa" w:w="3100"/>
            <w:tcMar>
              <w:top w:w="100" w:type="dxa"/>
              <w:start w:w="140" w:type="dxa"/>
              <w:bottom w:w="100" w:type="dxa"/>
              <w:end w:w="140" w:type="dxa"/>
            </w:tcMar>
            <w:vAlign w:val="center"/>
          </w:tcPr>
          <w:p>
            <w:pPr>
              <w:spacing w:after="0" w:line="264" w:lineRule="auto"/>
            </w:pPr>
            <w:r>
              <w:rPr>
                <w:rFonts w:ascii="Calibri" w:hAnsi="Calibri"/>
                <w:b w:val="0"/>
                <w:i w:val="0"/>
                <w:color w:val="172033"/>
                <w:sz w:val="16"/>
              </w:rPr>
              <w:t>MAPP, transferable skills, adjacent careers, live jobs, outplacement</w:t>
            </w:r>
          </w:p>
        </w:tc>
        <w:tc>
          <w:tcPr>
            <w:tcW w:type="dxa" w:w="2410"/>
            <w:tcMar>
              <w:top w:w="100" w:type="dxa"/>
              <w:start w:w="140" w:type="dxa"/>
              <w:bottom w:w="100" w:type="dxa"/>
              <w:end w:w="140" w:type="dxa"/>
            </w:tcMar>
            <w:vAlign w:val="center"/>
          </w:tcPr>
          <w:p>
            <w:pPr>
              <w:spacing w:after="0" w:line="264" w:lineRule="auto"/>
            </w:pPr>
            <w:r>
              <w:rPr>
                <w:rFonts w:ascii="Calibri" w:hAnsi="Calibri"/>
                <w:b w:val="0"/>
                <w:i w:val="0"/>
                <w:color w:val="172033"/>
                <w:sz w:val="16"/>
              </w:rPr>
              <w:t>Do not force a long process before urgent job search</w:t>
            </w:r>
          </w:p>
        </w:tc>
      </w:tr>
      <w:tr>
        <w:trPr>
          <w:cantSplit/>
        </w:trPr>
        <w:tc>
          <w:tcPr>
            <w:tcW w:type="dxa" w:w="15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6"/>
              </w:rPr>
              <w:t>Youth and young adults</w:t>
            </w:r>
          </w:p>
        </w:tc>
        <w:tc>
          <w:tcPr>
            <w:tcW w:type="dxa" w:w="23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Exposure, agency, work-based learning, credentials</w:t>
            </w:r>
          </w:p>
        </w:tc>
        <w:tc>
          <w:tcPr>
            <w:tcW w:type="dxa" w:w="31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Guided MAPP, career exploration, education pathways, readiness assessments</w:t>
            </w:r>
          </w:p>
        </w:tc>
        <w:tc>
          <w:tcPr>
            <w:tcW w:type="dxa" w:w="24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Use developmentally appropriate facilitation and required consent</w:t>
            </w:r>
          </w:p>
        </w:tc>
      </w:tr>
      <w:tr>
        <w:trPr>
          <w:cantSplit/>
        </w:trPr>
        <w:tc>
          <w:tcPr>
            <w:tcW w:type="dxa" w:w="1500"/>
            <w:tcMar>
              <w:top w:w="100" w:type="dxa"/>
              <w:start w:w="140" w:type="dxa"/>
              <w:bottom w:w="100" w:type="dxa"/>
              <w:end w:w="140" w:type="dxa"/>
            </w:tcMar>
            <w:vAlign w:val="center"/>
          </w:tcPr>
          <w:p>
            <w:pPr>
              <w:spacing w:after="0" w:line="264" w:lineRule="auto"/>
            </w:pPr>
            <w:r>
              <w:rPr>
                <w:rFonts w:ascii="Calibri" w:hAnsi="Calibri"/>
                <w:b/>
                <w:i w:val="0"/>
                <w:color w:val="172033"/>
                <w:sz w:val="16"/>
              </w:rPr>
              <w:t>Veterans and spouses</w:t>
            </w:r>
          </w:p>
        </w:tc>
        <w:tc>
          <w:tcPr>
            <w:tcW w:type="dxa" w:w="2350"/>
            <w:tcMar>
              <w:top w:w="100" w:type="dxa"/>
              <w:start w:w="140" w:type="dxa"/>
              <w:bottom w:w="100" w:type="dxa"/>
              <w:end w:w="140" w:type="dxa"/>
            </w:tcMar>
            <w:vAlign w:val="center"/>
          </w:tcPr>
          <w:p>
            <w:pPr>
              <w:spacing w:after="0" w:line="264" w:lineRule="auto"/>
            </w:pPr>
            <w:r>
              <w:rPr>
                <w:rFonts w:ascii="Calibri" w:hAnsi="Calibri"/>
                <w:b w:val="0"/>
                <w:i w:val="0"/>
                <w:color w:val="172033"/>
                <w:sz w:val="16"/>
              </w:rPr>
              <w:t>Translate military experience and portable options</w:t>
            </w:r>
          </w:p>
        </w:tc>
        <w:tc>
          <w:tcPr>
            <w:tcW w:type="dxa" w:w="3100"/>
            <w:tcMar>
              <w:top w:w="100" w:type="dxa"/>
              <w:start w:w="140" w:type="dxa"/>
              <w:bottom w:w="100" w:type="dxa"/>
              <w:end w:w="140" w:type="dxa"/>
            </w:tcMar>
            <w:vAlign w:val="center"/>
          </w:tcPr>
          <w:p>
            <w:pPr>
              <w:spacing w:after="0" w:line="264" w:lineRule="auto"/>
            </w:pPr>
            <w:r>
              <w:rPr>
                <w:rFonts w:ascii="Calibri" w:hAnsi="Calibri"/>
                <w:b w:val="0"/>
                <w:i w:val="0"/>
                <w:color w:val="172033"/>
                <w:sz w:val="16"/>
              </w:rPr>
              <w:t>Skill translation, career matching, education, remote/live jobs</w:t>
            </w:r>
          </w:p>
        </w:tc>
        <w:tc>
          <w:tcPr>
            <w:tcW w:type="dxa" w:w="2410"/>
            <w:tcMar>
              <w:top w:w="100" w:type="dxa"/>
              <w:start w:w="140" w:type="dxa"/>
              <w:bottom w:w="100" w:type="dxa"/>
              <w:end w:w="140" w:type="dxa"/>
            </w:tcMar>
            <w:vAlign w:val="center"/>
          </w:tcPr>
          <w:p>
            <w:pPr>
              <w:spacing w:after="0" w:line="264" w:lineRule="auto"/>
            </w:pPr>
            <w:r>
              <w:rPr>
                <w:rFonts w:ascii="Calibri" w:hAnsi="Calibri"/>
                <w:b w:val="0"/>
                <w:i w:val="0"/>
                <w:color w:val="172033"/>
                <w:sz w:val="16"/>
              </w:rPr>
              <w:t>Avoid stereotypes; verify civilian credentials and licensing</w:t>
            </w:r>
          </w:p>
        </w:tc>
      </w:tr>
      <w:tr>
        <w:trPr>
          <w:cantSplit/>
        </w:trPr>
        <w:tc>
          <w:tcPr>
            <w:tcW w:type="dxa" w:w="15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6"/>
              </w:rPr>
              <w:t>Justice-involved participants</w:t>
            </w:r>
          </w:p>
        </w:tc>
        <w:tc>
          <w:tcPr>
            <w:tcW w:type="dxa" w:w="23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Fair-chance pathways, realistic sequencing, supports</w:t>
            </w:r>
          </w:p>
        </w:tc>
        <w:tc>
          <w:tcPr>
            <w:tcW w:type="dxa" w:w="31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Career exploration, readiness, bridge roles, credential plans</w:t>
            </w:r>
          </w:p>
        </w:tc>
        <w:tc>
          <w:tcPr>
            <w:tcW w:type="dxa" w:w="24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Account for legal restrictions without narrowing too early</w:t>
            </w:r>
          </w:p>
        </w:tc>
      </w:tr>
      <w:tr>
        <w:trPr>
          <w:cantSplit/>
        </w:trPr>
        <w:tc>
          <w:tcPr>
            <w:tcW w:type="dxa" w:w="1500"/>
            <w:tcMar>
              <w:top w:w="100" w:type="dxa"/>
              <w:start w:w="140" w:type="dxa"/>
              <w:bottom w:w="100" w:type="dxa"/>
              <w:end w:w="140" w:type="dxa"/>
            </w:tcMar>
            <w:vAlign w:val="center"/>
          </w:tcPr>
          <w:p>
            <w:pPr>
              <w:spacing w:after="0" w:line="264" w:lineRule="auto"/>
            </w:pPr>
            <w:r>
              <w:rPr>
                <w:rFonts w:ascii="Calibri" w:hAnsi="Calibri"/>
                <w:b/>
                <w:i w:val="0"/>
                <w:color w:val="172033"/>
                <w:sz w:val="16"/>
              </w:rPr>
              <w:t>Career changers</w:t>
            </w:r>
          </w:p>
        </w:tc>
        <w:tc>
          <w:tcPr>
            <w:tcW w:type="dxa" w:w="2350"/>
            <w:tcMar>
              <w:top w:w="100" w:type="dxa"/>
              <w:start w:w="140" w:type="dxa"/>
              <w:bottom w:w="100" w:type="dxa"/>
              <w:end w:w="140" w:type="dxa"/>
            </w:tcMar>
            <w:vAlign w:val="center"/>
          </w:tcPr>
          <w:p>
            <w:pPr>
              <w:spacing w:after="0" w:line="264" w:lineRule="auto"/>
            </w:pPr>
            <w:r>
              <w:rPr>
                <w:rFonts w:ascii="Calibri" w:hAnsi="Calibri"/>
                <w:b w:val="0"/>
                <w:i w:val="0"/>
                <w:color w:val="172033"/>
                <w:sz w:val="16"/>
              </w:rPr>
              <w:t>Reframe experience and compare tradeoffs</w:t>
            </w:r>
          </w:p>
        </w:tc>
        <w:tc>
          <w:tcPr>
            <w:tcW w:type="dxa" w:w="3100"/>
            <w:tcMar>
              <w:top w:w="100" w:type="dxa"/>
              <w:start w:w="140" w:type="dxa"/>
              <w:bottom w:w="100" w:type="dxa"/>
              <w:end w:w="140" w:type="dxa"/>
            </w:tcMar>
            <w:vAlign w:val="center"/>
          </w:tcPr>
          <w:p>
            <w:pPr>
              <w:spacing w:after="0" w:line="264" w:lineRule="auto"/>
            </w:pPr>
            <w:r>
              <w:rPr>
                <w:rFonts w:ascii="Calibri" w:hAnsi="Calibri"/>
                <w:b w:val="0"/>
                <w:i w:val="0"/>
                <w:color w:val="172033"/>
                <w:sz w:val="16"/>
              </w:rPr>
              <w:t>MAPP, adjacent roles, AI risk, education and matched jobs</w:t>
            </w:r>
          </w:p>
        </w:tc>
        <w:tc>
          <w:tcPr>
            <w:tcW w:type="dxa" w:w="2410"/>
            <w:tcMar>
              <w:top w:w="100" w:type="dxa"/>
              <w:start w:w="140" w:type="dxa"/>
              <w:bottom w:w="100" w:type="dxa"/>
              <w:end w:w="140" w:type="dxa"/>
            </w:tcMar>
            <w:vAlign w:val="center"/>
          </w:tcPr>
          <w:p>
            <w:pPr>
              <w:spacing w:after="0" w:line="264" w:lineRule="auto"/>
            </w:pPr>
            <w:r>
              <w:rPr>
                <w:rFonts w:ascii="Calibri" w:hAnsi="Calibri"/>
                <w:b w:val="0"/>
                <w:i w:val="0"/>
                <w:color w:val="172033"/>
                <w:sz w:val="16"/>
              </w:rPr>
              <w:t>Balance aspiration with wage, time, and family constraints</w:t>
            </w:r>
          </w:p>
        </w:tc>
      </w:tr>
      <w:tr>
        <w:trPr>
          <w:cantSplit/>
        </w:trPr>
        <w:tc>
          <w:tcPr>
            <w:tcW w:type="dxa" w:w="15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6"/>
              </w:rPr>
              <w:t>People with disabilities</w:t>
            </w:r>
          </w:p>
        </w:tc>
        <w:tc>
          <w:tcPr>
            <w:tcW w:type="dxa" w:w="23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Accessibility, accommodations, strengths, work design</w:t>
            </w:r>
          </w:p>
        </w:tc>
        <w:tc>
          <w:tcPr>
            <w:tcW w:type="dxa" w:w="31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Flexible assessments, role exploration, remote and schedule filters</w:t>
            </w:r>
          </w:p>
        </w:tc>
        <w:tc>
          <w:tcPr>
            <w:tcW w:type="dxa" w:w="24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Never infer capability from disability; provide accessible alternatives</w:t>
            </w:r>
          </w:p>
        </w:tc>
      </w:tr>
      <w:tr>
        <w:trPr>
          <w:cantSplit/>
        </w:trPr>
        <w:tc>
          <w:tcPr>
            <w:tcW w:type="dxa" w:w="1500"/>
            <w:tcMar>
              <w:top w:w="100" w:type="dxa"/>
              <w:start w:w="140" w:type="dxa"/>
              <w:bottom w:w="100" w:type="dxa"/>
              <w:end w:w="140" w:type="dxa"/>
            </w:tcMar>
            <w:vAlign w:val="center"/>
          </w:tcPr>
          <w:p>
            <w:pPr>
              <w:spacing w:after="0" w:line="264" w:lineRule="auto"/>
            </w:pPr>
            <w:r>
              <w:rPr>
                <w:rFonts w:ascii="Calibri" w:hAnsi="Calibri"/>
                <w:b/>
                <w:i w:val="0"/>
                <w:color w:val="172033"/>
                <w:sz w:val="16"/>
              </w:rPr>
              <w:t>English learners</w:t>
            </w:r>
          </w:p>
        </w:tc>
        <w:tc>
          <w:tcPr>
            <w:tcW w:type="dxa" w:w="2350"/>
            <w:tcMar>
              <w:top w:w="100" w:type="dxa"/>
              <w:start w:w="140" w:type="dxa"/>
              <w:bottom w:w="100" w:type="dxa"/>
              <w:end w:w="140" w:type="dxa"/>
            </w:tcMar>
            <w:vAlign w:val="center"/>
          </w:tcPr>
          <w:p>
            <w:pPr>
              <w:spacing w:after="0" w:line="264" w:lineRule="auto"/>
            </w:pPr>
            <w:r>
              <w:rPr>
                <w:rFonts w:ascii="Calibri" w:hAnsi="Calibri"/>
                <w:b w:val="0"/>
                <w:i w:val="0"/>
                <w:color w:val="172033"/>
                <w:sz w:val="16"/>
              </w:rPr>
              <w:t>Language access and contextual interpretation</w:t>
            </w:r>
          </w:p>
        </w:tc>
        <w:tc>
          <w:tcPr>
            <w:tcW w:type="dxa" w:w="3100"/>
            <w:tcMar>
              <w:top w:w="100" w:type="dxa"/>
              <w:start w:w="140" w:type="dxa"/>
              <w:bottom w:w="100" w:type="dxa"/>
              <w:end w:w="140" w:type="dxa"/>
            </w:tcMar>
            <w:vAlign w:val="center"/>
          </w:tcPr>
          <w:p>
            <w:pPr>
              <w:spacing w:after="0" w:line="264" w:lineRule="auto"/>
            </w:pPr>
            <w:r>
              <w:rPr>
                <w:rFonts w:ascii="Calibri" w:hAnsi="Calibri"/>
                <w:b w:val="0"/>
                <w:i w:val="0"/>
                <w:color w:val="172033"/>
                <w:sz w:val="16"/>
              </w:rPr>
              <w:t>Multilingual options, visual demonstrations, AI explanations</w:t>
            </w:r>
          </w:p>
        </w:tc>
        <w:tc>
          <w:tcPr>
            <w:tcW w:type="dxa" w:w="2410"/>
            <w:tcMar>
              <w:top w:w="100" w:type="dxa"/>
              <w:start w:w="140" w:type="dxa"/>
              <w:bottom w:w="100" w:type="dxa"/>
              <w:end w:w="140" w:type="dxa"/>
            </w:tcMar>
            <w:vAlign w:val="center"/>
          </w:tcPr>
          <w:p>
            <w:pPr>
              <w:spacing w:after="0" w:line="264" w:lineRule="auto"/>
            </w:pPr>
            <w:r>
              <w:rPr>
                <w:rFonts w:ascii="Calibri" w:hAnsi="Calibri"/>
                <w:b w:val="0"/>
                <w:i w:val="0"/>
                <w:color w:val="172033"/>
                <w:sz w:val="16"/>
              </w:rPr>
              <w:t>Check translation quality and avoid penalizing language proficiency</w:t>
            </w:r>
          </w:p>
        </w:tc>
      </w:tr>
      <w:tr>
        <w:trPr>
          <w:cantSplit/>
        </w:trPr>
        <w:tc>
          <w:tcPr>
            <w:tcW w:type="dxa" w:w="15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6"/>
              </w:rPr>
              <w:t>Long-term unemployed</w:t>
            </w:r>
          </w:p>
        </w:tc>
        <w:tc>
          <w:tcPr>
            <w:tcW w:type="dxa" w:w="23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Confidence, recent evidence, barrier resolution</w:t>
            </w:r>
          </w:p>
        </w:tc>
        <w:tc>
          <w:tcPr>
            <w:tcW w:type="dxa" w:w="31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Strengths summary, learning roadmap, practice, bridge opportunities</w:t>
            </w:r>
          </w:p>
        </w:tc>
        <w:tc>
          <w:tcPr>
            <w:tcW w:type="dxa" w:w="24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Sequence manageable wins and human contact</w:t>
            </w:r>
          </w:p>
        </w:tc>
      </w:tr>
    </w:tbl>
    <w:p>
      <w:pPr>
        <w:spacing w:after="20"/>
      </w:pPr>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Universal design  </w:t>
            </w:r>
            <w:r>
              <w:rPr>
                <w:rFonts w:ascii="Calibri" w:hAnsi="Calibri"/>
                <w:b w:val="0"/>
                <w:i w:val="0"/>
                <w:color w:val="172033"/>
                <w:sz w:val="20"/>
              </w:rPr>
              <w:t>Offer plain language, mobile-friendly access, keyboard support, screen-reader compatibility, sufficient contrast, alternative formats, language options, and a staff-assisted route from the beginning—not only after someone fails.</w:t>
            </w:r>
          </w:p>
        </w:tc>
      </w:tr>
    </w:tbl>
    <w:p>
      <w:pPr>
        <w:spacing w:after="20"/>
      </w:pPr>
    </w:p>
    <w:p>
      <w:pPr>
        <w:pStyle w:val="Kicker"/>
      </w:pPr>
      <w:r>
        <w:rPr>
          <w:rFonts w:ascii="Calibri" w:hAnsi="Calibri"/>
          <w:b/>
          <w:i w:val="0"/>
          <w:color w:val="172033"/>
          <w:sz w:val="20"/>
        </w:rPr>
        <w:t>11 • AMERICAN JOB CENTER WORKFLOW</w:t>
      </w:r>
    </w:p>
    <w:p>
      <w:pPr>
        <w:pStyle w:val="Heading1"/>
        <w:keepNext/>
      </w:pPr>
      <w:r>
        <w:rPr>
          <w:rFonts w:ascii="Calibri" w:hAnsi="Calibri"/>
          <w:b w:val="0"/>
          <w:i w:val="0"/>
          <w:color w:val="172033"/>
          <w:sz w:val="36"/>
        </w:rPr>
        <w:t>Give navigators a repeatable structure without scripting away empathy</w:t>
      </w:r>
    </w:p>
    <w:p>
      <w:r>
        <w:rPr>
          <w:rFonts w:ascii="Calibri" w:hAnsi="Calibri"/>
          <w:b w:val="0"/>
          <w:i w:val="0"/>
          <w:color w:val="172033"/>
          <w:sz w:val="21"/>
        </w:rPr>
        <w:t>A good workflow makes the next best action obvious while leaving room for professional judgment. Agencies can configure a common core and then vary intensity by program, readiness, and participant preference.</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500"/>
        <w:gridCol w:w="2550"/>
        <w:gridCol w:w="2860"/>
        <w:gridCol w:w="2450"/>
      </w:tblGrid>
      <w:tr>
        <w:trPr>
          <w:tblHeader w:val="true"/>
          <w:cantSplit/>
        </w:trPr>
        <w:tc>
          <w:tcPr>
            <w:tcW w:type="dxa" w:w="1500"/>
            <w:tcMar>
              <w:top w:w="100" w:type="dxa"/>
              <w:start w:w="140" w:type="dxa"/>
              <w:bottom w:w="100" w:type="dxa"/>
              <w:end w:w="140" w:type="dxa"/>
            </w:tcMar>
            <w:vAlign w:val="center"/>
            <w:shd w:fill="0B1F3A"/>
          </w:tcPr>
          <w:p>
            <w:pPr>
              <w:spacing w:after="0"/>
              <w:jc w:val="left"/>
            </w:pPr>
            <w:r>
              <w:rPr>
                <w:rFonts w:ascii="Calibri" w:hAnsi="Calibri"/>
                <w:b/>
                <w:i w:val="0"/>
                <w:color w:val="FFFFFF"/>
                <w:sz w:val="18"/>
              </w:rPr>
              <w:t>Encounter</w:t>
            </w:r>
          </w:p>
        </w:tc>
        <w:tc>
          <w:tcPr>
            <w:tcW w:type="dxa" w:w="2550"/>
            <w:tcMar>
              <w:top w:w="100" w:type="dxa"/>
              <w:start w:w="140" w:type="dxa"/>
              <w:bottom w:w="100" w:type="dxa"/>
              <w:end w:w="140" w:type="dxa"/>
            </w:tcMar>
            <w:vAlign w:val="center"/>
            <w:shd w:fill="0B1F3A"/>
          </w:tcPr>
          <w:p>
            <w:pPr>
              <w:spacing w:after="0"/>
              <w:jc w:val="left"/>
            </w:pPr>
            <w:r>
              <w:rPr>
                <w:rFonts w:ascii="Calibri" w:hAnsi="Calibri"/>
                <w:b/>
                <w:i w:val="0"/>
                <w:color w:val="FFFFFF"/>
                <w:sz w:val="18"/>
              </w:rPr>
              <w:t>Before</w:t>
            </w:r>
          </w:p>
        </w:tc>
        <w:tc>
          <w:tcPr>
            <w:tcW w:type="dxa" w:w="2860"/>
            <w:tcMar>
              <w:top w:w="100" w:type="dxa"/>
              <w:start w:w="140" w:type="dxa"/>
              <w:bottom w:w="100" w:type="dxa"/>
              <w:end w:w="140" w:type="dxa"/>
            </w:tcMar>
            <w:vAlign w:val="center"/>
            <w:shd w:fill="0B1F3A"/>
          </w:tcPr>
          <w:p>
            <w:pPr>
              <w:spacing w:after="0"/>
              <w:jc w:val="left"/>
            </w:pPr>
            <w:r>
              <w:rPr>
                <w:rFonts w:ascii="Calibri" w:hAnsi="Calibri"/>
                <w:b/>
                <w:i w:val="0"/>
                <w:color w:val="FFFFFF"/>
                <w:sz w:val="18"/>
              </w:rPr>
              <w:t>During</w:t>
            </w:r>
          </w:p>
        </w:tc>
        <w:tc>
          <w:tcPr>
            <w:tcW w:type="dxa" w:w="2450"/>
            <w:tcMar>
              <w:top w:w="100" w:type="dxa"/>
              <w:start w:w="140" w:type="dxa"/>
              <w:bottom w:w="100" w:type="dxa"/>
              <w:end w:w="140" w:type="dxa"/>
            </w:tcMar>
            <w:vAlign w:val="center"/>
            <w:shd w:fill="0B1F3A"/>
          </w:tcPr>
          <w:p>
            <w:pPr>
              <w:spacing w:after="0"/>
              <w:jc w:val="left"/>
            </w:pPr>
            <w:r>
              <w:rPr>
                <w:rFonts w:ascii="Calibri" w:hAnsi="Calibri"/>
                <w:b/>
                <w:i w:val="0"/>
                <w:color w:val="FFFFFF"/>
                <w:sz w:val="18"/>
              </w:rPr>
              <w:t>After</w:t>
            </w:r>
          </w:p>
        </w:tc>
      </w:tr>
      <w:tr>
        <w:trPr>
          <w:cantSplit/>
        </w:trPr>
        <w:tc>
          <w:tcPr>
            <w:tcW w:type="dxa" w:w="1500"/>
            <w:tcMar>
              <w:top w:w="100" w:type="dxa"/>
              <w:start w:w="140" w:type="dxa"/>
              <w:bottom w:w="100" w:type="dxa"/>
              <w:end w:w="140" w:type="dxa"/>
            </w:tcMar>
            <w:vAlign w:val="center"/>
          </w:tcPr>
          <w:p>
            <w:pPr>
              <w:spacing w:after="0" w:line="264" w:lineRule="auto"/>
            </w:pPr>
            <w:r>
              <w:rPr>
                <w:rFonts w:ascii="Calibri" w:hAnsi="Calibri"/>
                <w:b/>
                <w:i w:val="0"/>
                <w:color w:val="172033"/>
                <w:sz w:val="17"/>
              </w:rPr>
              <w:t>Orientation</w:t>
            </w:r>
          </w:p>
        </w:tc>
        <w:tc>
          <w:tcPr>
            <w:tcW w:type="dxa" w:w="2550"/>
            <w:tcMar>
              <w:top w:w="100" w:type="dxa"/>
              <w:start w:w="140" w:type="dxa"/>
              <w:bottom w:w="100" w:type="dxa"/>
              <w:end w:w="140" w:type="dxa"/>
            </w:tcMar>
            <w:vAlign w:val="center"/>
          </w:tcPr>
          <w:p>
            <w:pPr>
              <w:spacing w:after="0" w:line="264" w:lineRule="auto"/>
            </w:pPr>
            <w:r>
              <w:rPr>
                <w:rFonts w:ascii="Calibri" w:hAnsi="Calibri"/>
                <w:b w:val="0"/>
                <w:i w:val="0"/>
                <w:color w:val="172033"/>
                <w:sz w:val="17"/>
              </w:rPr>
              <w:t>Invite account creation; check access and language</w:t>
            </w:r>
          </w:p>
        </w:tc>
        <w:tc>
          <w:tcPr>
            <w:tcW w:type="dxa" w:w="2860"/>
            <w:tcMar>
              <w:top w:w="100" w:type="dxa"/>
              <w:start w:w="140" w:type="dxa"/>
              <w:bottom w:w="100" w:type="dxa"/>
              <w:end w:w="140" w:type="dxa"/>
            </w:tcMar>
            <w:vAlign w:val="center"/>
          </w:tcPr>
          <w:p>
            <w:pPr>
              <w:spacing w:after="0" w:line="264" w:lineRule="auto"/>
            </w:pPr>
            <w:r>
              <w:rPr>
                <w:rFonts w:ascii="Calibri" w:hAnsi="Calibri"/>
                <w:b w:val="0"/>
                <w:i w:val="0"/>
                <w:color w:val="172033"/>
                <w:sz w:val="17"/>
              </w:rPr>
              <w:t>Explain purpose, consent, and available support</w:t>
            </w:r>
          </w:p>
        </w:tc>
        <w:tc>
          <w:tcPr>
            <w:tcW w:type="dxa" w:w="2450"/>
            <w:tcMar>
              <w:top w:w="100" w:type="dxa"/>
              <w:start w:w="140" w:type="dxa"/>
              <w:bottom w:w="100" w:type="dxa"/>
              <w:end w:w="140" w:type="dxa"/>
            </w:tcMar>
            <w:vAlign w:val="center"/>
          </w:tcPr>
          <w:p>
            <w:pPr>
              <w:spacing w:after="0" w:line="264" w:lineRule="auto"/>
            </w:pPr>
            <w:r>
              <w:rPr>
                <w:rFonts w:ascii="Calibri" w:hAnsi="Calibri"/>
                <w:b w:val="0"/>
                <w:i w:val="0"/>
                <w:color w:val="172033"/>
                <w:sz w:val="17"/>
              </w:rPr>
              <w:t>Confirm completion path and next appointment</w:t>
            </w:r>
          </w:p>
        </w:tc>
      </w:tr>
      <w:tr>
        <w:trPr>
          <w:cantSplit/>
        </w:trPr>
        <w:tc>
          <w:tcPr>
            <w:tcW w:type="dxa" w:w="15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Assessment review</w:t>
            </w:r>
          </w:p>
        </w:tc>
        <w:tc>
          <w:tcPr>
            <w:tcW w:type="dxa" w:w="25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Review MAPP and participant notes</w:t>
            </w:r>
          </w:p>
        </w:tc>
        <w:tc>
          <w:tcPr>
            <w:tcW w:type="dxa" w:w="28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Validate, challenge, and contextualize themes</w:t>
            </w:r>
          </w:p>
        </w:tc>
        <w:tc>
          <w:tcPr>
            <w:tcW w:type="dxa" w:w="24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Save career shortlist and questions to research</w:t>
            </w:r>
          </w:p>
        </w:tc>
      </w:tr>
      <w:tr>
        <w:trPr>
          <w:cantSplit/>
        </w:trPr>
        <w:tc>
          <w:tcPr>
            <w:tcW w:type="dxa" w:w="1500"/>
            <w:tcMar>
              <w:top w:w="100" w:type="dxa"/>
              <w:start w:w="140" w:type="dxa"/>
              <w:bottom w:w="100" w:type="dxa"/>
              <w:end w:w="140" w:type="dxa"/>
            </w:tcMar>
            <w:vAlign w:val="center"/>
          </w:tcPr>
          <w:p>
            <w:pPr>
              <w:spacing w:after="0" w:line="264" w:lineRule="auto"/>
            </w:pPr>
            <w:r>
              <w:rPr>
                <w:rFonts w:ascii="Calibri" w:hAnsi="Calibri"/>
                <w:b/>
                <w:i w:val="0"/>
                <w:color w:val="172033"/>
                <w:sz w:val="17"/>
              </w:rPr>
              <w:t>IEP meeting</w:t>
            </w:r>
          </w:p>
        </w:tc>
        <w:tc>
          <w:tcPr>
            <w:tcW w:type="dxa" w:w="2550"/>
            <w:tcMar>
              <w:top w:w="100" w:type="dxa"/>
              <w:start w:w="140" w:type="dxa"/>
              <w:bottom w:w="100" w:type="dxa"/>
              <w:end w:w="140" w:type="dxa"/>
            </w:tcMar>
            <w:vAlign w:val="center"/>
          </w:tcPr>
          <w:p>
            <w:pPr>
              <w:spacing w:after="0" w:line="264" w:lineRule="auto"/>
            </w:pPr>
            <w:r>
              <w:rPr>
                <w:rFonts w:ascii="Calibri" w:hAnsi="Calibri"/>
                <w:b w:val="0"/>
                <w:i w:val="0"/>
                <w:color w:val="172033"/>
                <w:sz w:val="17"/>
              </w:rPr>
              <w:t>Gather labor-market and training evidence</w:t>
            </w:r>
          </w:p>
        </w:tc>
        <w:tc>
          <w:tcPr>
            <w:tcW w:type="dxa" w:w="2860"/>
            <w:tcMar>
              <w:top w:w="100" w:type="dxa"/>
              <w:start w:w="140" w:type="dxa"/>
              <w:bottom w:w="100" w:type="dxa"/>
              <w:end w:w="140" w:type="dxa"/>
            </w:tcMar>
            <w:vAlign w:val="center"/>
          </w:tcPr>
          <w:p>
            <w:pPr>
              <w:spacing w:after="0" w:line="264" w:lineRule="auto"/>
            </w:pPr>
            <w:r>
              <w:rPr>
                <w:rFonts w:ascii="Calibri" w:hAnsi="Calibri"/>
                <w:b w:val="0"/>
                <w:i w:val="0"/>
                <w:color w:val="172033"/>
                <w:sz w:val="17"/>
              </w:rPr>
              <w:t>Choose goal, alternatives, milestones, and supports</w:t>
            </w:r>
          </w:p>
        </w:tc>
        <w:tc>
          <w:tcPr>
            <w:tcW w:type="dxa" w:w="2450"/>
            <w:tcMar>
              <w:top w:w="100" w:type="dxa"/>
              <w:start w:w="140" w:type="dxa"/>
              <w:bottom w:w="100" w:type="dxa"/>
              <w:end w:w="140" w:type="dxa"/>
            </w:tcMar>
            <w:vAlign w:val="center"/>
          </w:tcPr>
          <w:p>
            <w:pPr>
              <w:spacing w:after="0" w:line="264" w:lineRule="auto"/>
            </w:pPr>
            <w:r>
              <w:rPr>
                <w:rFonts w:ascii="Calibri" w:hAnsi="Calibri"/>
                <w:b w:val="0"/>
                <w:i w:val="0"/>
                <w:color w:val="172033"/>
                <w:sz w:val="17"/>
              </w:rPr>
              <w:t>Assign tasks, dates, referrals, and follow-up</w:t>
            </w:r>
          </w:p>
        </w:tc>
      </w:tr>
      <w:tr>
        <w:trPr>
          <w:cantSplit/>
        </w:trPr>
        <w:tc>
          <w:tcPr>
            <w:tcW w:type="dxa" w:w="15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Progress review</w:t>
            </w:r>
          </w:p>
        </w:tc>
        <w:tc>
          <w:tcPr>
            <w:tcW w:type="dxa" w:w="25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Check dashboard activity and barriers</w:t>
            </w:r>
          </w:p>
        </w:tc>
        <w:tc>
          <w:tcPr>
            <w:tcW w:type="dxa" w:w="28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Celebrate evidence; troubleshoot; revise sequence</w:t>
            </w:r>
          </w:p>
        </w:tc>
        <w:tc>
          <w:tcPr>
            <w:tcW w:type="dxa" w:w="24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Document objective progress and escalation</w:t>
            </w:r>
          </w:p>
        </w:tc>
      </w:tr>
      <w:tr>
        <w:trPr>
          <w:cantSplit/>
        </w:trPr>
        <w:tc>
          <w:tcPr>
            <w:tcW w:type="dxa" w:w="1500"/>
            <w:tcMar>
              <w:top w:w="100" w:type="dxa"/>
              <w:start w:w="140" w:type="dxa"/>
              <w:bottom w:w="100" w:type="dxa"/>
              <w:end w:w="140" w:type="dxa"/>
            </w:tcMar>
            <w:vAlign w:val="center"/>
          </w:tcPr>
          <w:p>
            <w:pPr>
              <w:spacing w:after="0" w:line="264" w:lineRule="auto"/>
            </w:pPr>
            <w:r>
              <w:rPr>
                <w:rFonts w:ascii="Calibri" w:hAnsi="Calibri"/>
                <w:b/>
                <w:i w:val="0"/>
                <w:color w:val="172033"/>
                <w:sz w:val="17"/>
              </w:rPr>
              <w:t>Employer referral</w:t>
            </w:r>
          </w:p>
        </w:tc>
        <w:tc>
          <w:tcPr>
            <w:tcW w:type="dxa" w:w="2550"/>
            <w:tcMar>
              <w:top w:w="100" w:type="dxa"/>
              <w:start w:w="140" w:type="dxa"/>
              <w:bottom w:w="100" w:type="dxa"/>
              <w:end w:w="140" w:type="dxa"/>
            </w:tcMar>
            <w:vAlign w:val="center"/>
          </w:tcPr>
          <w:p>
            <w:pPr>
              <w:spacing w:after="0" w:line="264" w:lineRule="auto"/>
            </w:pPr>
            <w:r>
              <w:rPr>
                <w:rFonts w:ascii="Calibri" w:hAnsi="Calibri"/>
                <w:b w:val="0"/>
                <w:i w:val="0"/>
                <w:color w:val="172033"/>
                <w:sz w:val="17"/>
              </w:rPr>
              <w:t>Verify readiness, fit, requirements, and consent</w:t>
            </w:r>
          </w:p>
        </w:tc>
        <w:tc>
          <w:tcPr>
            <w:tcW w:type="dxa" w:w="2860"/>
            <w:tcMar>
              <w:top w:w="100" w:type="dxa"/>
              <w:start w:w="140" w:type="dxa"/>
              <w:bottom w:w="100" w:type="dxa"/>
              <w:end w:w="140" w:type="dxa"/>
            </w:tcMar>
            <w:vAlign w:val="center"/>
          </w:tcPr>
          <w:p>
            <w:pPr>
              <w:spacing w:after="0" w:line="264" w:lineRule="auto"/>
            </w:pPr>
            <w:r>
              <w:rPr>
                <w:rFonts w:ascii="Calibri" w:hAnsi="Calibri"/>
                <w:b w:val="0"/>
                <w:i w:val="0"/>
                <w:color w:val="172033"/>
                <w:sz w:val="17"/>
              </w:rPr>
              <w:t>Prepare tailored materials and interview strategy</w:t>
            </w:r>
          </w:p>
        </w:tc>
        <w:tc>
          <w:tcPr>
            <w:tcW w:type="dxa" w:w="2450"/>
            <w:tcMar>
              <w:top w:w="100" w:type="dxa"/>
              <w:start w:w="140" w:type="dxa"/>
              <w:bottom w:w="100" w:type="dxa"/>
              <w:end w:w="140" w:type="dxa"/>
            </w:tcMar>
            <w:vAlign w:val="center"/>
          </w:tcPr>
          <w:p>
            <w:pPr>
              <w:spacing w:after="0" w:line="264" w:lineRule="auto"/>
            </w:pPr>
            <w:r>
              <w:rPr>
                <w:rFonts w:ascii="Calibri" w:hAnsi="Calibri"/>
                <w:b w:val="0"/>
                <w:i w:val="0"/>
                <w:color w:val="172033"/>
                <w:sz w:val="17"/>
              </w:rPr>
              <w:t>Track outcome and employer/participant feedback</w:t>
            </w:r>
          </w:p>
        </w:tc>
      </w:tr>
      <w:tr>
        <w:trPr>
          <w:cantSplit/>
        </w:trPr>
        <w:tc>
          <w:tcPr>
            <w:tcW w:type="dxa" w:w="15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Retention contact</w:t>
            </w:r>
          </w:p>
        </w:tc>
        <w:tc>
          <w:tcPr>
            <w:tcW w:type="dxa" w:w="25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Review placement and support plan</w:t>
            </w:r>
          </w:p>
        </w:tc>
        <w:tc>
          <w:tcPr>
            <w:tcW w:type="dxa" w:w="28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Identify early risks and growth opportunities</w:t>
            </w:r>
          </w:p>
        </w:tc>
        <w:tc>
          <w:tcPr>
            <w:tcW w:type="dxa" w:w="24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Connect resources; record outcome; schedule next check</w:t>
            </w:r>
          </w:p>
        </w:tc>
      </w:tr>
    </w:tbl>
    <w:p>
      <w:pPr>
        <w:spacing w:after="20"/>
      </w:pPr>
    </w:p>
    <w:p>
      <w:pPr>
        <w:pStyle w:val="Heading2"/>
      </w:pPr>
      <w:r>
        <w:rPr>
          <w:rFonts w:ascii="Calibri" w:hAnsi="Calibri"/>
          <w:b w:val="0"/>
          <w:i w:val="0"/>
          <w:color w:val="172033"/>
          <w:sz w:val="28"/>
        </w:rPr>
        <w:t>Navigator service standards</w:t>
      </w:r>
    </w:p>
    <w:p>
      <w:pPr>
        <w:numPr>
          <w:ilvl w:val="0"/>
          <w:numId w:val="10"/>
        </w:numPr>
      </w:pPr>
      <w:r>
        <w:rPr>
          <w:rFonts w:ascii="Calibri" w:hAnsi="Calibri"/>
          <w:b w:val="0"/>
          <w:i w:val="0"/>
          <w:color w:val="172033"/>
          <w:sz w:val="22"/>
        </w:rPr>
        <w:t>Begin with the participant’s goal and interpretation—not the score.</w:t>
      </w:r>
    </w:p>
    <w:p>
      <w:pPr>
        <w:numPr>
          <w:ilvl w:val="0"/>
          <w:numId w:val="10"/>
        </w:numPr>
      </w:pPr>
      <w:r>
        <w:rPr>
          <w:rFonts w:ascii="Calibri" w:hAnsi="Calibri"/>
          <w:b w:val="0"/>
          <w:i w:val="0"/>
          <w:color w:val="172033"/>
          <w:sz w:val="22"/>
        </w:rPr>
        <w:t>Show the evidence behind recommendations and identify uncertainty.</w:t>
      </w:r>
    </w:p>
    <w:p>
      <w:pPr>
        <w:numPr>
          <w:ilvl w:val="0"/>
          <w:numId w:val="10"/>
        </w:numPr>
      </w:pPr>
      <w:r>
        <w:rPr>
          <w:rFonts w:ascii="Calibri" w:hAnsi="Calibri"/>
          <w:b w:val="0"/>
          <w:i w:val="0"/>
          <w:color w:val="172033"/>
          <w:sz w:val="22"/>
        </w:rPr>
        <w:t>Always provide at least one adjacent or bridge pathway.</w:t>
      </w:r>
    </w:p>
    <w:p>
      <w:pPr>
        <w:numPr>
          <w:ilvl w:val="0"/>
          <w:numId w:val="10"/>
        </w:numPr>
      </w:pPr>
      <w:r>
        <w:rPr>
          <w:rFonts w:ascii="Calibri" w:hAnsi="Calibri"/>
          <w:b w:val="0"/>
          <w:i w:val="0"/>
          <w:color w:val="172033"/>
          <w:sz w:val="22"/>
        </w:rPr>
        <w:t>End every session with a documented next action, owner, and date.</w:t>
      </w:r>
    </w:p>
    <w:p>
      <w:pPr>
        <w:numPr>
          <w:ilvl w:val="0"/>
          <w:numId w:val="10"/>
        </w:numPr>
      </w:pPr>
      <w:r>
        <w:rPr>
          <w:rFonts w:ascii="Calibri" w:hAnsi="Calibri"/>
          <w:b w:val="0"/>
          <w:i w:val="0"/>
          <w:color w:val="172033"/>
          <w:sz w:val="22"/>
        </w:rPr>
        <w:t>Use warm handoffs for training, benefits, disability, transportation, childcare, legal, or behavioral-health supports.</w:t>
      </w:r>
    </w:p>
    <w:p>
      <w:r>
        <w:br w:type="page"/>
      </w:r>
    </w:p>
    <w:p>
      <w:pPr>
        <w:pStyle w:val="Kicker"/>
      </w:pPr>
      <w:r>
        <w:rPr>
          <w:rFonts w:ascii="Calibri" w:hAnsi="Calibri"/>
          <w:b/>
          <w:i w:val="0"/>
          <w:color w:val="172033"/>
          <w:sz w:val="20"/>
        </w:rPr>
        <w:t>12 • EMPLOYER SERVICES</w:t>
      </w:r>
    </w:p>
    <w:p>
      <w:pPr>
        <w:pStyle w:val="Heading1"/>
        <w:keepNext/>
      </w:pPr>
      <w:r>
        <w:rPr>
          <w:rFonts w:ascii="Calibri" w:hAnsi="Calibri"/>
          <w:b w:val="0"/>
          <w:i w:val="0"/>
          <w:color w:val="172033"/>
          <w:sz w:val="36"/>
        </w:rPr>
        <w:t>Connect talent evidence to demand without turning MAPP into a gate</w:t>
      </w:r>
    </w:p>
    <w:p>
      <w:r>
        <w:rPr>
          <w:rFonts w:ascii="Calibri" w:hAnsi="Calibri"/>
          <w:b w:val="0"/>
          <w:i w:val="0"/>
          <w:color w:val="172033"/>
          <w:sz w:val="21"/>
        </w:rPr>
        <w:t>The platform describes employer-facing capabilities including RoleMatch AI, job-specific profiles, candidate comparison, dashboards, and workforce analytics. Workforce agencies can use these capabilities to strengthen employer conversations, clarify role requirements, and prepare participants—provided the assessment is not used as the sole selection mechanism.</w:t>
      </w:r>
    </w:p>
    <w:p>
      <w:pPr>
        <w:numPr>
          <w:ilvl w:val="0"/>
          <w:numId w:val="12"/>
        </w:numPr>
      </w:pPr>
      <w:r>
        <w:rPr>
          <w:rFonts w:ascii="Calibri" w:hAnsi="Calibri"/>
          <w:b w:val="0"/>
          <w:i w:val="0"/>
          <w:color w:val="172033"/>
          <w:sz w:val="22"/>
        </w:rPr>
        <w:t>Define the role from actual tasks, conditions, skill requirements, schedule, and advancement—not only a title.</w:t>
      </w:r>
    </w:p>
    <w:p>
      <w:pPr>
        <w:numPr>
          <w:ilvl w:val="0"/>
          <w:numId w:val="12"/>
        </w:numPr>
      </w:pPr>
      <w:r>
        <w:rPr>
          <w:rFonts w:ascii="Calibri" w:hAnsi="Calibri"/>
          <w:b w:val="0"/>
          <w:i w:val="0"/>
          <w:color w:val="172033"/>
          <w:sz w:val="22"/>
        </w:rPr>
        <w:t>Separate trainable requirements from true prerequisites and remove unnecessary barriers.</w:t>
      </w:r>
    </w:p>
    <w:p>
      <w:pPr>
        <w:numPr>
          <w:ilvl w:val="0"/>
          <w:numId w:val="12"/>
        </w:numPr>
      </w:pPr>
      <w:r>
        <w:rPr>
          <w:rFonts w:ascii="Calibri" w:hAnsi="Calibri"/>
          <w:b w:val="0"/>
          <w:i w:val="0"/>
          <w:color w:val="172033"/>
          <w:sz w:val="22"/>
        </w:rPr>
        <w:t>Use RoleMatch or job-profile evidence to guide sourcing, preparation, and structured conversation.</w:t>
      </w:r>
    </w:p>
    <w:p>
      <w:pPr>
        <w:numPr>
          <w:ilvl w:val="0"/>
          <w:numId w:val="12"/>
        </w:numPr>
      </w:pPr>
      <w:r>
        <w:rPr>
          <w:rFonts w:ascii="Calibri" w:hAnsi="Calibri"/>
          <w:b w:val="0"/>
          <w:i w:val="0"/>
          <w:color w:val="172033"/>
          <w:sz w:val="22"/>
        </w:rPr>
        <w:t>Refer participants with consent and a balanced, job-relevant profile.</w:t>
      </w:r>
    </w:p>
    <w:p>
      <w:pPr>
        <w:numPr>
          <w:ilvl w:val="0"/>
          <w:numId w:val="12"/>
        </w:numPr>
      </w:pPr>
      <w:r>
        <w:rPr>
          <w:rFonts w:ascii="Calibri" w:hAnsi="Calibri"/>
          <w:b w:val="0"/>
          <w:i w:val="0"/>
          <w:color w:val="172033"/>
          <w:sz w:val="22"/>
        </w:rPr>
        <w:t>Collect structured feedback from both employer and participant after interviews and placements.</w:t>
      </w:r>
    </w:p>
    <w:p>
      <w:pPr>
        <w:numPr>
          <w:ilvl w:val="0"/>
          <w:numId w:val="12"/>
        </w:numPr>
      </w:pPr>
      <w:r>
        <w:rPr>
          <w:rFonts w:ascii="Calibri" w:hAnsi="Calibri"/>
          <w:b w:val="0"/>
          <w:i w:val="0"/>
          <w:color w:val="172033"/>
          <w:sz w:val="22"/>
        </w:rPr>
        <w:t>Track retention, advancement, wage progression, and recurring skill gaps to improve services.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3100"/>
        <w:gridCol w:w="6260"/>
      </w:tblGrid>
      <w:tr>
        <w:trPr>
          <w:tblHeader w:val="true"/>
          <w:cantSplit/>
        </w:trPr>
        <w:tc>
          <w:tcPr>
            <w:tcW w:type="dxa" w:w="3100"/>
            <w:tcMar>
              <w:top w:w="100" w:type="dxa"/>
              <w:start w:w="140" w:type="dxa"/>
              <w:bottom w:w="100" w:type="dxa"/>
              <w:end w:w="140" w:type="dxa"/>
            </w:tcMar>
            <w:vAlign w:val="center"/>
            <w:shd w:fill="0B1F3A"/>
          </w:tcPr>
          <w:p>
            <w:pPr>
              <w:spacing w:after="0"/>
              <w:jc w:val="left"/>
            </w:pPr>
            <w:r>
              <w:rPr>
                <w:rFonts w:ascii="Calibri" w:hAnsi="Calibri"/>
                <w:b/>
                <w:i w:val="0"/>
                <w:color w:val="FFFFFF"/>
                <w:sz w:val="18"/>
              </w:rPr>
              <w:t>Employer question</w:t>
            </w:r>
          </w:p>
        </w:tc>
        <w:tc>
          <w:tcPr>
            <w:tcW w:type="dxa" w:w="6260"/>
            <w:tcMar>
              <w:top w:w="100" w:type="dxa"/>
              <w:start w:w="140" w:type="dxa"/>
              <w:bottom w:w="100" w:type="dxa"/>
              <w:end w:w="140" w:type="dxa"/>
            </w:tcMar>
            <w:vAlign w:val="center"/>
            <w:shd w:fill="0B1F3A"/>
          </w:tcPr>
          <w:p>
            <w:pPr>
              <w:spacing w:after="0"/>
              <w:jc w:val="left"/>
            </w:pPr>
            <w:r>
              <w:rPr>
                <w:rFonts w:ascii="Calibri" w:hAnsi="Calibri"/>
                <w:b/>
                <w:i w:val="0"/>
                <w:color w:val="FFFFFF"/>
                <w:sz w:val="18"/>
              </w:rPr>
              <w:t>Agency response using platform evidence</w:t>
            </w:r>
          </w:p>
        </w:tc>
      </w:tr>
      <w:tr>
        <w:trPr>
          <w:cantSplit/>
        </w:trPr>
        <w:tc>
          <w:tcPr>
            <w:tcW w:type="dxa" w:w="3100"/>
            <w:tcMar>
              <w:top w:w="100" w:type="dxa"/>
              <w:start w:w="140" w:type="dxa"/>
              <w:bottom w:w="100" w:type="dxa"/>
              <w:end w:w="140" w:type="dxa"/>
            </w:tcMar>
            <w:vAlign w:val="center"/>
          </w:tcPr>
          <w:p>
            <w:pPr>
              <w:spacing w:after="0" w:line="264" w:lineRule="auto"/>
            </w:pPr>
            <w:r>
              <w:rPr>
                <w:rFonts w:ascii="Calibri" w:hAnsi="Calibri"/>
                <w:b/>
                <w:i w:val="0"/>
                <w:color w:val="172033"/>
                <w:sz w:val="18"/>
              </w:rPr>
              <w:t>“Why aren’t we seeing qualified applicants?”</w:t>
            </w:r>
          </w:p>
        </w:tc>
        <w:tc>
          <w:tcPr>
            <w:tcW w:type="dxa" w:w="6260"/>
            <w:tcMar>
              <w:top w:w="100" w:type="dxa"/>
              <w:start w:w="140" w:type="dxa"/>
              <w:bottom w:w="100" w:type="dxa"/>
              <w:end w:w="140" w:type="dxa"/>
            </w:tcMar>
            <w:vAlign w:val="center"/>
          </w:tcPr>
          <w:p>
            <w:pPr>
              <w:spacing w:after="0" w:line="264" w:lineRule="auto"/>
            </w:pPr>
            <w:r>
              <w:rPr>
                <w:rFonts w:ascii="Calibri" w:hAnsi="Calibri"/>
                <w:b w:val="0"/>
                <w:i w:val="0"/>
                <w:color w:val="172033"/>
                <w:sz w:val="18"/>
              </w:rPr>
              <w:t>Compare stated requirements to actual tasks; identify adjacent occupations and trainable gaps.</w:t>
            </w:r>
          </w:p>
        </w:tc>
      </w:tr>
      <w:tr>
        <w:trPr>
          <w:cantSplit/>
        </w:trPr>
        <w:tc>
          <w:tcPr>
            <w:tcW w:type="dxa" w:w="31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“Can you prepare candidates faster?”</w:t>
            </w:r>
          </w:p>
        </w:tc>
        <w:tc>
          <w:tcPr>
            <w:tcW w:type="dxa" w:w="62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Create a role-specific readiness path with assessments, skill practice, resume, and interview work.</w:t>
            </w:r>
          </w:p>
        </w:tc>
      </w:tr>
      <w:tr>
        <w:trPr>
          <w:cantSplit/>
        </w:trPr>
        <w:tc>
          <w:tcPr>
            <w:tcW w:type="dxa" w:w="3100"/>
            <w:tcMar>
              <w:top w:w="100" w:type="dxa"/>
              <w:start w:w="140" w:type="dxa"/>
              <w:bottom w:w="100" w:type="dxa"/>
              <w:end w:w="140" w:type="dxa"/>
            </w:tcMar>
            <w:vAlign w:val="center"/>
          </w:tcPr>
          <w:p>
            <w:pPr>
              <w:spacing w:after="0" w:line="264" w:lineRule="auto"/>
            </w:pPr>
            <w:r>
              <w:rPr>
                <w:rFonts w:ascii="Calibri" w:hAnsi="Calibri"/>
                <w:b/>
                <w:i w:val="0"/>
                <w:color w:val="172033"/>
                <w:sz w:val="18"/>
              </w:rPr>
              <w:t>“How can we improve retention?”</w:t>
            </w:r>
          </w:p>
        </w:tc>
        <w:tc>
          <w:tcPr>
            <w:tcW w:type="dxa" w:w="6260"/>
            <w:tcMar>
              <w:top w:w="100" w:type="dxa"/>
              <w:start w:w="140" w:type="dxa"/>
              <w:bottom w:w="100" w:type="dxa"/>
              <w:end w:w="140" w:type="dxa"/>
            </w:tcMar>
            <w:vAlign w:val="center"/>
          </w:tcPr>
          <w:p>
            <w:pPr>
              <w:spacing w:after="0" w:line="264" w:lineRule="auto"/>
            </w:pPr>
            <w:r>
              <w:rPr>
                <w:rFonts w:ascii="Calibri" w:hAnsi="Calibri"/>
                <w:b w:val="0"/>
                <w:i w:val="0"/>
                <w:color w:val="172033"/>
                <w:sz w:val="18"/>
              </w:rPr>
              <w:t>Review job conditions, realistic previews, motivation fit, onboarding, supports, and early follow-up.</w:t>
            </w:r>
          </w:p>
        </w:tc>
      </w:tr>
      <w:tr>
        <w:trPr>
          <w:cantSplit/>
        </w:trPr>
        <w:tc>
          <w:tcPr>
            <w:tcW w:type="dxa" w:w="31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“What skills should our pipeline develop?”</w:t>
            </w:r>
          </w:p>
        </w:tc>
        <w:tc>
          <w:tcPr>
            <w:tcW w:type="dxa" w:w="62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Aggregate recurring gaps and align training, credentials, and work-based learning.</w:t>
            </w:r>
          </w:p>
        </w:tc>
      </w:tr>
    </w:tbl>
    <w:p>
      <w:pPr>
        <w:spacing w:after="20"/>
      </w:pPr>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Selection safeguard  </w:t>
            </w:r>
            <w:r>
              <w:rPr>
                <w:rFonts w:ascii="Calibri" w:hAnsi="Calibri"/>
                <w:b w:val="0"/>
                <w:i w:val="0"/>
                <w:color w:val="172033"/>
                <w:sz w:val="20"/>
              </w:rPr>
              <w:t>If an employer uses assessments in hiring, require a separate validation, legal, accessibility, adverse-impact, and governance review appropriate to that use. Career guidance evidence is not automatically employment-selection evidence.</w:t>
            </w:r>
          </w:p>
        </w:tc>
      </w:tr>
    </w:tbl>
    <w:p>
      <w:pPr>
        <w:spacing w:after="20"/>
      </w:pPr>
    </w:p>
    <w:p>
      <w:pPr>
        <w:pStyle w:val="Kicker"/>
      </w:pPr>
      <w:r>
        <w:rPr>
          <w:rFonts w:ascii="Calibri" w:hAnsi="Calibri"/>
          <w:b/>
          <w:i w:val="0"/>
          <w:color w:val="172033"/>
          <w:sz w:val="20"/>
        </w:rPr>
        <w:t>13 • READINESS AND CUSTOM ASSESSMENT</w:t>
      </w:r>
    </w:p>
    <w:p>
      <w:pPr>
        <w:pStyle w:val="Heading1"/>
        <w:keepNext/>
      </w:pPr>
      <w:r>
        <w:rPr>
          <w:rFonts w:ascii="Calibri" w:hAnsi="Calibri"/>
          <w:b w:val="0"/>
          <w:i w:val="0"/>
          <w:color w:val="172033"/>
          <w:sz w:val="36"/>
        </w:rPr>
        <w:t>Build practical learning and progress checks</w:t>
      </w:r>
    </w:p>
    <w:p>
      <w:r>
        <w:rPr>
          <w:rFonts w:ascii="Calibri" w:hAnsi="Calibri"/>
          <w:b w:val="0"/>
          <w:i w:val="0"/>
          <w:color w:val="172033"/>
          <w:sz w:val="21"/>
        </w:rPr>
        <w:t>The Assessment Marketplace can broaden exploration beyond MAPP, while the AI Assessment Builder can help teams draft custom knowledge or readiness checks. Agencies may use these tools for workshops, learning reinforcement, self-reflection, and progress conversations.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200"/>
        <w:gridCol w:w="3500"/>
        <w:gridCol w:w="3660"/>
      </w:tblGrid>
      <w:tr>
        <w:trPr>
          <w:tblHeader w:val="true"/>
          <w:cantSplit/>
        </w:trPr>
        <w:tc>
          <w:tcPr>
            <w:tcW w:type="dxa" w:w="2200"/>
            <w:tcMar>
              <w:top w:w="100" w:type="dxa"/>
              <w:start w:w="140" w:type="dxa"/>
              <w:bottom w:w="100" w:type="dxa"/>
              <w:end w:w="140" w:type="dxa"/>
            </w:tcMar>
            <w:vAlign w:val="center"/>
            <w:shd w:fill="0B1F3A"/>
          </w:tcPr>
          <w:p>
            <w:pPr>
              <w:spacing w:after="0"/>
              <w:jc w:val="left"/>
            </w:pPr>
            <w:r>
              <w:rPr>
                <w:rFonts w:ascii="Calibri" w:hAnsi="Calibri"/>
                <w:b/>
                <w:i w:val="0"/>
                <w:color w:val="FFFFFF"/>
                <w:sz w:val="18"/>
              </w:rPr>
              <w:t>Appropriate use</w:t>
            </w:r>
          </w:p>
        </w:tc>
        <w:tc>
          <w:tcPr>
            <w:tcW w:type="dxa" w:w="3500"/>
            <w:tcMar>
              <w:top w:w="100" w:type="dxa"/>
              <w:start w:w="140" w:type="dxa"/>
              <w:bottom w:w="100" w:type="dxa"/>
              <w:end w:w="140" w:type="dxa"/>
            </w:tcMar>
            <w:vAlign w:val="center"/>
            <w:shd w:fill="0B1F3A"/>
          </w:tcPr>
          <w:p>
            <w:pPr>
              <w:spacing w:after="0"/>
              <w:jc w:val="left"/>
            </w:pPr>
            <w:r>
              <w:rPr>
                <w:rFonts w:ascii="Calibri" w:hAnsi="Calibri"/>
                <w:b/>
                <w:i w:val="0"/>
                <w:color w:val="FFFFFF"/>
                <w:sz w:val="18"/>
              </w:rPr>
              <w:t>Example</w:t>
            </w:r>
          </w:p>
        </w:tc>
        <w:tc>
          <w:tcPr>
            <w:tcW w:type="dxa" w:w="3660"/>
            <w:tcMar>
              <w:top w:w="100" w:type="dxa"/>
              <w:start w:w="140" w:type="dxa"/>
              <w:bottom w:w="100" w:type="dxa"/>
              <w:end w:w="140" w:type="dxa"/>
            </w:tcMar>
            <w:vAlign w:val="center"/>
            <w:shd w:fill="0B1F3A"/>
          </w:tcPr>
          <w:p>
            <w:pPr>
              <w:spacing w:after="0"/>
              <w:jc w:val="left"/>
            </w:pPr>
            <w:r>
              <w:rPr>
                <w:rFonts w:ascii="Calibri" w:hAnsi="Calibri"/>
                <w:b/>
                <w:i w:val="0"/>
                <w:color w:val="FFFFFF"/>
                <w:sz w:val="18"/>
              </w:rPr>
              <w:t>Control</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7"/>
              </w:rPr>
              <w:t>Learning check</w:t>
            </w:r>
          </w:p>
        </w:tc>
        <w:tc>
          <w:tcPr>
            <w:tcW w:type="dxa" w:w="3500"/>
            <w:tcMar>
              <w:top w:w="100" w:type="dxa"/>
              <w:start w:w="140" w:type="dxa"/>
              <w:bottom w:w="100" w:type="dxa"/>
              <w:end w:w="140" w:type="dxa"/>
            </w:tcMar>
            <w:vAlign w:val="center"/>
          </w:tcPr>
          <w:p>
            <w:pPr>
              <w:spacing w:after="0" w:line="264" w:lineRule="auto"/>
            </w:pPr>
            <w:r>
              <w:rPr>
                <w:rFonts w:ascii="Calibri" w:hAnsi="Calibri"/>
                <w:b w:val="0"/>
                <w:i w:val="0"/>
                <w:color w:val="172033"/>
                <w:sz w:val="17"/>
              </w:rPr>
              <w:t>Knowledge after a financial-literacy or job-search workshop</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Review every item, answer, reading level, and explanation</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Self-assessment</w:t>
            </w:r>
          </w:p>
        </w:tc>
        <w:tc>
          <w:tcPr>
            <w:tcW w:type="dxa" w:w="35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Confidence with interviewing, digital job search, or workplace communication</w:t>
            </w:r>
          </w:p>
        </w:tc>
        <w:tc>
          <w:tcPr>
            <w:tcW w:type="dxa" w:w="3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Present as reflection, not objective certification</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7"/>
              </w:rPr>
              <w:t>Practice</w:t>
            </w:r>
          </w:p>
        </w:tc>
        <w:tc>
          <w:tcPr>
            <w:tcW w:type="dxa" w:w="3500"/>
            <w:tcMar>
              <w:top w:w="100" w:type="dxa"/>
              <w:start w:w="140" w:type="dxa"/>
              <w:bottom w:w="100" w:type="dxa"/>
              <w:end w:w="140" w:type="dxa"/>
            </w:tcMar>
            <w:vAlign w:val="center"/>
          </w:tcPr>
          <w:p>
            <w:pPr>
              <w:spacing w:after="0" w:line="264" w:lineRule="auto"/>
            </w:pPr>
            <w:r>
              <w:rPr>
                <w:rFonts w:ascii="Calibri" w:hAnsi="Calibri"/>
                <w:b w:val="0"/>
                <w:i w:val="0"/>
                <w:color w:val="172033"/>
                <w:sz w:val="17"/>
              </w:rPr>
              <w:t>Scenario-based customer-service or safety questions</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Label as practice and link to instruction</w:t>
            </w:r>
          </w:p>
        </w:tc>
      </w:tr>
      <w:tr>
        <w:trPr>
          <w:cantSplit/>
        </w:trPr>
        <w:tc>
          <w:tcPr>
            <w:tcW w:type="dxa" w:w="22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Program pulse</w:t>
            </w:r>
          </w:p>
        </w:tc>
        <w:tc>
          <w:tcPr>
            <w:tcW w:type="dxa" w:w="35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Participant experience and perceived barriers</w:t>
            </w:r>
          </w:p>
        </w:tc>
        <w:tc>
          <w:tcPr>
            <w:tcW w:type="dxa" w:w="3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Protect confidentiality and avoid collecting unnecessary sensitive data</w:t>
            </w:r>
          </w:p>
        </w:tc>
      </w:tr>
      <w:tr>
        <w:trPr>
          <w:cantSplit/>
        </w:trPr>
        <w:tc>
          <w:tcPr>
            <w:tcW w:type="dxa" w:w="2200"/>
            <w:tcMar>
              <w:top w:w="100" w:type="dxa"/>
              <w:start w:w="140" w:type="dxa"/>
              <w:bottom w:w="100" w:type="dxa"/>
              <w:end w:w="140" w:type="dxa"/>
            </w:tcMar>
            <w:vAlign w:val="center"/>
          </w:tcPr>
          <w:p>
            <w:pPr>
              <w:spacing w:after="0" w:line="264" w:lineRule="auto"/>
            </w:pPr>
            <w:r>
              <w:rPr>
                <w:rFonts w:ascii="Calibri" w:hAnsi="Calibri"/>
                <w:b/>
                <w:i w:val="0"/>
                <w:color w:val="172033"/>
                <w:sz w:val="17"/>
              </w:rPr>
              <w:t>Credential preparation</w:t>
            </w:r>
          </w:p>
        </w:tc>
        <w:tc>
          <w:tcPr>
            <w:tcW w:type="dxa" w:w="3500"/>
            <w:tcMar>
              <w:top w:w="100" w:type="dxa"/>
              <w:start w:w="140" w:type="dxa"/>
              <w:bottom w:w="100" w:type="dxa"/>
              <w:end w:w="140" w:type="dxa"/>
            </w:tcMar>
            <w:vAlign w:val="center"/>
          </w:tcPr>
          <w:p>
            <w:pPr>
              <w:spacing w:after="0" w:line="264" w:lineRule="auto"/>
            </w:pPr>
            <w:r>
              <w:rPr>
                <w:rFonts w:ascii="Calibri" w:hAnsi="Calibri"/>
                <w:b w:val="0"/>
                <w:i w:val="0"/>
                <w:color w:val="172033"/>
                <w:sz w:val="17"/>
              </w:rPr>
              <w:t>Low-stakes practice aligned to a published standard</w:t>
            </w:r>
          </w:p>
        </w:tc>
        <w:tc>
          <w:tcPr>
            <w:tcW w:type="dxa" w:w="3660"/>
            <w:tcMar>
              <w:top w:w="100" w:type="dxa"/>
              <w:start w:w="140" w:type="dxa"/>
              <w:bottom w:w="100" w:type="dxa"/>
              <w:end w:w="140" w:type="dxa"/>
            </w:tcMar>
            <w:vAlign w:val="center"/>
          </w:tcPr>
          <w:p>
            <w:pPr>
              <w:spacing w:after="0" w:line="264" w:lineRule="auto"/>
            </w:pPr>
            <w:r>
              <w:rPr>
                <w:rFonts w:ascii="Calibri" w:hAnsi="Calibri"/>
                <w:b w:val="0"/>
                <w:i w:val="0"/>
                <w:color w:val="172033"/>
                <w:sz w:val="17"/>
              </w:rPr>
              <w:t>Do not claim equivalence to an official exam or credential</w:t>
            </w:r>
          </w:p>
        </w:tc>
      </w:tr>
    </w:tbl>
    <w:p>
      <w:pPr>
        <w:spacing w:after="20"/>
      </w:pPr>
    </w:p>
    <w:p>
      <w:r>
        <w:br w:type="page"/>
      </w:r>
    </w:p>
    <w:p>
      <w:pPr>
        <w:pStyle w:val="Kicker"/>
      </w:pPr>
      <w:r>
        <w:rPr>
          <w:rFonts w:ascii="Calibri" w:hAnsi="Calibri"/>
          <w:b/>
          <w:i w:val="0"/>
          <w:color w:val="172033"/>
          <w:sz w:val="20"/>
        </w:rPr>
        <w:t>14 • ACCOUNTABILITY</w:t>
      </w:r>
    </w:p>
    <w:p>
      <w:pPr>
        <w:pStyle w:val="Heading1"/>
        <w:keepNext/>
      </w:pPr>
      <w:r>
        <w:rPr>
          <w:rFonts w:ascii="Calibri" w:hAnsi="Calibri"/>
          <w:b w:val="0"/>
          <w:i w:val="0"/>
          <w:color w:val="172033"/>
          <w:sz w:val="36"/>
        </w:rPr>
        <w:t>Connect platform activity to WIOA and agency outcomes</w:t>
      </w:r>
    </w:p>
    <w:p>
      <w:r>
        <w:rPr>
          <w:rFonts w:ascii="Calibri" w:hAnsi="Calibri"/>
          <w:b w:val="0"/>
          <w:i w:val="0"/>
          <w:color w:val="172033"/>
          <w:sz w:val="21"/>
        </w:rPr>
        <w:t>Federal WIOA performance indicators include employment in the second and fourth quarters after exit, median earnings in the second quarter, credential attainment, measurable skill gains, and effectiveness in serving employers. Platform activity can contribute operational evidence and earlier leading indicators, but official reporting must continue through approved state systems and definitions.</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900"/>
        <w:gridCol w:w="4850"/>
        <w:gridCol w:w="2610"/>
      </w:tblGrid>
      <w:tr>
        <w:trPr>
          <w:tblHeader w:val="true"/>
          <w:cantSplit/>
        </w:trPr>
        <w:tc>
          <w:tcPr>
            <w:tcW w:type="dxa" w:w="1900"/>
            <w:tcMar>
              <w:top w:w="100" w:type="dxa"/>
              <w:start w:w="140" w:type="dxa"/>
              <w:bottom w:w="100" w:type="dxa"/>
              <w:end w:w="140" w:type="dxa"/>
            </w:tcMar>
            <w:vAlign w:val="center"/>
            <w:shd w:fill="0B1F3A"/>
          </w:tcPr>
          <w:p>
            <w:pPr>
              <w:spacing w:after="0"/>
              <w:jc w:val="left"/>
            </w:pPr>
            <w:r>
              <w:rPr>
                <w:rFonts w:ascii="Calibri" w:hAnsi="Calibri"/>
                <w:b/>
                <w:i w:val="0"/>
                <w:color w:val="FFFFFF"/>
                <w:sz w:val="18"/>
              </w:rPr>
              <w:t>Outcome layer</w:t>
            </w:r>
          </w:p>
        </w:tc>
        <w:tc>
          <w:tcPr>
            <w:tcW w:type="dxa" w:w="4850"/>
            <w:tcMar>
              <w:top w:w="100" w:type="dxa"/>
              <w:start w:w="140" w:type="dxa"/>
              <w:bottom w:w="100" w:type="dxa"/>
              <w:end w:w="140" w:type="dxa"/>
            </w:tcMar>
            <w:vAlign w:val="center"/>
            <w:shd w:fill="0B1F3A"/>
          </w:tcPr>
          <w:p>
            <w:pPr>
              <w:spacing w:after="0"/>
              <w:jc w:val="left"/>
            </w:pPr>
            <w:r>
              <w:rPr>
                <w:rFonts w:ascii="Calibri" w:hAnsi="Calibri"/>
                <w:b/>
                <w:i w:val="0"/>
                <w:color w:val="FFFFFF"/>
                <w:sz w:val="18"/>
              </w:rPr>
              <w:t>Suggested indicators</w:t>
            </w:r>
          </w:p>
        </w:tc>
        <w:tc>
          <w:tcPr>
            <w:tcW w:type="dxa" w:w="2610"/>
            <w:tcMar>
              <w:top w:w="100" w:type="dxa"/>
              <w:start w:w="140" w:type="dxa"/>
              <w:bottom w:w="100" w:type="dxa"/>
              <w:end w:w="140" w:type="dxa"/>
            </w:tcMar>
            <w:vAlign w:val="center"/>
            <w:shd w:fill="0B1F3A"/>
          </w:tcPr>
          <w:p>
            <w:pPr>
              <w:spacing w:after="0"/>
              <w:jc w:val="left"/>
            </w:pPr>
            <w:r>
              <w:rPr>
                <w:rFonts w:ascii="Calibri" w:hAnsi="Calibri"/>
                <w:b/>
                <w:i w:val="0"/>
                <w:color w:val="FFFFFF"/>
                <w:sz w:val="18"/>
              </w:rPr>
              <w:t>Interpretation</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Reach and access</w:t>
            </w:r>
          </w:p>
        </w:tc>
        <w:tc>
          <w:tcPr>
            <w:tcW w:type="dxa" w:w="4850"/>
            <w:tcMar>
              <w:top w:w="100" w:type="dxa"/>
              <w:start w:w="140" w:type="dxa"/>
              <w:bottom w:w="100" w:type="dxa"/>
              <w:end w:w="140" w:type="dxa"/>
            </w:tcMar>
            <w:vAlign w:val="center"/>
          </w:tcPr>
          <w:p>
            <w:pPr>
              <w:spacing w:after="0" w:line="264" w:lineRule="auto"/>
            </w:pPr>
            <w:r>
              <w:rPr>
                <w:rFonts w:ascii="Calibri" w:hAnsi="Calibri"/>
                <w:b w:val="0"/>
                <w:i w:val="0"/>
                <w:color w:val="172033"/>
                <w:sz w:val="17"/>
              </w:rPr>
              <w:t>Invitations, activations, completion, assisted vs. self-service, language/device/accessibility requests</w:t>
            </w:r>
          </w:p>
        </w:tc>
        <w:tc>
          <w:tcPr>
            <w:tcW w:type="dxa" w:w="2610"/>
            <w:tcMar>
              <w:top w:w="100" w:type="dxa"/>
              <w:start w:w="140" w:type="dxa"/>
              <w:bottom w:w="100" w:type="dxa"/>
              <w:end w:w="140" w:type="dxa"/>
            </w:tcMar>
            <w:vAlign w:val="center"/>
          </w:tcPr>
          <w:p>
            <w:pPr>
              <w:spacing w:after="0" w:line="264" w:lineRule="auto"/>
            </w:pPr>
            <w:r>
              <w:rPr>
                <w:rFonts w:ascii="Calibri" w:hAnsi="Calibri"/>
                <w:b w:val="0"/>
                <w:i w:val="0"/>
                <w:color w:val="172033"/>
                <w:sz w:val="17"/>
              </w:rPr>
              <w:t>Who is reached—and who is missing?</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Engagement</w:t>
            </w:r>
          </w:p>
        </w:tc>
        <w:tc>
          <w:tcPr>
            <w:tcW w:type="dxa" w:w="48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MAPP completion, careers saved, education options viewed, coach sessions, return visits</w:t>
            </w:r>
          </w:p>
        </w:tc>
        <w:tc>
          <w:tcPr>
            <w:tcW w:type="dxa" w:w="26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Are participants moving beyond initial intake?</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Plan quality</w:t>
            </w:r>
          </w:p>
        </w:tc>
        <w:tc>
          <w:tcPr>
            <w:tcW w:type="dxa" w:w="4850"/>
            <w:tcMar>
              <w:top w:w="100" w:type="dxa"/>
              <w:start w:w="140" w:type="dxa"/>
              <w:bottom w:w="100" w:type="dxa"/>
              <w:end w:w="140" w:type="dxa"/>
            </w:tcMar>
            <w:vAlign w:val="center"/>
          </w:tcPr>
          <w:p>
            <w:pPr>
              <w:spacing w:after="0" w:line="264" w:lineRule="auto"/>
            </w:pPr>
            <w:r>
              <w:rPr>
                <w:rFonts w:ascii="Calibri" w:hAnsi="Calibri"/>
                <w:b w:val="0"/>
                <w:i w:val="0"/>
                <w:color w:val="172033"/>
                <w:sz w:val="17"/>
              </w:rPr>
              <w:t>Career goal, alternative, evidence reviewed, milestones, dates, supports, navigator sign-off</w:t>
            </w:r>
          </w:p>
        </w:tc>
        <w:tc>
          <w:tcPr>
            <w:tcW w:type="dxa" w:w="2610"/>
            <w:tcMar>
              <w:top w:w="100" w:type="dxa"/>
              <w:start w:w="140" w:type="dxa"/>
              <w:bottom w:w="100" w:type="dxa"/>
              <w:end w:w="140" w:type="dxa"/>
            </w:tcMar>
            <w:vAlign w:val="center"/>
          </w:tcPr>
          <w:p>
            <w:pPr>
              <w:spacing w:after="0" w:line="264" w:lineRule="auto"/>
            </w:pPr>
            <w:r>
              <w:rPr>
                <w:rFonts w:ascii="Calibri" w:hAnsi="Calibri"/>
                <w:b w:val="0"/>
                <w:i w:val="0"/>
                <w:color w:val="172033"/>
                <w:sz w:val="17"/>
              </w:rPr>
              <w:t>Is there an actionable and feasible IEP?</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Preparation</w:t>
            </w:r>
          </w:p>
        </w:tc>
        <w:tc>
          <w:tcPr>
            <w:tcW w:type="dxa" w:w="48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Training enrollment, skill gains, credentials, resumes, mock interviews, applications</w:t>
            </w:r>
          </w:p>
        </w:tc>
        <w:tc>
          <w:tcPr>
            <w:tcW w:type="dxa" w:w="26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Is capability and job-search readiness increasing?</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Connection</w:t>
            </w:r>
          </w:p>
        </w:tc>
        <w:tc>
          <w:tcPr>
            <w:tcW w:type="dxa" w:w="4850"/>
            <w:tcMar>
              <w:top w:w="100" w:type="dxa"/>
              <w:start w:w="140" w:type="dxa"/>
              <w:bottom w:w="100" w:type="dxa"/>
              <w:end w:w="140" w:type="dxa"/>
            </w:tcMar>
            <w:vAlign w:val="center"/>
          </w:tcPr>
          <w:p>
            <w:pPr>
              <w:spacing w:after="0" w:line="264" w:lineRule="auto"/>
            </w:pPr>
            <w:r>
              <w:rPr>
                <w:rFonts w:ascii="Calibri" w:hAnsi="Calibri"/>
                <w:b w:val="0"/>
                <w:i w:val="0"/>
                <w:color w:val="172033"/>
                <w:sz w:val="17"/>
              </w:rPr>
              <w:t>Referrals, employer contacts, interviews, offers, placements</w:t>
            </w:r>
          </w:p>
        </w:tc>
        <w:tc>
          <w:tcPr>
            <w:tcW w:type="dxa" w:w="2610"/>
            <w:tcMar>
              <w:top w:w="100" w:type="dxa"/>
              <w:start w:w="140" w:type="dxa"/>
              <w:bottom w:w="100" w:type="dxa"/>
              <w:end w:w="140" w:type="dxa"/>
            </w:tcMar>
            <w:vAlign w:val="center"/>
          </w:tcPr>
          <w:p>
            <w:pPr>
              <w:spacing w:after="0" w:line="264" w:lineRule="auto"/>
            </w:pPr>
            <w:r>
              <w:rPr>
                <w:rFonts w:ascii="Calibri" w:hAnsi="Calibri"/>
                <w:b w:val="0"/>
                <w:i w:val="0"/>
                <w:color w:val="172033"/>
                <w:sz w:val="17"/>
              </w:rPr>
              <w:t>Are plans converting into opportunity?</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Durable outcomes</w:t>
            </w:r>
          </w:p>
        </w:tc>
        <w:tc>
          <w:tcPr>
            <w:tcW w:type="dxa" w:w="48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Employment Q2/Q4, earnings, credential attainment, retention, advancement</w:t>
            </w:r>
          </w:p>
        </w:tc>
        <w:tc>
          <w:tcPr>
            <w:tcW w:type="dxa" w:w="26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Are services producing sustained value?</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Equity and quality</w:t>
            </w:r>
          </w:p>
        </w:tc>
        <w:tc>
          <w:tcPr>
            <w:tcW w:type="dxa" w:w="4850"/>
            <w:tcMar>
              <w:top w:w="100" w:type="dxa"/>
              <w:start w:w="140" w:type="dxa"/>
              <w:bottom w:w="100" w:type="dxa"/>
              <w:end w:w="140" w:type="dxa"/>
            </w:tcMar>
            <w:vAlign w:val="center"/>
          </w:tcPr>
          <w:p>
            <w:pPr>
              <w:spacing w:after="0" w:line="264" w:lineRule="auto"/>
            </w:pPr>
            <w:r>
              <w:rPr>
                <w:rFonts w:ascii="Calibri" w:hAnsi="Calibri"/>
                <w:b w:val="0"/>
                <w:i w:val="0"/>
                <w:color w:val="172033"/>
                <w:sz w:val="17"/>
              </w:rPr>
              <w:t>Conversion and outcomes by program and permitted demographic/access groups</w:t>
            </w:r>
          </w:p>
        </w:tc>
        <w:tc>
          <w:tcPr>
            <w:tcW w:type="dxa" w:w="2610"/>
            <w:tcMar>
              <w:top w:w="100" w:type="dxa"/>
              <w:start w:w="140" w:type="dxa"/>
              <w:bottom w:w="100" w:type="dxa"/>
              <w:end w:w="140" w:type="dxa"/>
            </w:tcMar>
            <w:vAlign w:val="center"/>
          </w:tcPr>
          <w:p>
            <w:pPr>
              <w:spacing w:after="0" w:line="264" w:lineRule="auto"/>
            </w:pPr>
            <w:r>
              <w:rPr>
                <w:rFonts w:ascii="Calibri" w:hAnsi="Calibri"/>
                <w:b w:val="0"/>
                <w:i w:val="0"/>
                <w:color w:val="172033"/>
                <w:sz w:val="17"/>
              </w:rPr>
              <w:t>Where do experience or results differ materially?</w:t>
            </w:r>
          </w:p>
        </w:tc>
      </w:tr>
    </w:tbl>
    <w:p>
      <w:pPr>
        <w:spacing w:after="20"/>
      </w:pPr>
    </w:p>
    <w:p>
      <w:pPr>
        <w:pStyle w:val="Heading2"/>
      </w:pPr>
      <w:r>
        <w:rPr>
          <w:rFonts w:ascii="Calibri" w:hAnsi="Calibri"/>
          <w:b w:val="0"/>
          <w:i w:val="0"/>
          <w:color w:val="172033"/>
          <w:sz w:val="28"/>
        </w:rPr>
        <w:t>A simple evaluation design</w:t>
      </w:r>
    </w:p>
    <w:p>
      <w:pPr>
        <w:numPr>
          <w:ilvl w:val="0"/>
          <w:numId w:val="13"/>
        </w:numPr>
      </w:pPr>
      <w:r>
        <w:rPr>
          <w:rFonts w:ascii="Calibri" w:hAnsi="Calibri"/>
          <w:b w:val="0"/>
          <w:i w:val="0"/>
          <w:color w:val="172033"/>
          <w:sz w:val="22"/>
        </w:rPr>
        <w:t>Define the target population, service model, comparison baseline, and success criteria before launch.</w:t>
      </w:r>
    </w:p>
    <w:p>
      <w:pPr>
        <w:numPr>
          <w:ilvl w:val="0"/>
          <w:numId w:val="13"/>
        </w:numPr>
      </w:pPr>
      <w:r>
        <w:rPr>
          <w:rFonts w:ascii="Calibri" w:hAnsi="Calibri"/>
          <w:b w:val="0"/>
          <w:i w:val="0"/>
          <w:color w:val="172033"/>
          <w:sz w:val="22"/>
        </w:rPr>
        <w:t>Instrument the funnel from invite → activate → complete → plan → prepare → apply → place → retain.</w:t>
      </w:r>
    </w:p>
    <w:p>
      <w:pPr>
        <w:numPr>
          <w:ilvl w:val="0"/>
          <w:numId w:val="13"/>
        </w:numPr>
      </w:pPr>
      <w:r>
        <w:rPr>
          <w:rFonts w:ascii="Calibri" w:hAnsi="Calibri"/>
          <w:b w:val="0"/>
          <w:i w:val="0"/>
          <w:color w:val="172033"/>
          <w:sz w:val="22"/>
        </w:rPr>
        <w:t>Segment by site, program, service tier, referral source, and accessibility mode.</w:t>
      </w:r>
    </w:p>
    <w:p>
      <w:pPr>
        <w:numPr>
          <w:ilvl w:val="0"/>
          <w:numId w:val="13"/>
        </w:numPr>
      </w:pPr>
      <w:r>
        <w:rPr>
          <w:rFonts w:ascii="Calibri" w:hAnsi="Calibri"/>
          <w:b w:val="0"/>
          <w:i w:val="0"/>
          <w:color w:val="172033"/>
          <w:sz w:val="22"/>
        </w:rPr>
        <w:t>Review qualitative evidence: participant confidence, choice quality, staff usability, employer feedback.</w:t>
      </w:r>
    </w:p>
    <w:p>
      <w:pPr>
        <w:numPr>
          <w:ilvl w:val="0"/>
          <w:numId w:val="13"/>
        </w:numPr>
      </w:pPr>
      <w:r>
        <w:rPr>
          <w:rFonts w:ascii="Calibri" w:hAnsi="Calibri"/>
          <w:b w:val="0"/>
          <w:i w:val="0"/>
          <w:color w:val="172033"/>
          <w:sz w:val="22"/>
        </w:rPr>
        <w:t>Monitor unintended effects such as delayed service, over-referral to training, or disparities in completion.</w:t>
      </w:r>
    </w:p>
    <w:p>
      <w:pPr>
        <w:numPr>
          <w:ilvl w:val="0"/>
          <w:numId w:val="13"/>
        </w:numPr>
      </w:pPr>
      <w:r>
        <w:rPr>
          <w:rFonts w:ascii="Calibri" w:hAnsi="Calibri"/>
          <w:b w:val="0"/>
          <w:i w:val="0"/>
          <w:color w:val="172033"/>
          <w:sz w:val="22"/>
        </w:rPr>
        <w:t>Decide to scale, modify, or stop based on pre-agreed evidence—not enthusiasm alone.</w:t>
      </w:r>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Measurement caution  </w:t>
            </w:r>
            <w:r>
              <w:rPr>
                <w:rFonts w:ascii="Calibri" w:hAnsi="Calibri"/>
                <w:b w:val="0"/>
                <w:i w:val="0"/>
                <w:color w:val="172033"/>
                <w:sz w:val="20"/>
              </w:rPr>
              <w:t>A career match score, AI-risk indicator, activity count, or satisfaction rating is not a WIOA outcome. Treat it as decision-support or a leading indicator and validate its relationship to results over time.</w:t>
            </w:r>
          </w:p>
        </w:tc>
      </w:tr>
    </w:tbl>
    <w:p>
      <w:pPr>
        <w:spacing w:after="20"/>
      </w:pPr>
    </w:p>
    <w:p>
      <w:pPr>
        <w:pStyle w:val="Kicker"/>
      </w:pPr>
      <w:r>
        <w:rPr>
          <w:rFonts w:ascii="Calibri" w:hAnsi="Calibri"/>
          <w:b/>
          <w:i w:val="0"/>
          <w:color w:val="172033"/>
          <w:sz w:val="20"/>
        </w:rPr>
        <w:t>15 • EQUITY, PRIVACY, ACCESSIBILITY, AND AI GOVERNANCE</w:t>
      </w:r>
    </w:p>
    <w:p>
      <w:pPr>
        <w:pStyle w:val="Heading1"/>
        <w:keepNext/>
      </w:pPr>
      <w:r>
        <w:rPr>
          <w:rFonts w:ascii="Calibri" w:hAnsi="Calibri"/>
          <w:b w:val="0"/>
          <w:i w:val="0"/>
          <w:color w:val="172033"/>
          <w:sz w:val="36"/>
        </w:rPr>
        <w:t>Make trust part of the service design</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350"/>
        <w:gridCol w:w="7010"/>
      </w:tblGrid>
      <w:tr>
        <w:trPr>
          <w:tblHeader w:val="true"/>
          <w:cantSplit/>
        </w:trPr>
        <w:tc>
          <w:tcPr>
            <w:tcW w:type="dxa" w:w="2350"/>
            <w:tcMar>
              <w:top w:w="100" w:type="dxa"/>
              <w:start w:w="140" w:type="dxa"/>
              <w:bottom w:w="100" w:type="dxa"/>
              <w:end w:w="140" w:type="dxa"/>
            </w:tcMar>
            <w:vAlign w:val="center"/>
            <w:shd w:fill="0B1F3A"/>
          </w:tcPr>
          <w:p>
            <w:pPr>
              <w:spacing w:after="0"/>
              <w:jc w:val="left"/>
            </w:pPr>
            <w:r>
              <w:rPr>
                <w:rFonts w:ascii="Calibri" w:hAnsi="Calibri"/>
                <w:b/>
                <w:i w:val="0"/>
                <w:color w:val="FFFFFF"/>
                <w:sz w:val="18"/>
              </w:rPr>
              <w:t>Control area</w:t>
            </w:r>
          </w:p>
        </w:tc>
        <w:tc>
          <w:tcPr>
            <w:tcW w:type="dxa" w:w="7010"/>
            <w:tcMar>
              <w:top w:w="100" w:type="dxa"/>
              <w:start w:w="140" w:type="dxa"/>
              <w:bottom w:w="100" w:type="dxa"/>
              <w:end w:w="140" w:type="dxa"/>
            </w:tcMar>
            <w:vAlign w:val="center"/>
            <w:shd w:fill="0B1F3A"/>
          </w:tcPr>
          <w:p>
            <w:pPr>
              <w:spacing w:after="0"/>
              <w:jc w:val="left"/>
            </w:pPr>
            <w:r>
              <w:rPr>
                <w:rFonts w:ascii="Calibri" w:hAnsi="Calibri"/>
                <w:b/>
                <w:i w:val="0"/>
                <w:color w:val="FFFFFF"/>
                <w:sz w:val="18"/>
              </w:rPr>
              <w:t>Minimum agency questions</w:t>
            </w:r>
          </w:p>
        </w:tc>
      </w:tr>
      <w:tr>
        <w:trPr>
          <w:cantSplit/>
        </w:trPr>
        <w:tc>
          <w:tcPr>
            <w:tcW w:type="dxa" w:w="2350"/>
            <w:tcMar>
              <w:top w:w="100" w:type="dxa"/>
              <w:start w:w="140" w:type="dxa"/>
              <w:bottom w:w="100" w:type="dxa"/>
              <w:end w:w="140" w:type="dxa"/>
            </w:tcMar>
            <w:vAlign w:val="center"/>
          </w:tcPr>
          <w:p>
            <w:pPr>
              <w:spacing w:after="0" w:line="264" w:lineRule="auto"/>
            </w:pPr>
            <w:r>
              <w:rPr>
                <w:rFonts w:ascii="Calibri" w:hAnsi="Calibri"/>
                <w:b/>
                <w:i w:val="0"/>
                <w:color w:val="172033"/>
                <w:sz w:val="17"/>
              </w:rPr>
              <w:t>Purpose and consent</w:t>
            </w:r>
          </w:p>
        </w:tc>
        <w:tc>
          <w:tcPr>
            <w:tcW w:type="dxa" w:w="7010"/>
            <w:tcMar>
              <w:top w:w="100" w:type="dxa"/>
              <w:start w:w="140" w:type="dxa"/>
              <w:bottom w:w="100" w:type="dxa"/>
              <w:end w:w="140" w:type="dxa"/>
            </w:tcMar>
            <w:vAlign w:val="center"/>
          </w:tcPr>
          <w:p>
            <w:pPr>
              <w:spacing w:after="0" w:line="264" w:lineRule="auto"/>
            </w:pPr>
            <w:r>
              <w:rPr>
                <w:rFonts w:ascii="Calibri" w:hAnsi="Calibri"/>
                <w:b w:val="0"/>
                <w:i w:val="0"/>
                <w:color w:val="172033"/>
                <w:sz w:val="17"/>
              </w:rPr>
              <w:t>What is collected, why, under what authority, who can see it, and what alternatives exist?</w:t>
            </w:r>
          </w:p>
        </w:tc>
      </w:tr>
      <w:tr>
        <w:trPr>
          <w:cantSplit/>
        </w:trPr>
        <w:tc>
          <w:tcPr>
            <w:tcW w:type="dxa" w:w="2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Data minimization</w:t>
            </w:r>
          </w:p>
        </w:tc>
        <w:tc>
          <w:tcPr>
            <w:tcW w:type="dxa" w:w="70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Which fields are essential? How long are records retained? How are exports and deletion handled?</w:t>
            </w:r>
          </w:p>
        </w:tc>
      </w:tr>
      <w:tr>
        <w:trPr>
          <w:cantSplit/>
        </w:trPr>
        <w:tc>
          <w:tcPr>
            <w:tcW w:type="dxa" w:w="2350"/>
            <w:tcMar>
              <w:top w:w="100" w:type="dxa"/>
              <w:start w:w="140" w:type="dxa"/>
              <w:bottom w:w="100" w:type="dxa"/>
              <w:end w:w="140" w:type="dxa"/>
            </w:tcMar>
            <w:vAlign w:val="center"/>
          </w:tcPr>
          <w:p>
            <w:pPr>
              <w:spacing w:after="0" w:line="264" w:lineRule="auto"/>
            </w:pPr>
            <w:r>
              <w:rPr>
                <w:rFonts w:ascii="Calibri" w:hAnsi="Calibri"/>
                <w:b/>
                <w:i w:val="0"/>
                <w:color w:val="172033"/>
                <w:sz w:val="17"/>
              </w:rPr>
              <w:t>Roles and permissions</w:t>
            </w:r>
          </w:p>
        </w:tc>
        <w:tc>
          <w:tcPr>
            <w:tcW w:type="dxa" w:w="7010"/>
            <w:tcMar>
              <w:top w:w="100" w:type="dxa"/>
              <w:start w:w="140" w:type="dxa"/>
              <w:bottom w:w="100" w:type="dxa"/>
              <w:end w:w="140" w:type="dxa"/>
            </w:tcMar>
            <w:vAlign w:val="center"/>
          </w:tcPr>
          <w:p>
            <w:pPr>
              <w:spacing w:after="0" w:line="264" w:lineRule="auto"/>
            </w:pPr>
            <w:r>
              <w:rPr>
                <w:rFonts w:ascii="Calibri" w:hAnsi="Calibri"/>
                <w:b w:val="0"/>
                <w:i w:val="0"/>
                <w:color w:val="172033"/>
                <w:sz w:val="17"/>
              </w:rPr>
              <w:t>What can participants, navigators, supervisors, partners, employers, and administrators access?</w:t>
            </w:r>
          </w:p>
        </w:tc>
      </w:tr>
      <w:tr>
        <w:trPr>
          <w:cantSplit/>
        </w:trPr>
        <w:tc>
          <w:tcPr>
            <w:tcW w:type="dxa" w:w="2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Accessibility</w:t>
            </w:r>
          </w:p>
        </w:tc>
        <w:tc>
          <w:tcPr>
            <w:tcW w:type="dxa" w:w="70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Does the full journey work with assistive technology, alternative input, captions, language support, and staff assistance?</w:t>
            </w:r>
          </w:p>
        </w:tc>
      </w:tr>
      <w:tr>
        <w:trPr>
          <w:cantSplit/>
        </w:trPr>
        <w:tc>
          <w:tcPr>
            <w:tcW w:type="dxa" w:w="2350"/>
            <w:tcMar>
              <w:top w:w="100" w:type="dxa"/>
              <w:start w:w="140" w:type="dxa"/>
              <w:bottom w:w="100" w:type="dxa"/>
              <w:end w:w="140" w:type="dxa"/>
            </w:tcMar>
            <w:vAlign w:val="center"/>
          </w:tcPr>
          <w:p>
            <w:pPr>
              <w:spacing w:after="0" w:line="264" w:lineRule="auto"/>
            </w:pPr>
            <w:r>
              <w:rPr>
                <w:rFonts w:ascii="Calibri" w:hAnsi="Calibri"/>
                <w:b/>
                <w:i w:val="0"/>
                <w:color w:val="172033"/>
                <w:sz w:val="17"/>
              </w:rPr>
              <w:t>AI oversight</w:t>
            </w:r>
          </w:p>
        </w:tc>
        <w:tc>
          <w:tcPr>
            <w:tcW w:type="dxa" w:w="7010"/>
            <w:tcMar>
              <w:top w:w="100" w:type="dxa"/>
              <w:start w:w="140" w:type="dxa"/>
              <w:bottom w:w="100" w:type="dxa"/>
              <w:end w:w="140" w:type="dxa"/>
            </w:tcMar>
            <w:vAlign w:val="center"/>
          </w:tcPr>
          <w:p>
            <w:pPr>
              <w:spacing w:after="0" w:line="264" w:lineRule="auto"/>
            </w:pPr>
            <w:r>
              <w:rPr>
                <w:rFonts w:ascii="Calibri" w:hAnsi="Calibri"/>
                <w:b w:val="0"/>
                <w:i w:val="0"/>
                <w:color w:val="172033"/>
                <w:sz w:val="17"/>
              </w:rPr>
              <w:t>Where is AI used? What decisions are prohibited? How are outputs reviewed, logged, challenged, and corrected?</w:t>
            </w:r>
          </w:p>
        </w:tc>
      </w:tr>
      <w:tr>
        <w:trPr>
          <w:cantSplit/>
        </w:trPr>
        <w:tc>
          <w:tcPr>
            <w:tcW w:type="dxa" w:w="2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Equity monitoring</w:t>
            </w:r>
          </w:p>
        </w:tc>
        <w:tc>
          <w:tcPr>
            <w:tcW w:type="dxa" w:w="70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Do completion, recommendation, referral, and outcome patterns differ? What remediation is available?</w:t>
            </w:r>
          </w:p>
        </w:tc>
      </w:tr>
      <w:tr>
        <w:trPr>
          <w:cantSplit/>
        </w:trPr>
        <w:tc>
          <w:tcPr>
            <w:tcW w:type="dxa" w:w="2350"/>
            <w:tcMar>
              <w:top w:w="100" w:type="dxa"/>
              <w:start w:w="140" w:type="dxa"/>
              <w:bottom w:w="100" w:type="dxa"/>
              <w:end w:w="140" w:type="dxa"/>
            </w:tcMar>
            <w:vAlign w:val="center"/>
          </w:tcPr>
          <w:p>
            <w:pPr>
              <w:spacing w:after="0" w:line="264" w:lineRule="auto"/>
            </w:pPr>
            <w:r>
              <w:rPr>
                <w:rFonts w:ascii="Calibri" w:hAnsi="Calibri"/>
                <w:b/>
                <w:i w:val="0"/>
                <w:color w:val="172033"/>
                <w:sz w:val="17"/>
              </w:rPr>
              <w:t>Security and vendors</w:t>
            </w:r>
          </w:p>
        </w:tc>
        <w:tc>
          <w:tcPr>
            <w:tcW w:type="dxa" w:w="7010"/>
            <w:tcMar>
              <w:top w:w="100" w:type="dxa"/>
              <w:start w:w="140" w:type="dxa"/>
              <w:bottom w:w="100" w:type="dxa"/>
              <w:end w:w="140" w:type="dxa"/>
            </w:tcMar>
            <w:vAlign w:val="center"/>
          </w:tcPr>
          <w:p>
            <w:pPr>
              <w:spacing w:after="0" w:line="264" w:lineRule="auto"/>
            </w:pPr>
            <w:r>
              <w:rPr>
                <w:rFonts w:ascii="Calibri" w:hAnsi="Calibri"/>
                <w:b w:val="0"/>
                <w:i w:val="0"/>
                <w:color w:val="172033"/>
                <w:sz w:val="17"/>
              </w:rPr>
              <w:t>What contractual, technical, incident-response, backup, and subcontractor controls apply?</w:t>
            </w:r>
          </w:p>
        </w:tc>
      </w:tr>
      <w:tr>
        <w:trPr>
          <w:cantSplit/>
        </w:trPr>
        <w:tc>
          <w:tcPr>
            <w:tcW w:type="dxa" w:w="2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Participant recourse</w:t>
            </w:r>
          </w:p>
        </w:tc>
        <w:tc>
          <w:tcPr>
            <w:tcW w:type="dxa" w:w="70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How can a person correct data, request help, obtain an alternative, or challenge a harmful outcome?</w:t>
            </w:r>
          </w:p>
        </w:tc>
      </w:tr>
    </w:tbl>
    <w:p>
      <w:pPr>
        <w:spacing w:after="20"/>
      </w:pPr>
    </w:p>
    <w:p>
      <w:r>
        <w:rPr>
          <w:rFonts w:ascii="Calibri" w:hAnsi="Calibri"/>
          <w:b w:val="0"/>
          <w:i w:val="0"/>
          <w:color w:val="172033"/>
          <w:sz w:val="21"/>
        </w:rPr>
        <w:t>Establish a cross-functional governance group that includes program operations, frontline staff, data/IT, accessibility, legal/privacy, equity, procurement, and participant voice. Review high-impact changes before deployment and at a defined cadence afterward.</w:t>
      </w:r>
    </w:p>
    <w:p>
      <w:r>
        <w:br w:type="page"/>
      </w:r>
    </w:p>
    <w:p>
      <w:pPr>
        <w:pStyle w:val="Kicker"/>
      </w:pPr>
      <w:r>
        <w:rPr>
          <w:rFonts w:ascii="Calibri" w:hAnsi="Calibri"/>
          <w:b/>
          <w:i w:val="0"/>
          <w:color w:val="172033"/>
          <w:sz w:val="20"/>
        </w:rPr>
        <w:t>16 • IMPLEMENTATION</w:t>
      </w:r>
    </w:p>
    <w:p>
      <w:pPr>
        <w:pStyle w:val="Heading1"/>
        <w:keepNext/>
      </w:pPr>
      <w:r>
        <w:rPr>
          <w:rFonts w:ascii="Calibri" w:hAnsi="Calibri"/>
          <w:b w:val="0"/>
          <w:i w:val="0"/>
          <w:color w:val="172033"/>
          <w:sz w:val="36"/>
        </w:rPr>
        <w:t>A 90-day pilot that produces a real scale decision</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350"/>
        <w:gridCol w:w="800"/>
        <w:gridCol w:w="4550"/>
        <w:gridCol w:w="2660"/>
      </w:tblGrid>
      <w:tr>
        <w:trPr>
          <w:tblHeader w:val="true"/>
          <w:cantSplit/>
        </w:trPr>
        <w:tc>
          <w:tcPr>
            <w:tcW w:type="dxa" w:w="1350"/>
            <w:tcMar>
              <w:top w:w="100" w:type="dxa"/>
              <w:start w:w="140" w:type="dxa"/>
              <w:bottom w:w="100" w:type="dxa"/>
              <w:end w:w="140" w:type="dxa"/>
            </w:tcMar>
            <w:vAlign w:val="center"/>
            <w:shd w:fill="0B1F3A"/>
          </w:tcPr>
          <w:p>
            <w:pPr>
              <w:spacing w:after="0"/>
              <w:jc w:val="left"/>
            </w:pPr>
            <w:r>
              <w:rPr>
                <w:rFonts w:ascii="Calibri" w:hAnsi="Calibri"/>
                <w:b/>
                <w:i w:val="0"/>
                <w:color w:val="FFFFFF"/>
                <w:sz w:val="18"/>
              </w:rPr>
              <w:t>Phase</w:t>
            </w:r>
          </w:p>
        </w:tc>
        <w:tc>
          <w:tcPr>
            <w:tcW w:type="dxa" w:w="800"/>
            <w:tcMar>
              <w:top w:w="100" w:type="dxa"/>
              <w:start w:w="140" w:type="dxa"/>
              <w:bottom w:w="100" w:type="dxa"/>
              <w:end w:w="140" w:type="dxa"/>
            </w:tcMar>
            <w:vAlign w:val="center"/>
            <w:shd w:fill="0B1F3A"/>
          </w:tcPr>
          <w:p>
            <w:pPr>
              <w:spacing w:after="0"/>
              <w:jc w:val="left"/>
            </w:pPr>
            <w:r>
              <w:rPr>
                <w:rFonts w:ascii="Calibri" w:hAnsi="Calibri"/>
                <w:b/>
                <w:i w:val="0"/>
                <w:color w:val="FFFFFF"/>
                <w:sz w:val="18"/>
              </w:rPr>
              <w:t>Weeks</w:t>
            </w:r>
          </w:p>
        </w:tc>
        <w:tc>
          <w:tcPr>
            <w:tcW w:type="dxa" w:w="4550"/>
            <w:tcMar>
              <w:top w:w="100" w:type="dxa"/>
              <w:start w:w="140" w:type="dxa"/>
              <w:bottom w:w="100" w:type="dxa"/>
              <w:end w:w="140" w:type="dxa"/>
            </w:tcMar>
            <w:vAlign w:val="center"/>
            <w:shd w:fill="0B1F3A"/>
          </w:tcPr>
          <w:p>
            <w:pPr>
              <w:spacing w:after="0"/>
              <w:jc w:val="left"/>
            </w:pPr>
            <w:r>
              <w:rPr>
                <w:rFonts w:ascii="Calibri" w:hAnsi="Calibri"/>
                <w:b/>
                <w:i w:val="0"/>
                <w:color w:val="FFFFFF"/>
                <w:sz w:val="18"/>
              </w:rPr>
              <w:t>Key work</w:t>
            </w:r>
          </w:p>
        </w:tc>
        <w:tc>
          <w:tcPr>
            <w:tcW w:type="dxa" w:w="2660"/>
            <w:tcMar>
              <w:top w:w="100" w:type="dxa"/>
              <w:start w:w="140" w:type="dxa"/>
              <w:bottom w:w="100" w:type="dxa"/>
              <w:end w:w="140" w:type="dxa"/>
            </w:tcMar>
            <w:vAlign w:val="center"/>
            <w:shd w:fill="0B1F3A"/>
          </w:tcPr>
          <w:p>
            <w:pPr>
              <w:spacing w:after="0"/>
              <w:jc w:val="left"/>
            </w:pPr>
            <w:r>
              <w:rPr>
                <w:rFonts w:ascii="Calibri" w:hAnsi="Calibri"/>
                <w:b/>
                <w:i w:val="0"/>
                <w:color w:val="FFFFFF"/>
                <w:sz w:val="18"/>
              </w:rPr>
              <w:t>Exit evidence</w:t>
            </w:r>
          </w:p>
        </w:tc>
      </w:tr>
      <w:tr>
        <w:trPr>
          <w:cantSplit/>
        </w:trPr>
        <w:tc>
          <w:tcPr>
            <w:tcW w:type="dxa" w:w="1350"/>
            <w:tcMar>
              <w:top w:w="100" w:type="dxa"/>
              <w:start w:w="140" w:type="dxa"/>
              <w:bottom w:w="100" w:type="dxa"/>
              <w:end w:w="140" w:type="dxa"/>
            </w:tcMar>
            <w:vAlign w:val="center"/>
          </w:tcPr>
          <w:p>
            <w:pPr>
              <w:spacing w:after="0" w:line="264" w:lineRule="auto"/>
            </w:pPr>
            <w:r>
              <w:rPr>
                <w:rFonts w:ascii="Calibri" w:hAnsi="Calibri"/>
                <w:b/>
                <w:i w:val="0"/>
                <w:color w:val="172033"/>
                <w:sz w:val="16"/>
              </w:rPr>
              <w:t>Align</w:t>
            </w:r>
          </w:p>
        </w:tc>
        <w:tc>
          <w:tcPr>
            <w:tcW w:type="dxa" w:w="800"/>
            <w:tcMar>
              <w:top w:w="100" w:type="dxa"/>
              <w:start w:w="140" w:type="dxa"/>
              <w:bottom w:w="100" w:type="dxa"/>
              <w:end w:w="140" w:type="dxa"/>
            </w:tcMar>
            <w:vAlign w:val="center"/>
          </w:tcPr>
          <w:p>
            <w:pPr>
              <w:spacing w:after="0" w:line="264" w:lineRule="auto"/>
            </w:pPr>
            <w:r>
              <w:rPr>
                <w:rFonts w:ascii="Calibri" w:hAnsi="Calibri"/>
                <w:b w:val="0"/>
                <w:i w:val="0"/>
                <w:color w:val="172033"/>
                <w:sz w:val="16"/>
              </w:rPr>
              <w:t>1–2</w:t>
            </w:r>
          </w:p>
        </w:tc>
        <w:tc>
          <w:tcPr>
            <w:tcW w:type="dxa" w:w="4550"/>
            <w:tcMar>
              <w:top w:w="100" w:type="dxa"/>
              <w:start w:w="140" w:type="dxa"/>
              <w:bottom w:w="100" w:type="dxa"/>
              <w:end w:w="140" w:type="dxa"/>
            </w:tcMar>
            <w:vAlign w:val="center"/>
          </w:tcPr>
          <w:p>
            <w:pPr>
              <w:spacing w:after="0" w:line="264" w:lineRule="auto"/>
            </w:pPr>
            <w:r>
              <w:rPr>
                <w:rFonts w:ascii="Calibri" w:hAnsi="Calibri"/>
                <w:b w:val="0"/>
                <w:i w:val="0"/>
                <w:color w:val="172033"/>
                <w:sz w:val="16"/>
              </w:rPr>
              <w:t>Sponsor, population, sites, outcomes, workflow, governance, baseline, participant voice</w:t>
            </w:r>
          </w:p>
        </w:tc>
        <w:tc>
          <w:tcPr>
            <w:tcW w:type="dxa" w:w="2660"/>
            <w:tcMar>
              <w:top w:w="100" w:type="dxa"/>
              <w:start w:w="140" w:type="dxa"/>
              <w:bottom w:w="100" w:type="dxa"/>
              <w:end w:w="140" w:type="dxa"/>
            </w:tcMar>
            <w:vAlign w:val="center"/>
          </w:tcPr>
          <w:p>
            <w:pPr>
              <w:spacing w:after="0" w:line="264" w:lineRule="auto"/>
            </w:pPr>
            <w:r>
              <w:rPr>
                <w:rFonts w:ascii="Calibri" w:hAnsi="Calibri"/>
                <w:b w:val="0"/>
                <w:i w:val="0"/>
                <w:color w:val="172033"/>
                <w:sz w:val="16"/>
              </w:rPr>
              <w:t>Charter, RACI, measures, risk register</w:t>
            </w:r>
          </w:p>
        </w:tc>
      </w:tr>
      <w:tr>
        <w:trPr>
          <w:cantSplit/>
        </w:trPr>
        <w:tc>
          <w:tcPr>
            <w:tcW w:type="dxa" w:w="1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6"/>
              </w:rPr>
              <w:t>Configure</w:t>
            </w:r>
          </w:p>
        </w:tc>
        <w:tc>
          <w:tcPr>
            <w:tcW w:type="dxa" w:w="8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3–4</w:t>
            </w:r>
          </w:p>
        </w:tc>
        <w:tc>
          <w:tcPr>
            <w:tcW w:type="dxa" w:w="45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Branding, roles, invitations, service tiers, language/accessibility, integrations, content</w:t>
            </w:r>
          </w:p>
        </w:tc>
        <w:tc>
          <w:tcPr>
            <w:tcW w:type="dxa" w:w="2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Test environment and approved participant journey</w:t>
            </w:r>
          </w:p>
        </w:tc>
      </w:tr>
      <w:tr>
        <w:trPr>
          <w:cantSplit/>
        </w:trPr>
        <w:tc>
          <w:tcPr>
            <w:tcW w:type="dxa" w:w="1350"/>
            <w:tcMar>
              <w:top w:w="100" w:type="dxa"/>
              <w:start w:w="140" w:type="dxa"/>
              <w:bottom w:w="100" w:type="dxa"/>
              <w:end w:w="140" w:type="dxa"/>
            </w:tcMar>
            <w:vAlign w:val="center"/>
          </w:tcPr>
          <w:p>
            <w:pPr>
              <w:spacing w:after="0" w:line="264" w:lineRule="auto"/>
            </w:pPr>
            <w:r>
              <w:rPr>
                <w:rFonts w:ascii="Calibri" w:hAnsi="Calibri"/>
                <w:b/>
                <w:i w:val="0"/>
                <w:color w:val="172033"/>
                <w:sz w:val="16"/>
              </w:rPr>
              <w:t>Prepare</w:t>
            </w:r>
          </w:p>
        </w:tc>
        <w:tc>
          <w:tcPr>
            <w:tcW w:type="dxa" w:w="800"/>
            <w:tcMar>
              <w:top w:w="100" w:type="dxa"/>
              <w:start w:w="140" w:type="dxa"/>
              <w:bottom w:w="100" w:type="dxa"/>
              <w:end w:w="140" w:type="dxa"/>
            </w:tcMar>
            <w:vAlign w:val="center"/>
          </w:tcPr>
          <w:p>
            <w:pPr>
              <w:spacing w:after="0" w:line="264" w:lineRule="auto"/>
            </w:pPr>
            <w:r>
              <w:rPr>
                <w:rFonts w:ascii="Calibri" w:hAnsi="Calibri"/>
                <w:b w:val="0"/>
                <w:i w:val="0"/>
                <w:color w:val="172033"/>
                <w:sz w:val="16"/>
              </w:rPr>
              <w:t>5–6</w:t>
            </w:r>
          </w:p>
        </w:tc>
        <w:tc>
          <w:tcPr>
            <w:tcW w:type="dxa" w:w="4550"/>
            <w:tcMar>
              <w:top w:w="100" w:type="dxa"/>
              <w:start w:w="140" w:type="dxa"/>
              <w:bottom w:w="100" w:type="dxa"/>
              <w:end w:w="140" w:type="dxa"/>
            </w:tcMar>
            <w:vAlign w:val="center"/>
          </w:tcPr>
          <w:p>
            <w:pPr>
              <w:spacing w:after="0" w:line="264" w:lineRule="auto"/>
            </w:pPr>
            <w:r>
              <w:rPr>
                <w:rFonts w:ascii="Calibri" w:hAnsi="Calibri"/>
                <w:b w:val="0"/>
                <w:i w:val="0"/>
                <w:color w:val="172033"/>
                <w:sz w:val="16"/>
              </w:rPr>
              <w:t>Staff training, scripts, escalation, quality rubrics, data validation, support plan</w:t>
            </w:r>
          </w:p>
        </w:tc>
        <w:tc>
          <w:tcPr>
            <w:tcW w:type="dxa" w:w="2660"/>
            <w:tcMar>
              <w:top w:w="100" w:type="dxa"/>
              <w:start w:w="140" w:type="dxa"/>
              <w:bottom w:w="100" w:type="dxa"/>
              <w:end w:w="140" w:type="dxa"/>
            </w:tcMar>
            <w:vAlign w:val="center"/>
          </w:tcPr>
          <w:p>
            <w:pPr>
              <w:spacing w:after="0" w:line="264" w:lineRule="auto"/>
            </w:pPr>
            <w:r>
              <w:rPr>
                <w:rFonts w:ascii="Calibri" w:hAnsi="Calibri"/>
                <w:b w:val="0"/>
                <w:i w:val="0"/>
                <w:color w:val="172033"/>
                <w:sz w:val="16"/>
              </w:rPr>
              <w:t>Certified pilot team and dry-run findings closed</w:t>
            </w:r>
          </w:p>
        </w:tc>
      </w:tr>
      <w:tr>
        <w:trPr>
          <w:cantSplit/>
        </w:trPr>
        <w:tc>
          <w:tcPr>
            <w:tcW w:type="dxa" w:w="1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6"/>
              </w:rPr>
              <w:t>Launch</w:t>
            </w:r>
          </w:p>
        </w:tc>
        <w:tc>
          <w:tcPr>
            <w:tcW w:type="dxa" w:w="8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7–10</w:t>
            </w:r>
          </w:p>
        </w:tc>
        <w:tc>
          <w:tcPr>
            <w:tcW w:type="dxa" w:w="45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Cohort activation, guided completion, navigator review, career/education/job actions</w:t>
            </w:r>
          </w:p>
        </w:tc>
        <w:tc>
          <w:tcPr>
            <w:tcW w:type="dxa" w:w="2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Funnel data, observations, issues, participant feedback</w:t>
            </w:r>
          </w:p>
        </w:tc>
      </w:tr>
      <w:tr>
        <w:trPr>
          <w:cantSplit/>
        </w:trPr>
        <w:tc>
          <w:tcPr>
            <w:tcW w:type="dxa" w:w="1350"/>
            <w:tcMar>
              <w:top w:w="100" w:type="dxa"/>
              <w:start w:w="140" w:type="dxa"/>
              <w:bottom w:w="100" w:type="dxa"/>
              <w:end w:w="140" w:type="dxa"/>
            </w:tcMar>
            <w:vAlign w:val="center"/>
          </w:tcPr>
          <w:p>
            <w:pPr>
              <w:spacing w:after="0" w:line="264" w:lineRule="auto"/>
            </w:pPr>
            <w:r>
              <w:rPr>
                <w:rFonts w:ascii="Calibri" w:hAnsi="Calibri"/>
                <w:b/>
                <w:i w:val="0"/>
                <w:color w:val="172033"/>
                <w:sz w:val="16"/>
              </w:rPr>
              <w:t>Evaluate</w:t>
            </w:r>
          </w:p>
        </w:tc>
        <w:tc>
          <w:tcPr>
            <w:tcW w:type="dxa" w:w="800"/>
            <w:tcMar>
              <w:top w:w="100" w:type="dxa"/>
              <w:start w:w="140" w:type="dxa"/>
              <w:bottom w:w="100" w:type="dxa"/>
              <w:end w:w="140" w:type="dxa"/>
            </w:tcMar>
            <w:vAlign w:val="center"/>
          </w:tcPr>
          <w:p>
            <w:pPr>
              <w:spacing w:after="0" w:line="264" w:lineRule="auto"/>
            </w:pPr>
            <w:r>
              <w:rPr>
                <w:rFonts w:ascii="Calibri" w:hAnsi="Calibri"/>
                <w:b w:val="0"/>
                <w:i w:val="0"/>
                <w:color w:val="172033"/>
                <w:sz w:val="16"/>
              </w:rPr>
              <w:t>11–12</w:t>
            </w:r>
          </w:p>
        </w:tc>
        <w:tc>
          <w:tcPr>
            <w:tcW w:type="dxa" w:w="4550"/>
            <w:tcMar>
              <w:top w:w="100" w:type="dxa"/>
              <w:start w:w="140" w:type="dxa"/>
              <w:bottom w:w="100" w:type="dxa"/>
              <w:end w:w="140" w:type="dxa"/>
            </w:tcMar>
            <w:vAlign w:val="center"/>
          </w:tcPr>
          <w:p>
            <w:pPr>
              <w:spacing w:after="0" w:line="264" w:lineRule="auto"/>
            </w:pPr>
            <w:r>
              <w:rPr>
                <w:rFonts w:ascii="Calibri" w:hAnsi="Calibri"/>
                <w:b w:val="0"/>
                <w:i w:val="0"/>
                <w:color w:val="172033"/>
                <w:sz w:val="16"/>
              </w:rPr>
              <w:t>Outcome review, equity analysis, staff/employer feedback, cost and capacity</w:t>
            </w:r>
          </w:p>
        </w:tc>
        <w:tc>
          <w:tcPr>
            <w:tcW w:type="dxa" w:w="2660"/>
            <w:tcMar>
              <w:top w:w="100" w:type="dxa"/>
              <w:start w:w="140" w:type="dxa"/>
              <w:bottom w:w="100" w:type="dxa"/>
              <w:end w:w="140" w:type="dxa"/>
            </w:tcMar>
            <w:vAlign w:val="center"/>
          </w:tcPr>
          <w:p>
            <w:pPr>
              <w:spacing w:after="0" w:line="264" w:lineRule="auto"/>
            </w:pPr>
            <w:r>
              <w:rPr>
                <w:rFonts w:ascii="Calibri" w:hAnsi="Calibri"/>
                <w:b w:val="0"/>
                <w:i w:val="0"/>
                <w:color w:val="172033"/>
                <w:sz w:val="16"/>
              </w:rPr>
              <w:t>Scale/modify/stop recommendation and backlog</w:t>
            </w:r>
          </w:p>
        </w:tc>
      </w:tr>
      <w:tr>
        <w:trPr>
          <w:cantSplit/>
        </w:trPr>
        <w:tc>
          <w:tcPr>
            <w:tcW w:type="dxa" w:w="1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6"/>
              </w:rPr>
              <w:t>Decide</w:t>
            </w:r>
          </w:p>
        </w:tc>
        <w:tc>
          <w:tcPr>
            <w:tcW w:type="dxa" w:w="8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13</w:t>
            </w:r>
          </w:p>
        </w:tc>
        <w:tc>
          <w:tcPr>
            <w:tcW w:type="dxa" w:w="455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Executive review of evidence, risks, resources, procurement, roadmap</w:t>
            </w:r>
          </w:p>
        </w:tc>
        <w:tc>
          <w:tcPr>
            <w:tcW w:type="dxa" w:w="26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6"/>
              </w:rPr>
              <w:t>Documented decision, owner, timeline, controls</w:t>
            </w:r>
          </w:p>
        </w:tc>
      </w:tr>
    </w:tbl>
    <w:p>
      <w:pPr>
        <w:spacing w:after="20"/>
      </w:pPr>
    </w:p>
    <w:p>
      <w:pPr>
        <w:pStyle w:val="Heading2"/>
      </w:pPr>
      <w:r>
        <w:rPr>
          <w:rFonts w:ascii="Calibri" w:hAnsi="Calibri"/>
          <w:b w:val="0"/>
          <w:i w:val="0"/>
          <w:color w:val="172033"/>
          <w:sz w:val="28"/>
        </w:rPr>
        <w:t>Pilot design choices</w:t>
      </w:r>
    </w:p>
    <w:p>
      <w:pPr>
        <w:numPr>
          <w:ilvl w:val="0"/>
          <w:numId w:val="10"/>
        </w:numPr>
      </w:pPr>
      <w:r>
        <w:rPr>
          <w:rFonts w:ascii="Calibri" w:hAnsi="Calibri"/>
          <w:b/>
          <w:i w:val="0"/>
          <w:color w:val="172033"/>
          <w:sz w:val="22"/>
        </w:rPr>
        <w:t xml:space="preserve">Population. </w:t>
      </w:r>
      <w:r>
        <w:rPr>
          <w:rFonts w:ascii="Calibri" w:hAnsi="Calibri"/>
          <w:b w:val="0"/>
          <w:i w:val="0"/>
          <w:color w:val="172033"/>
          <w:sz w:val="22"/>
        </w:rPr>
        <w:t>Choose a bounded cohort large enough to reveal workflow and access issues, not merely enthusiastic volunteers.</w:t>
      </w:r>
    </w:p>
    <w:p>
      <w:pPr>
        <w:numPr>
          <w:ilvl w:val="0"/>
          <w:numId w:val="10"/>
        </w:numPr>
      </w:pPr>
      <w:r>
        <w:rPr>
          <w:rFonts w:ascii="Calibri" w:hAnsi="Calibri"/>
          <w:b/>
          <w:i w:val="0"/>
          <w:color w:val="172033"/>
          <w:sz w:val="22"/>
        </w:rPr>
        <w:t xml:space="preserve">Sites. </w:t>
      </w:r>
      <w:r>
        <w:rPr>
          <w:rFonts w:ascii="Calibri" w:hAnsi="Calibri"/>
          <w:b w:val="0"/>
          <w:i w:val="0"/>
          <w:color w:val="172033"/>
          <w:sz w:val="22"/>
        </w:rPr>
        <w:t>Include at least one environment with realistic staffing, device, language, or connectivity constraints.</w:t>
      </w:r>
    </w:p>
    <w:p>
      <w:pPr>
        <w:numPr>
          <w:ilvl w:val="0"/>
          <w:numId w:val="10"/>
        </w:numPr>
      </w:pPr>
      <w:r>
        <w:rPr>
          <w:rFonts w:ascii="Calibri" w:hAnsi="Calibri"/>
          <w:b/>
          <w:i w:val="0"/>
          <w:color w:val="172033"/>
          <w:sz w:val="22"/>
        </w:rPr>
        <w:t xml:space="preserve">Service tier. </w:t>
      </w:r>
      <w:r>
        <w:rPr>
          <w:rFonts w:ascii="Calibri" w:hAnsi="Calibri"/>
          <w:b w:val="0"/>
          <w:i w:val="0"/>
          <w:color w:val="172033"/>
          <w:sz w:val="22"/>
        </w:rPr>
        <w:t>Test both self-service and staff-assisted experiences with clear escalation criteria.</w:t>
      </w:r>
    </w:p>
    <w:p>
      <w:pPr>
        <w:numPr>
          <w:ilvl w:val="0"/>
          <w:numId w:val="10"/>
        </w:numPr>
      </w:pPr>
      <w:r>
        <w:rPr>
          <w:rFonts w:ascii="Calibri" w:hAnsi="Calibri"/>
          <w:b/>
          <w:i w:val="0"/>
          <w:color w:val="172033"/>
          <w:sz w:val="22"/>
        </w:rPr>
        <w:t xml:space="preserve">Success criteria. </w:t>
      </w:r>
      <w:r>
        <w:rPr>
          <w:rFonts w:ascii="Calibri" w:hAnsi="Calibri"/>
          <w:b w:val="0"/>
          <w:i w:val="0"/>
          <w:color w:val="172033"/>
          <w:sz w:val="22"/>
        </w:rPr>
        <w:t>Combine adoption, plan quality, participant experience, navigator time, equity, and downstream action.</w:t>
      </w:r>
    </w:p>
    <w:p>
      <w:pPr>
        <w:numPr>
          <w:ilvl w:val="0"/>
          <w:numId w:val="10"/>
        </w:numPr>
      </w:pPr>
      <w:r>
        <w:rPr>
          <w:rFonts w:ascii="Calibri" w:hAnsi="Calibri"/>
          <w:b/>
          <w:i w:val="0"/>
          <w:color w:val="172033"/>
          <w:sz w:val="22"/>
        </w:rPr>
        <w:t xml:space="preserve">Control. </w:t>
      </w:r>
      <w:r>
        <w:rPr>
          <w:rFonts w:ascii="Calibri" w:hAnsi="Calibri"/>
          <w:b w:val="0"/>
          <w:i w:val="0"/>
          <w:color w:val="172033"/>
          <w:sz w:val="22"/>
        </w:rPr>
        <w:t>Use historical baseline, matched comparison, phased rollout, or another feasible design.</w:t>
      </w:r>
    </w:p>
    <w:p>
      <w:pPr>
        <w:numPr>
          <w:ilvl w:val="0"/>
          <w:numId w:val="10"/>
        </w:numPr>
      </w:pPr>
      <w:r>
        <w:rPr>
          <w:rFonts w:ascii="Calibri" w:hAnsi="Calibri"/>
          <w:b/>
          <w:i w:val="0"/>
          <w:color w:val="172033"/>
          <w:sz w:val="22"/>
        </w:rPr>
        <w:t xml:space="preserve">Decision rights. </w:t>
      </w:r>
      <w:r>
        <w:rPr>
          <w:rFonts w:ascii="Calibri" w:hAnsi="Calibri"/>
          <w:b w:val="0"/>
          <w:i w:val="0"/>
          <w:color w:val="172033"/>
          <w:sz w:val="22"/>
        </w:rPr>
        <w:t>Name who can approve configuration, pause the pilot, accept risk, and authorize expansion.</w:t>
      </w:r>
    </w:p>
    <w:tbl>
      <w:tblPr>
        <w:tblW w:type="dxa" w:w="9360"/>
        <w:tblLayout w:type="fixed"/>
        <w:tblLook w:firstColumn="1" w:firstRow="1" w:lastColumn="0" w:lastRow="0" w:noHBand="0" w:noVBand="1" w:val="04A0"/>
        <w:tblInd w:w="120" w:type="dxa"/>
        <w:tblBorders>
          <w:top w:val="single" w:sz="10" w:space="0" w:color="F4C400"/>
          <w:left w:val="single" w:sz="10" w:space="0" w:color="F4C400"/>
          <w:bottom w:val="single" w:sz="10" w:space="0" w:color="F4C400"/>
          <w:right w:val="single" w:sz="10" w:space="0" w:color="F4C400"/>
          <w:insideH w:val="single" w:sz="10" w:space="0" w:color="F4C400"/>
          <w:insideV w:val="single" w:sz="10" w:space="0" w:color="F4C400"/>
        </w:tblBorders>
      </w:tblPr>
      <w:tblGrid>
        <w:gridCol w:w="9360"/>
      </w:tblGrid>
      <w:t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4"/>
              </w:rPr>
              <w:t>Discuss an agency implementation</w:t>
            </w:r>
          </w:p>
          <w:p>
            <w:pPr>
              <w:spacing w:after="80"/>
            </w:pPr>
            <w:r>
              <w:rPr>
                <w:rFonts w:ascii="Calibri" w:hAnsi="Calibri"/>
                <w:b w:val="0"/>
                <w:i w:val="0"/>
                <w:color w:val="172033"/>
                <w:sz w:val="20"/>
              </w:rPr>
              <w:t>Bring your population, sites, integrations, service model, and outcome priorities to a solution conversation.</w:t>
            </w:r>
          </w:p>
          <w:p>
            <w:pPr>
              <w:spacing w:after="0"/>
            </w:pPr>
            <w:hyperlink r:id="rId16">
              <w:r>
                <w:rPr>
                  <w:color w:val="2E6BE6"/>
                  <w:u w:val="single"/>
                  <w:rFonts w:ascii="Calibri" w:hAnsi="Calibri"/>
                  <w:sz w:val="20"/>
                </w:rPr>
                <w:t>Contact Assessment.com  →</w:t>
              </w:r>
            </w:hyperlink>
          </w:p>
        </w:tc>
      </w:tr>
    </w:tbl>
    <w:p>
      <w:pPr>
        <w:spacing w:after="20"/>
      </w:pPr>
    </w:p>
    <w:p>
      <w:pPr>
        <w:pStyle w:val="Kicker"/>
      </w:pPr>
      <w:r>
        <w:rPr>
          <w:rFonts w:ascii="Calibri" w:hAnsi="Calibri"/>
          <w:b/>
          <w:i w:val="0"/>
          <w:color w:val="172033"/>
          <w:sz w:val="20"/>
        </w:rPr>
        <w:t>17 • PROCUREMENT AND TECHNICAL READINESS</w:t>
      </w:r>
    </w:p>
    <w:p>
      <w:pPr>
        <w:pStyle w:val="Heading1"/>
        <w:keepNext/>
      </w:pPr>
      <w:r>
        <w:rPr>
          <w:rFonts w:ascii="Calibri" w:hAnsi="Calibri"/>
          <w:b w:val="0"/>
          <w:i w:val="0"/>
          <w:color w:val="172033"/>
          <w:sz w:val="36"/>
        </w:rPr>
        <w:t>Questions to resolve before an enterprise commitment</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350"/>
        <w:gridCol w:w="7010"/>
      </w:tblGrid>
      <w:tr>
        <w:trPr>
          <w:tblHeader w:val="true"/>
          <w:cantSplit/>
        </w:trPr>
        <w:tc>
          <w:tcPr>
            <w:tcW w:type="dxa" w:w="2350"/>
            <w:tcMar>
              <w:top w:w="100" w:type="dxa"/>
              <w:start w:w="140" w:type="dxa"/>
              <w:bottom w:w="100" w:type="dxa"/>
              <w:end w:w="140" w:type="dxa"/>
            </w:tcMar>
            <w:vAlign w:val="center"/>
            <w:shd w:fill="0B1F3A"/>
          </w:tcPr>
          <w:p>
            <w:pPr>
              <w:spacing w:after="0"/>
              <w:jc w:val="left"/>
            </w:pPr>
            <w:r>
              <w:rPr>
                <w:rFonts w:ascii="Calibri" w:hAnsi="Calibri"/>
                <w:b/>
                <w:i w:val="0"/>
                <w:color w:val="FFFFFF"/>
                <w:sz w:val="18"/>
              </w:rPr>
              <w:t>Domain</w:t>
            </w:r>
          </w:p>
        </w:tc>
        <w:tc>
          <w:tcPr>
            <w:tcW w:type="dxa" w:w="7010"/>
            <w:tcMar>
              <w:top w:w="100" w:type="dxa"/>
              <w:start w:w="140" w:type="dxa"/>
              <w:bottom w:w="100" w:type="dxa"/>
              <w:end w:w="140" w:type="dxa"/>
            </w:tcMar>
            <w:vAlign w:val="center"/>
            <w:shd w:fill="0B1F3A"/>
          </w:tcPr>
          <w:p>
            <w:pPr>
              <w:spacing w:after="0"/>
              <w:jc w:val="left"/>
            </w:pPr>
            <w:r>
              <w:rPr>
                <w:rFonts w:ascii="Calibri" w:hAnsi="Calibri"/>
                <w:b/>
                <w:i w:val="0"/>
                <w:color w:val="FFFFFF"/>
                <w:sz w:val="18"/>
              </w:rPr>
              <w:t>Due-diligence questions</w:t>
            </w:r>
          </w:p>
        </w:tc>
      </w:tr>
      <w:tr>
        <w:trPr>
          <w:cantSplit/>
        </w:trPr>
        <w:tc>
          <w:tcPr>
            <w:tcW w:type="dxa" w:w="2350"/>
            <w:tcMar>
              <w:top w:w="100" w:type="dxa"/>
              <w:start w:w="140" w:type="dxa"/>
              <w:bottom w:w="100" w:type="dxa"/>
              <w:end w:w="140" w:type="dxa"/>
            </w:tcMar>
            <w:vAlign w:val="center"/>
          </w:tcPr>
          <w:p>
            <w:pPr>
              <w:spacing w:after="0" w:line="264" w:lineRule="auto"/>
            </w:pPr>
            <w:r>
              <w:rPr>
                <w:rFonts w:ascii="Calibri" w:hAnsi="Calibri"/>
                <w:b/>
                <w:i w:val="0"/>
                <w:color w:val="172033"/>
                <w:sz w:val="17"/>
              </w:rPr>
              <w:t>Licensing and scope</w:t>
            </w:r>
          </w:p>
        </w:tc>
        <w:tc>
          <w:tcPr>
            <w:tcW w:type="dxa" w:w="7010"/>
            <w:tcMar>
              <w:top w:w="100" w:type="dxa"/>
              <w:start w:w="140" w:type="dxa"/>
              <w:bottom w:w="100" w:type="dxa"/>
              <w:end w:w="140" w:type="dxa"/>
            </w:tcMar>
            <w:vAlign w:val="center"/>
          </w:tcPr>
          <w:p>
            <w:pPr>
              <w:spacing w:after="0" w:line="264" w:lineRule="auto"/>
            </w:pPr>
            <w:r>
              <w:rPr>
                <w:rFonts w:ascii="Calibri" w:hAnsi="Calibri"/>
                <w:b w:val="0"/>
                <w:i w:val="0"/>
                <w:color w:val="172033"/>
                <w:sz w:val="17"/>
              </w:rPr>
              <w:t>Who is covered? Which features and AI uses are included? How are overages, pilots, renewals, and termination handled?</w:t>
            </w:r>
          </w:p>
        </w:tc>
      </w:tr>
      <w:tr>
        <w:trPr>
          <w:cantSplit/>
        </w:trPr>
        <w:tc>
          <w:tcPr>
            <w:tcW w:type="dxa" w:w="2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Identity and access</w:t>
            </w:r>
          </w:p>
        </w:tc>
        <w:tc>
          <w:tcPr>
            <w:tcW w:type="dxa" w:w="70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SSO? MFA? Role-based permissions? Partner access? Account lifecycle? Participant self-service?</w:t>
            </w:r>
          </w:p>
        </w:tc>
      </w:tr>
      <w:tr>
        <w:trPr>
          <w:cantSplit/>
        </w:trPr>
        <w:tc>
          <w:tcPr>
            <w:tcW w:type="dxa" w:w="2350"/>
            <w:tcMar>
              <w:top w:w="100" w:type="dxa"/>
              <w:start w:w="140" w:type="dxa"/>
              <w:bottom w:w="100" w:type="dxa"/>
              <w:end w:w="140" w:type="dxa"/>
            </w:tcMar>
            <w:vAlign w:val="center"/>
          </w:tcPr>
          <w:p>
            <w:pPr>
              <w:spacing w:after="0" w:line="264" w:lineRule="auto"/>
            </w:pPr>
            <w:r>
              <w:rPr>
                <w:rFonts w:ascii="Calibri" w:hAnsi="Calibri"/>
                <w:b/>
                <w:i w:val="0"/>
                <w:color w:val="172033"/>
                <w:sz w:val="17"/>
              </w:rPr>
              <w:t>Integration</w:t>
            </w:r>
          </w:p>
        </w:tc>
        <w:tc>
          <w:tcPr>
            <w:tcW w:type="dxa" w:w="7010"/>
            <w:tcMar>
              <w:top w:w="100" w:type="dxa"/>
              <w:start w:w="140" w:type="dxa"/>
              <w:bottom w:w="100" w:type="dxa"/>
              <w:end w:w="140" w:type="dxa"/>
            </w:tcMar>
            <w:vAlign w:val="center"/>
          </w:tcPr>
          <w:p>
            <w:pPr>
              <w:spacing w:after="0" w:line="264" w:lineRule="auto"/>
            </w:pPr>
            <w:r>
              <w:rPr>
                <w:rFonts w:ascii="Calibri" w:hAnsi="Calibri"/>
                <w:b w:val="0"/>
                <w:i w:val="0"/>
                <w:color w:val="172033"/>
                <w:sz w:val="17"/>
              </w:rPr>
              <w:t>API scope, documentation, rate limits, webhooks, exports, case-management/CRM/learning-system connections?</w:t>
            </w:r>
          </w:p>
        </w:tc>
      </w:tr>
      <w:tr>
        <w:trPr>
          <w:cantSplit/>
        </w:trPr>
        <w:tc>
          <w:tcPr>
            <w:tcW w:type="dxa" w:w="2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Data</w:t>
            </w:r>
          </w:p>
        </w:tc>
        <w:tc>
          <w:tcPr>
            <w:tcW w:type="dxa" w:w="70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Ownership, location, retention, deletion, portability, backups, disaster recovery, logs, analytics definitions?</w:t>
            </w:r>
          </w:p>
        </w:tc>
      </w:tr>
      <w:tr>
        <w:trPr>
          <w:cantSplit/>
        </w:trPr>
        <w:tc>
          <w:tcPr>
            <w:tcW w:type="dxa" w:w="2350"/>
            <w:tcMar>
              <w:top w:w="100" w:type="dxa"/>
              <w:start w:w="140" w:type="dxa"/>
              <w:bottom w:w="100" w:type="dxa"/>
              <w:end w:w="140" w:type="dxa"/>
            </w:tcMar>
            <w:vAlign w:val="center"/>
          </w:tcPr>
          <w:p>
            <w:pPr>
              <w:spacing w:after="0" w:line="264" w:lineRule="auto"/>
            </w:pPr>
            <w:r>
              <w:rPr>
                <w:rFonts w:ascii="Calibri" w:hAnsi="Calibri"/>
                <w:b/>
                <w:i w:val="0"/>
                <w:color w:val="172033"/>
                <w:sz w:val="17"/>
              </w:rPr>
              <w:t>Security and privacy</w:t>
            </w:r>
          </w:p>
        </w:tc>
        <w:tc>
          <w:tcPr>
            <w:tcW w:type="dxa" w:w="7010"/>
            <w:tcMar>
              <w:top w:w="100" w:type="dxa"/>
              <w:start w:w="140" w:type="dxa"/>
              <w:bottom w:w="100" w:type="dxa"/>
              <w:end w:w="140" w:type="dxa"/>
            </w:tcMar>
            <w:vAlign w:val="center"/>
          </w:tcPr>
          <w:p>
            <w:pPr>
              <w:spacing w:after="0" w:line="264" w:lineRule="auto"/>
            </w:pPr>
            <w:r>
              <w:rPr>
                <w:rFonts w:ascii="Calibri" w:hAnsi="Calibri"/>
                <w:b w:val="0"/>
                <w:i w:val="0"/>
                <w:color w:val="172033"/>
                <w:sz w:val="17"/>
              </w:rPr>
              <w:t>Independent assurance, incident notification, encryption, subprocessors, vulnerability management, public-records needs?</w:t>
            </w:r>
          </w:p>
        </w:tc>
      </w:tr>
      <w:tr>
        <w:trPr>
          <w:cantSplit/>
        </w:trPr>
        <w:tc>
          <w:tcPr>
            <w:tcW w:type="dxa" w:w="2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Accessibility and language</w:t>
            </w:r>
          </w:p>
        </w:tc>
        <w:tc>
          <w:tcPr>
            <w:tcW w:type="dxa" w:w="70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Conformance evidence, testing method, remediation SLAs, supported languages, alternative formats?</w:t>
            </w:r>
          </w:p>
        </w:tc>
      </w:tr>
      <w:tr>
        <w:trPr>
          <w:cantSplit/>
        </w:trPr>
        <w:tc>
          <w:tcPr>
            <w:tcW w:type="dxa" w:w="2350"/>
            <w:tcMar>
              <w:top w:w="100" w:type="dxa"/>
              <w:start w:w="140" w:type="dxa"/>
              <w:bottom w:w="100" w:type="dxa"/>
              <w:end w:w="140" w:type="dxa"/>
            </w:tcMar>
            <w:vAlign w:val="center"/>
          </w:tcPr>
          <w:p>
            <w:pPr>
              <w:spacing w:after="0" w:line="264" w:lineRule="auto"/>
            </w:pPr>
            <w:r>
              <w:rPr>
                <w:rFonts w:ascii="Calibri" w:hAnsi="Calibri"/>
                <w:b/>
                <w:i w:val="0"/>
                <w:color w:val="172033"/>
                <w:sz w:val="17"/>
              </w:rPr>
              <w:t>AI</w:t>
            </w:r>
          </w:p>
        </w:tc>
        <w:tc>
          <w:tcPr>
            <w:tcW w:type="dxa" w:w="7010"/>
            <w:tcMar>
              <w:top w:w="100" w:type="dxa"/>
              <w:start w:w="140" w:type="dxa"/>
              <w:bottom w:w="100" w:type="dxa"/>
              <w:end w:w="140" w:type="dxa"/>
            </w:tcMar>
            <w:vAlign w:val="center"/>
          </w:tcPr>
          <w:p>
            <w:pPr>
              <w:spacing w:after="0" w:line="264" w:lineRule="auto"/>
            </w:pPr>
            <w:r>
              <w:rPr>
                <w:rFonts w:ascii="Calibri" w:hAnsi="Calibri"/>
                <w:b w:val="0"/>
                <w:i w:val="0"/>
                <w:color w:val="172033"/>
                <w:sz w:val="17"/>
              </w:rPr>
              <w:t>Models/providers, data use, prompt/output retention, human controls, change notice, evaluation, prohibited use, auditability?</w:t>
            </w:r>
          </w:p>
        </w:tc>
      </w:tr>
      <w:tr>
        <w:trPr>
          <w:cantSplit/>
        </w:trPr>
        <w:tc>
          <w:tcPr>
            <w:tcW w:type="dxa" w:w="23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Implementation and support</w:t>
            </w:r>
          </w:p>
        </w:tc>
        <w:tc>
          <w:tcPr>
            <w:tcW w:type="dxa" w:w="70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Configuration, training, migration, customer success, support hours, escalation, service levels, roadmap?</w:t>
            </w:r>
          </w:p>
        </w:tc>
      </w:tr>
      <w:tr>
        <w:trPr>
          <w:cantSplit/>
        </w:trPr>
        <w:tc>
          <w:tcPr>
            <w:tcW w:type="dxa" w:w="2350"/>
            <w:tcMar>
              <w:top w:w="100" w:type="dxa"/>
              <w:start w:w="140" w:type="dxa"/>
              <w:bottom w:w="100" w:type="dxa"/>
              <w:end w:w="140" w:type="dxa"/>
            </w:tcMar>
            <w:vAlign w:val="center"/>
          </w:tcPr>
          <w:p>
            <w:pPr>
              <w:spacing w:after="0" w:line="264" w:lineRule="auto"/>
            </w:pPr>
            <w:r>
              <w:rPr>
                <w:rFonts w:ascii="Calibri" w:hAnsi="Calibri"/>
                <w:b/>
                <w:i w:val="0"/>
                <w:color w:val="172033"/>
                <w:sz w:val="17"/>
              </w:rPr>
              <w:t>Measurement</w:t>
            </w:r>
          </w:p>
        </w:tc>
        <w:tc>
          <w:tcPr>
            <w:tcW w:type="dxa" w:w="7010"/>
            <w:tcMar>
              <w:top w:w="100" w:type="dxa"/>
              <w:start w:w="140" w:type="dxa"/>
              <w:bottom w:w="100" w:type="dxa"/>
              <w:end w:w="140" w:type="dxa"/>
            </w:tcMar>
            <w:vAlign w:val="center"/>
          </w:tcPr>
          <w:p>
            <w:pPr>
              <w:spacing w:after="0" w:line="264" w:lineRule="auto"/>
            </w:pPr>
            <w:r>
              <w:rPr>
                <w:rFonts w:ascii="Calibri" w:hAnsi="Calibri"/>
                <w:b w:val="0"/>
                <w:i w:val="0"/>
                <w:color w:val="172033"/>
                <w:sz w:val="17"/>
              </w:rPr>
              <w:t>Dashboard definitions, raw-data access, WIOA alignment, demographic segmentation, custom reports, data quality?</w:t>
            </w:r>
          </w:p>
        </w:tc>
      </w:tr>
    </w:tbl>
    <w:p>
      <w:pPr>
        <w:spacing w:after="20"/>
      </w:pPr>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Procurement principle  </w:t>
            </w:r>
            <w:r>
              <w:rPr>
                <w:rFonts w:ascii="Calibri" w:hAnsi="Calibri"/>
                <w:b w:val="0"/>
                <w:i w:val="0"/>
                <w:color w:val="172033"/>
                <w:sz w:val="20"/>
              </w:rPr>
              <w:t>Evaluate the full service—including workflow, accessibility, governance, integration, support, and evidence—not only the assessment report or feature list.</w:t>
            </w:r>
          </w:p>
        </w:tc>
      </w:tr>
    </w:tbl>
    <w:p>
      <w:pPr>
        <w:spacing w:after="20"/>
      </w:pPr>
    </w:p>
    <w:p>
      <w:pPr>
        <w:pStyle w:val="Kicker"/>
      </w:pPr>
      <w:r>
        <w:rPr>
          <w:rFonts w:ascii="Calibri" w:hAnsi="Calibri"/>
          <w:b/>
          <w:i w:val="0"/>
          <w:color w:val="172033"/>
          <w:sz w:val="20"/>
        </w:rPr>
        <w:t>18 • COMMON FAILURE MODES</w:t>
      </w:r>
    </w:p>
    <w:p>
      <w:pPr>
        <w:pStyle w:val="Heading1"/>
        <w:keepNext/>
      </w:pPr>
      <w:r>
        <w:rPr>
          <w:rFonts w:ascii="Calibri" w:hAnsi="Calibri"/>
          <w:b w:val="0"/>
          <w:i w:val="0"/>
          <w:color w:val="172033"/>
          <w:sz w:val="36"/>
        </w:rPr>
        <w:t>What to avoid—and how to correct it</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050"/>
        <w:gridCol w:w="3200"/>
        <w:gridCol w:w="4110"/>
      </w:tblGrid>
      <w:tr>
        <w:trPr>
          <w:tblHeader w:val="true"/>
          <w:cantSplit/>
        </w:trPr>
        <w:tc>
          <w:tcPr>
            <w:tcW w:type="dxa" w:w="2050"/>
            <w:tcMar>
              <w:top w:w="100" w:type="dxa"/>
              <w:start w:w="140" w:type="dxa"/>
              <w:bottom w:w="100" w:type="dxa"/>
              <w:end w:w="140" w:type="dxa"/>
            </w:tcMar>
            <w:vAlign w:val="center"/>
            <w:shd w:fill="0B1F3A"/>
          </w:tcPr>
          <w:p>
            <w:pPr>
              <w:spacing w:after="0"/>
              <w:jc w:val="left"/>
            </w:pPr>
            <w:r>
              <w:rPr>
                <w:rFonts w:ascii="Calibri" w:hAnsi="Calibri"/>
                <w:b/>
                <w:i w:val="0"/>
                <w:color w:val="FFFFFF"/>
                <w:sz w:val="18"/>
              </w:rPr>
              <w:t>Failure mode</w:t>
            </w:r>
          </w:p>
        </w:tc>
        <w:tc>
          <w:tcPr>
            <w:tcW w:type="dxa" w:w="3200"/>
            <w:tcMar>
              <w:top w:w="100" w:type="dxa"/>
              <w:start w:w="140" w:type="dxa"/>
              <w:bottom w:w="100" w:type="dxa"/>
              <w:end w:w="140" w:type="dxa"/>
            </w:tcMar>
            <w:vAlign w:val="center"/>
            <w:shd w:fill="0B1F3A"/>
          </w:tcPr>
          <w:p>
            <w:pPr>
              <w:spacing w:after="0"/>
              <w:jc w:val="left"/>
            </w:pPr>
            <w:r>
              <w:rPr>
                <w:rFonts w:ascii="Calibri" w:hAnsi="Calibri"/>
                <w:b/>
                <w:i w:val="0"/>
                <w:color w:val="FFFFFF"/>
                <w:sz w:val="18"/>
              </w:rPr>
              <w:t>Why it fails</w:t>
            </w:r>
          </w:p>
        </w:tc>
        <w:tc>
          <w:tcPr>
            <w:tcW w:type="dxa" w:w="4110"/>
            <w:tcMar>
              <w:top w:w="100" w:type="dxa"/>
              <w:start w:w="140" w:type="dxa"/>
              <w:bottom w:w="100" w:type="dxa"/>
              <w:end w:w="140" w:type="dxa"/>
            </w:tcMar>
            <w:vAlign w:val="center"/>
            <w:shd w:fill="0B1F3A"/>
          </w:tcPr>
          <w:p>
            <w:pPr>
              <w:spacing w:after="0"/>
              <w:jc w:val="left"/>
            </w:pPr>
            <w:r>
              <w:rPr>
                <w:rFonts w:ascii="Calibri" w:hAnsi="Calibri"/>
                <w:b/>
                <w:i w:val="0"/>
                <w:color w:val="FFFFFF"/>
                <w:sz w:val="18"/>
              </w:rPr>
              <w:t>Correction</w:t>
            </w:r>
          </w:p>
        </w:tc>
      </w:tr>
      <w:tr>
        <w:trPr>
          <w:cantSplit/>
        </w:trPr>
        <w:tc>
          <w:tcPr>
            <w:tcW w:type="dxa" w:w="2050"/>
            <w:tcMar>
              <w:top w:w="100" w:type="dxa"/>
              <w:start w:w="140" w:type="dxa"/>
              <w:bottom w:w="100" w:type="dxa"/>
              <w:end w:w="140" w:type="dxa"/>
            </w:tcMar>
            <w:vAlign w:val="center"/>
          </w:tcPr>
          <w:p>
            <w:pPr>
              <w:spacing w:after="0" w:line="264" w:lineRule="auto"/>
            </w:pPr>
            <w:r>
              <w:rPr>
                <w:rFonts w:ascii="Calibri" w:hAnsi="Calibri"/>
                <w:b/>
                <w:i w:val="0"/>
                <w:color w:val="172033"/>
                <w:sz w:val="17"/>
              </w:rPr>
              <w:t>“Complete the test” handoff</w:t>
            </w:r>
          </w:p>
        </w:tc>
        <w:tc>
          <w:tcPr>
            <w:tcW w:type="dxa" w:w="3200"/>
            <w:tcMar>
              <w:top w:w="100" w:type="dxa"/>
              <w:start w:w="140" w:type="dxa"/>
              <w:bottom w:w="100" w:type="dxa"/>
              <w:end w:w="140" w:type="dxa"/>
            </w:tcMar>
            <w:vAlign w:val="center"/>
          </w:tcPr>
          <w:p>
            <w:pPr>
              <w:spacing w:after="0" w:line="264" w:lineRule="auto"/>
            </w:pPr>
            <w:r>
              <w:rPr>
                <w:rFonts w:ascii="Calibri" w:hAnsi="Calibri"/>
                <w:b w:val="0"/>
                <w:i w:val="0"/>
                <w:color w:val="172033"/>
                <w:sz w:val="17"/>
              </w:rPr>
              <w:t>No interpretation or next action</w:t>
            </w:r>
          </w:p>
        </w:tc>
        <w:tc>
          <w:tcPr>
            <w:tcW w:type="dxa" w:w="4110"/>
            <w:tcMar>
              <w:top w:w="100" w:type="dxa"/>
              <w:start w:w="140" w:type="dxa"/>
              <w:bottom w:w="100" w:type="dxa"/>
              <w:end w:w="140" w:type="dxa"/>
            </w:tcMar>
            <w:vAlign w:val="center"/>
          </w:tcPr>
          <w:p>
            <w:pPr>
              <w:spacing w:after="0" w:line="264" w:lineRule="auto"/>
            </w:pPr>
            <w:r>
              <w:rPr>
                <w:rFonts w:ascii="Calibri" w:hAnsi="Calibri"/>
                <w:b w:val="0"/>
                <w:i w:val="0"/>
                <w:color w:val="172033"/>
                <w:sz w:val="17"/>
              </w:rPr>
              <w:t>Schedule review; save options; document a next step</w:t>
            </w:r>
          </w:p>
        </w:tc>
      </w:tr>
      <w:tr>
        <w:trPr>
          <w:cantSplit/>
        </w:trPr>
        <w:tc>
          <w:tcPr>
            <w:tcW w:type="dxa" w:w="2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Score-first counseling</w:t>
            </w:r>
          </w:p>
        </w:tc>
        <w:tc>
          <w:tcPr>
            <w:tcW w:type="dxa" w:w="3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Participants feel labeled or constrained</w:t>
            </w:r>
          </w:p>
        </w:tc>
        <w:tc>
          <w:tcPr>
            <w:tcW w:type="dxa" w:w="41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Lead with narrative and examples; treat scores as hypotheses</w:t>
            </w:r>
          </w:p>
        </w:tc>
      </w:tr>
      <w:tr>
        <w:trPr>
          <w:cantSplit/>
        </w:trPr>
        <w:tc>
          <w:tcPr>
            <w:tcW w:type="dxa" w:w="2050"/>
            <w:tcMar>
              <w:top w:w="100" w:type="dxa"/>
              <w:start w:w="140" w:type="dxa"/>
              <w:bottom w:w="100" w:type="dxa"/>
              <w:end w:w="140" w:type="dxa"/>
            </w:tcMar>
            <w:vAlign w:val="center"/>
          </w:tcPr>
          <w:p>
            <w:pPr>
              <w:spacing w:after="0" w:line="264" w:lineRule="auto"/>
            </w:pPr>
            <w:r>
              <w:rPr>
                <w:rFonts w:ascii="Calibri" w:hAnsi="Calibri"/>
                <w:b/>
                <w:i w:val="0"/>
                <w:color w:val="172033"/>
                <w:sz w:val="17"/>
              </w:rPr>
              <w:t>Training as the default answer</w:t>
            </w:r>
          </w:p>
        </w:tc>
        <w:tc>
          <w:tcPr>
            <w:tcW w:type="dxa" w:w="3200"/>
            <w:tcMar>
              <w:top w:w="100" w:type="dxa"/>
              <w:start w:w="140" w:type="dxa"/>
              <w:bottom w:w="100" w:type="dxa"/>
              <w:end w:w="140" w:type="dxa"/>
            </w:tcMar>
            <w:vAlign w:val="center"/>
          </w:tcPr>
          <w:p>
            <w:pPr>
              <w:spacing w:after="0" w:line="264" w:lineRule="auto"/>
            </w:pPr>
            <w:r>
              <w:rPr>
                <w:rFonts w:ascii="Calibri" w:hAnsi="Calibri"/>
                <w:b w:val="0"/>
                <w:i w:val="0"/>
                <w:color w:val="172033"/>
                <w:sz w:val="17"/>
              </w:rPr>
              <w:t>Cost and delay without demand or fit evidence</w:t>
            </w:r>
          </w:p>
        </w:tc>
        <w:tc>
          <w:tcPr>
            <w:tcW w:type="dxa" w:w="4110"/>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Compare direct-to-work, bridge, credential, apprenticeship, and degree routes</w:t>
            </w:r>
          </w:p>
        </w:tc>
      </w:tr>
      <w:tr>
        <w:trPr>
          <w:cantSplit/>
        </w:trPr>
        <w:tc>
          <w:tcPr>
            <w:tcW w:type="dxa" w:w="2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AI without boundaries</w:t>
            </w:r>
          </w:p>
        </w:tc>
        <w:tc>
          <w:tcPr>
            <w:tcW w:type="dxa" w:w="3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Errors and biased or inappropriate decisions scale</w:t>
            </w:r>
          </w:p>
        </w:tc>
        <w:tc>
          <w:tcPr>
            <w:tcW w:type="dxa" w:w="41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Disclose, restrict, review, test, log, and provide recourse</w:t>
            </w:r>
          </w:p>
        </w:tc>
      </w:tr>
      <w:tr>
        <w:trPr>
          <w:cantSplit/>
        </w:trPr>
        <w:tc>
          <w:tcPr>
            <w:tcW w:type="dxa" w:w="2050"/>
            <w:tcMar>
              <w:top w:w="100" w:type="dxa"/>
              <w:start w:w="140" w:type="dxa"/>
              <w:bottom w:w="100" w:type="dxa"/>
              <w:end w:w="140" w:type="dxa"/>
            </w:tcMar>
            <w:vAlign w:val="center"/>
          </w:tcPr>
          <w:p>
            <w:pPr>
              <w:spacing w:after="0" w:line="264" w:lineRule="auto"/>
            </w:pPr>
            <w:r>
              <w:rPr>
                <w:rFonts w:ascii="Calibri" w:hAnsi="Calibri"/>
                <w:b/>
                <w:i w:val="0"/>
                <w:color w:val="172033"/>
                <w:sz w:val="17"/>
              </w:rPr>
              <w:t>One workflow for everyone</w:t>
            </w:r>
          </w:p>
        </w:tc>
        <w:tc>
          <w:tcPr>
            <w:tcW w:type="dxa" w:w="3200"/>
            <w:tcMar>
              <w:top w:w="100" w:type="dxa"/>
              <w:start w:w="140" w:type="dxa"/>
              <w:bottom w:w="100" w:type="dxa"/>
              <w:end w:w="140" w:type="dxa"/>
            </w:tcMar>
            <w:vAlign w:val="center"/>
          </w:tcPr>
          <w:p>
            <w:pPr>
              <w:spacing w:after="0" w:line="264" w:lineRule="auto"/>
            </w:pPr>
            <w:r>
              <w:rPr>
                <w:rFonts w:ascii="Calibri" w:hAnsi="Calibri"/>
                <w:b w:val="0"/>
                <w:i w:val="0"/>
                <w:color w:val="172033"/>
                <w:sz w:val="17"/>
              </w:rPr>
              <w:t>Digital, language, disability, and readiness differences are ignored</w:t>
            </w:r>
          </w:p>
        </w:tc>
        <w:tc>
          <w:tcPr>
            <w:tcW w:type="dxa" w:w="4110"/>
            <w:tcMar>
              <w:top w:w="100" w:type="dxa"/>
              <w:start w:w="140" w:type="dxa"/>
              <w:bottom w:w="100" w:type="dxa"/>
              <w:end w:w="140" w:type="dxa"/>
            </w:tcMar>
            <w:vAlign w:val="center"/>
          </w:tcPr>
          <w:p>
            <w:pPr>
              <w:spacing w:after="0" w:line="264" w:lineRule="auto"/>
            </w:pPr>
            <w:r>
              <w:rPr>
                <w:rFonts w:ascii="Calibri" w:hAnsi="Calibri"/>
                <w:b w:val="0"/>
                <w:i w:val="0"/>
                <w:color w:val="172033"/>
                <w:sz w:val="17"/>
              </w:rPr>
              <w:t>Offer service tiers and accessible alternatives</w:t>
            </w:r>
          </w:p>
        </w:tc>
      </w:tr>
      <w:tr>
        <w:trPr>
          <w:cantSplit/>
        </w:trPr>
        <w:tc>
          <w:tcPr>
            <w:tcW w:type="dxa" w:w="2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More activity, no outcomes</w:t>
            </w:r>
          </w:p>
        </w:tc>
        <w:tc>
          <w:tcPr>
            <w:tcW w:type="dxa" w:w="3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Clicks and completions are mistaken for progress</w:t>
            </w:r>
          </w:p>
        </w:tc>
        <w:tc>
          <w:tcPr>
            <w:tcW w:type="dxa" w:w="41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Measure plan quality, action, placement, retention, and equity</w:t>
            </w:r>
          </w:p>
        </w:tc>
      </w:tr>
      <w:tr>
        <w:trPr>
          <w:cantSplit/>
        </w:trPr>
        <w:tc>
          <w:tcPr>
            <w:tcW w:type="dxa" w:w="2050"/>
            <w:tcMar>
              <w:top w:w="100" w:type="dxa"/>
              <w:start w:w="140" w:type="dxa"/>
              <w:bottom w:w="100" w:type="dxa"/>
              <w:end w:w="140" w:type="dxa"/>
            </w:tcMar>
            <w:vAlign w:val="center"/>
          </w:tcPr>
          <w:p>
            <w:pPr>
              <w:spacing w:after="0" w:line="264" w:lineRule="auto"/>
            </w:pPr>
            <w:r>
              <w:rPr>
                <w:rFonts w:ascii="Calibri" w:hAnsi="Calibri"/>
                <w:b/>
                <w:i w:val="0"/>
                <w:color w:val="172033"/>
                <w:sz w:val="17"/>
              </w:rPr>
              <w:t>Employer matching as screening</w:t>
            </w:r>
          </w:p>
        </w:tc>
        <w:tc>
          <w:tcPr>
            <w:tcW w:type="dxa" w:w="3200"/>
            <w:tcMar>
              <w:top w:w="100" w:type="dxa"/>
              <w:start w:w="140" w:type="dxa"/>
              <w:bottom w:w="100" w:type="dxa"/>
              <w:end w:w="140" w:type="dxa"/>
            </w:tcMar>
            <w:vAlign w:val="center"/>
          </w:tcPr>
          <w:p>
            <w:pPr>
              <w:spacing w:after="0" w:line="264" w:lineRule="auto"/>
            </w:pPr>
            <w:r>
              <w:rPr>
                <w:rFonts w:ascii="Calibri" w:hAnsi="Calibri"/>
                <w:b w:val="0"/>
                <w:i w:val="0"/>
                <w:color w:val="172033"/>
                <w:sz w:val="17"/>
              </w:rPr>
              <w:t>Guidance evidence is misapplied to selection</w:t>
            </w:r>
          </w:p>
        </w:tc>
        <w:tc>
          <w:tcPr>
            <w:tcW w:type="dxa" w:w="4110"/>
            <w:tcMar>
              <w:top w:w="100" w:type="dxa"/>
              <w:start w:w="140" w:type="dxa"/>
              <w:bottom w:w="100" w:type="dxa"/>
              <w:end w:w="140" w:type="dxa"/>
            </w:tcMar>
            <w:vAlign w:val="center"/>
          </w:tcPr>
          <w:p>
            <w:pPr>
              <w:spacing w:after="0" w:line="264" w:lineRule="auto"/>
            </w:pPr>
            <w:r>
              <w:rPr>
                <w:rFonts w:ascii="Calibri" w:hAnsi="Calibri"/>
                <w:b w:val="0"/>
                <w:i w:val="0"/>
                <w:color w:val="172033"/>
                <w:sz w:val="17"/>
              </w:rPr>
              <w:t>Use structured, job-related, validated processes for employment decisions</w:t>
            </w:r>
          </w:p>
        </w:tc>
      </w:tr>
      <w:tr>
        <w:trPr>
          <w:cantSplit/>
        </w:trPr>
        <w:tc>
          <w:tcPr>
            <w:tcW w:type="dxa" w:w="2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Big-bang rollout</w:t>
            </w:r>
          </w:p>
        </w:tc>
        <w:tc>
          <w:tcPr>
            <w:tcW w:type="dxa" w:w="32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Configuration and support failures affect everyone</w:t>
            </w:r>
          </w:p>
        </w:tc>
        <w:tc>
          <w:tcPr>
            <w:tcW w:type="dxa" w:w="41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Pilot with defined gates and scale only after evidence</w:t>
            </w:r>
          </w:p>
        </w:tc>
      </w:tr>
    </w:tbl>
    <w:p>
      <w:pPr>
        <w:spacing w:after="20"/>
      </w:pPr>
    </w:p>
    <w:p>
      <w:r>
        <w:br w:type="page"/>
      </w:r>
    </w:p>
    <w:p>
      <w:pPr>
        <w:pStyle w:val="Kicker"/>
      </w:pPr>
      <w:r>
        <w:rPr>
          <w:rFonts w:ascii="Calibri" w:hAnsi="Calibri"/>
          <w:b/>
          <w:i w:val="0"/>
          <w:color w:val="172033"/>
          <w:sz w:val="20"/>
        </w:rPr>
        <w:t>APPENDIX A</w:t>
      </w:r>
    </w:p>
    <w:p>
      <w:pPr>
        <w:pStyle w:val="Heading1"/>
        <w:keepNext/>
      </w:pPr>
      <w:r>
        <w:rPr>
          <w:rFonts w:ascii="Calibri" w:hAnsi="Calibri"/>
          <w:b w:val="0"/>
          <w:i w:val="0"/>
          <w:color w:val="172033"/>
          <w:sz w:val="36"/>
        </w:rPr>
        <w:t>A 30-minute MAPP review conversation</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050"/>
        <w:gridCol w:w="1700"/>
        <w:gridCol w:w="6610"/>
      </w:tblGrid>
      <w:tr>
        <w:trPr>
          <w:tblHeader w:val="true"/>
          <w:cantSplit/>
        </w:trPr>
        <w:tc>
          <w:tcPr>
            <w:tcW w:type="dxa" w:w="1050"/>
            <w:tcMar>
              <w:top w:w="100" w:type="dxa"/>
              <w:start w:w="140" w:type="dxa"/>
              <w:bottom w:w="100" w:type="dxa"/>
              <w:end w:w="140" w:type="dxa"/>
            </w:tcMar>
            <w:vAlign w:val="center"/>
            <w:shd w:fill="0B1F3A"/>
          </w:tcPr>
          <w:p>
            <w:pPr>
              <w:spacing w:after="0"/>
              <w:jc w:val="left"/>
            </w:pPr>
            <w:r>
              <w:rPr>
                <w:rFonts w:ascii="Calibri" w:hAnsi="Calibri"/>
                <w:b/>
                <w:i w:val="0"/>
                <w:color w:val="FFFFFF"/>
                <w:sz w:val="18"/>
              </w:rPr>
              <w:t>Time</w:t>
            </w:r>
          </w:p>
        </w:tc>
        <w:tc>
          <w:tcPr>
            <w:tcW w:type="dxa" w:w="1700"/>
            <w:tcMar>
              <w:top w:w="100" w:type="dxa"/>
              <w:start w:w="140" w:type="dxa"/>
              <w:bottom w:w="100" w:type="dxa"/>
              <w:end w:w="140" w:type="dxa"/>
            </w:tcMar>
            <w:vAlign w:val="center"/>
            <w:shd w:fill="0B1F3A"/>
          </w:tcPr>
          <w:p>
            <w:pPr>
              <w:spacing w:after="0"/>
              <w:jc w:val="left"/>
            </w:pPr>
            <w:r>
              <w:rPr>
                <w:rFonts w:ascii="Calibri" w:hAnsi="Calibri"/>
                <w:b/>
                <w:i w:val="0"/>
                <w:color w:val="FFFFFF"/>
                <w:sz w:val="18"/>
              </w:rPr>
              <w:t>Purpose</w:t>
            </w:r>
          </w:p>
        </w:tc>
        <w:tc>
          <w:tcPr>
            <w:tcW w:type="dxa" w:w="6610"/>
            <w:tcMar>
              <w:top w:w="100" w:type="dxa"/>
              <w:start w:w="140" w:type="dxa"/>
              <w:bottom w:w="100" w:type="dxa"/>
              <w:end w:w="140" w:type="dxa"/>
            </w:tcMar>
            <w:vAlign w:val="center"/>
            <w:shd w:fill="0B1F3A"/>
          </w:tcPr>
          <w:p>
            <w:pPr>
              <w:spacing w:after="0"/>
              <w:jc w:val="left"/>
            </w:pPr>
            <w:r>
              <w:rPr>
                <w:rFonts w:ascii="Calibri" w:hAnsi="Calibri"/>
                <w:b/>
                <w:i w:val="0"/>
                <w:color w:val="FFFFFF"/>
                <w:sz w:val="18"/>
              </w:rPr>
              <w:t>Suggested language</w:t>
            </w:r>
          </w:p>
        </w:tc>
      </w:tr>
      <w:tr>
        <w:trPr>
          <w:cantSplit/>
        </w:trPr>
        <w:tc>
          <w:tcPr>
            <w:tcW w:type="dxa" w:w="1050"/>
            <w:tcMar>
              <w:top w:w="100" w:type="dxa"/>
              <w:start w:w="140" w:type="dxa"/>
              <w:bottom w:w="100" w:type="dxa"/>
              <w:end w:w="140" w:type="dxa"/>
            </w:tcMar>
            <w:vAlign w:val="center"/>
          </w:tcPr>
          <w:p>
            <w:pPr>
              <w:spacing w:after="0" w:line="264" w:lineRule="auto"/>
            </w:pPr>
            <w:r>
              <w:rPr>
                <w:rFonts w:ascii="Calibri" w:hAnsi="Calibri"/>
                <w:b/>
                <w:i w:val="0"/>
                <w:color w:val="172033"/>
                <w:sz w:val="17"/>
              </w:rPr>
              <w:t>0–3 min</w:t>
            </w:r>
          </w:p>
        </w:tc>
        <w:tc>
          <w:tcPr>
            <w:tcW w:type="dxa" w:w="1700"/>
            <w:tcMar>
              <w:top w:w="100" w:type="dxa"/>
              <w:start w:w="140" w:type="dxa"/>
              <w:bottom w:w="100" w:type="dxa"/>
              <w:end w:w="140" w:type="dxa"/>
            </w:tcMar>
            <w:vAlign w:val="center"/>
          </w:tcPr>
          <w:p>
            <w:pPr>
              <w:spacing w:after="0" w:line="264" w:lineRule="auto"/>
            </w:pPr>
            <w:r>
              <w:rPr>
                <w:rFonts w:ascii="Calibri" w:hAnsi="Calibri"/>
                <w:b w:val="0"/>
                <w:i w:val="0"/>
                <w:color w:val="172033"/>
                <w:sz w:val="17"/>
              </w:rPr>
              <w:t>Frame</w:t>
            </w:r>
          </w:p>
        </w:tc>
        <w:tc>
          <w:tcPr>
            <w:tcW w:type="dxa" w:w="6610"/>
            <w:tcMar>
              <w:top w:w="100" w:type="dxa"/>
              <w:start w:w="140" w:type="dxa"/>
              <w:bottom w:w="100" w:type="dxa"/>
              <w:end w:w="140" w:type="dxa"/>
            </w:tcMar>
            <w:vAlign w:val="center"/>
          </w:tcPr>
          <w:p>
            <w:pPr>
              <w:spacing w:after="0" w:line="264" w:lineRule="auto"/>
            </w:pPr>
            <w:r>
              <w:rPr>
                <w:rFonts w:ascii="Calibri" w:hAnsi="Calibri"/>
                <w:b w:val="0"/>
                <w:i w:val="0"/>
                <w:color w:val="172033"/>
                <w:sz w:val="17"/>
              </w:rPr>
              <w:t>“This is one source of information. You decide what fits; we will test it against your experience and the labor market.”</w:t>
            </w:r>
          </w:p>
        </w:tc>
      </w:tr>
      <w:tr>
        <w:trPr>
          <w:cantSplit/>
        </w:trPr>
        <w:tc>
          <w:tcPr>
            <w:tcW w:type="dxa" w:w="1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3–8 min</w:t>
            </w:r>
          </w:p>
        </w:tc>
        <w:tc>
          <w:tcPr>
            <w:tcW w:type="dxa" w:w="17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Elicit</w:t>
            </w:r>
          </w:p>
        </w:tc>
        <w:tc>
          <w:tcPr>
            <w:tcW w:type="dxa" w:w="66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“Before looking at the results, tell me about work or activities that gave you energy—and what drained it.”</w:t>
            </w:r>
          </w:p>
        </w:tc>
      </w:tr>
      <w:tr>
        <w:trPr>
          <w:cantSplit/>
        </w:trPr>
        <w:tc>
          <w:tcPr>
            <w:tcW w:type="dxa" w:w="1050"/>
            <w:tcMar>
              <w:top w:w="100" w:type="dxa"/>
              <w:start w:w="140" w:type="dxa"/>
              <w:bottom w:w="100" w:type="dxa"/>
              <w:end w:w="140" w:type="dxa"/>
            </w:tcMar>
            <w:vAlign w:val="center"/>
          </w:tcPr>
          <w:p>
            <w:pPr>
              <w:spacing w:after="0" w:line="264" w:lineRule="auto"/>
            </w:pPr>
            <w:r>
              <w:rPr>
                <w:rFonts w:ascii="Calibri" w:hAnsi="Calibri"/>
                <w:b/>
                <w:i w:val="0"/>
                <w:color w:val="172033"/>
                <w:sz w:val="17"/>
              </w:rPr>
              <w:t>8–15 min</w:t>
            </w:r>
          </w:p>
        </w:tc>
        <w:tc>
          <w:tcPr>
            <w:tcW w:type="dxa" w:w="1700"/>
            <w:tcMar>
              <w:top w:w="100" w:type="dxa"/>
              <w:start w:w="140" w:type="dxa"/>
              <w:bottom w:w="100" w:type="dxa"/>
              <w:end w:w="140" w:type="dxa"/>
            </w:tcMar>
            <w:vAlign w:val="center"/>
          </w:tcPr>
          <w:p>
            <w:pPr>
              <w:spacing w:after="0" w:line="264" w:lineRule="auto"/>
            </w:pPr>
            <w:r>
              <w:rPr>
                <w:rFonts w:ascii="Calibri" w:hAnsi="Calibri"/>
                <w:b w:val="0"/>
                <w:i w:val="0"/>
                <w:color w:val="172033"/>
                <w:sz w:val="17"/>
              </w:rPr>
              <w:t>Interpret</w:t>
            </w:r>
          </w:p>
        </w:tc>
        <w:tc>
          <w:tcPr>
            <w:tcW w:type="dxa" w:w="6610"/>
            <w:tcMar>
              <w:top w:w="100" w:type="dxa"/>
              <w:start w:w="140" w:type="dxa"/>
              <w:bottom w:w="100" w:type="dxa"/>
              <w:end w:w="140" w:type="dxa"/>
            </w:tcMar>
            <w:vAlign w:val="center"/>
          </w:tcPr>
          <w:p>
            <w:pPr>
              <w:spacing w:after="0" w:line="264" w:lineRule="auto"/>
            </w:pPr>
            <w:r>
              <w:rPr>
                <w:rFonts w:ascii="Calibri" w:hAnsi="Calibri"/>
                <w:b w:val="0"/>
                <w:i w:val="0"/>
                <w:color w:val="172033"/>
                <w:sz w:val="17"/>
              </w:rPr>
              <w:t>“Which themes feel accurate, partly accurate, or surprising? What examples support your view?”</w:t>
            </w:r>
          </w:p>
        </w:tc>
      </w:tr>
      <w:tr>
        <w:trPr>
          <w:cantSplit/>
        </w:trPr>
        <w:tc>
          <w:tcPr>
            <w:tcW w:type="dxa" w:w="1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15–22 min</w:t>
            </w:r>
          </w:p>
        </w:tc>
        <w:tc>
          <w:tcPr>
            <w:tcW w:type="dxa" w:w="17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Explore</w:t>
            </w:r>
          </w:p>
        </w:tc>
        <w:tc>
          <w:tcPr>
            <w:tcW w:type="dxa" w:w="66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“Let’s compare a target, an adjacent role, and a bridge role for requirements, wages, demand, and fit.”</w:t>
            </w:r>
          </w:p>
        </w:tc>
      </w:tr>
      <w:tr>
        <w:trPr>
          <w:cantSplit/>
        </w:trPr>
        <w:tc>
          <w:tcPr>
            <w:tcW w:type="dxa" w:w="1050"/>
            <w:tcMar>
              <w:top w:w="100" w:type="dxa"/>
              <w:start w:w="140" w:type="dxa"/>
              <w:bottom w:w="100" w:type="dxa"/>
              <w:end w:w="140" w:type="dxa"/>
            </w:tcMar>
            <w:vAlign w:val="center"/>
          </w:tcPr>
          <w:p>
            <w:pPr>
              <w:spacing w:after="0" w:line="264" w:lineRule="auto"/>
            </w:pPr>
            <w:r>
              <w:rPr>
                <w:rFonts w:ascii="Calibri" w:hAnsi="Calibri"/>
                <w:b/>
                <w:i w:val="0"/>
                <w:color w:val="172033"/>
                <w:sz w:val="17"/>
              </w:rPr>
              <w:t>22–27 min</w:t>
            </w:r>
          </w:p>
        </w:tc>
        <w:tc>
          <w:tcPr>
            <w:tcW w:type="dxa" w:w="1700"/>
            <w:tcMar>
              <w:top w:w="100" w:type="dxa"/>
              <w:start w:w="140" w:type="dxa"/>
              <w:bottom w:w="100" w:type="dxa"/>
              <w:end w:w="140" w:type="dxa"/>
            </w:tcMar>
            <w:vAlign w:val="center"/>
          </w:tcPr>
          <w:p>
            <w:pPr>
              <w:spacing w:after="0" w:line="264" w:lineRule="auto"/>
            </w:pPr>
            <w:r>
              <w:rPr>
                <w:rFonts w:ascii="Calibri" w:hAnsi="Calibri"/>
                <w:b w:val="0"/>
                <w:i w:val="0"/>
                <w:color w:val="172033"/>
                <w:sz w:val="17"/>
              </w:rPr>
              <w:t>Plan</w:t>
            </w:r>
          </w:p>
        </w:tc>
        <w:tc>
          <w:tcPr>
            <w:tcW w:type="dxa" w:w="6610"/>
            <w:tcMar>
              <w:top w:w="100" w:type="dxa"/>
              <w:start w:w="140" w:type="dxa"/>
              <w:bottom w:w="100" w:type="dxa"/>
              <w:end w:w="140" w:type="dxa"/>
            </w:tcMar>
            <w:vAlign w:val="center"/>
          </w:tcPr>
          <w:p>
            <w:pPr>
              <w:spacing w:after="0" w:line="264" w:lineRule="auto"/>
            </w:pPr>
            <w:r>
              <w:rPr>
                <w:rFonts w:ascii="Calibri" w:hAnsi="Calibri"/>
                <w:b w:val="0"/>
                <w:i w:val="0"/>
                <w:color w:val="172033"/>
                <w:sz w:val="17"/>
              </w:rPr>
              <w:t>“What is the smallest useful action you can complete before our next contact?”</w:t>
            </w:r>
          </w:p>
        </w:tc>
      </w:tr>
      <w:tr>
        <w:trPr>
          <w:cantSplit/>
        </w:trPr>
        <w:tc>
          <w:tcPr>
            <w:tcW w:type="dxa" w:w="105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27–30 min</w:t>
            </w:r>
          </w:p>
        </w:tc>
        <w:tc>
          <w:tcPr>
            <w:tcW w:type="dxa" w:w="170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Confirm</w:t>
            </w:r>
          </w:p>
        </w:tc>
        <w:tc>
          <w:tcPr>
            <w:tcW w:type="dxa" w:w="661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Restate the goal, next action, owner, due date, support, and follow-up channel.</w:t>
            </w:r>
          </w:p>
        </w:tc>
      </w:tr>
    </w:tbl>
    <w:p>
      <w:pPr>
        <w:spacing w:after="20"/>
      </w:pPr>
    </w:p>
    <w:p>
      <w:pPr>
        <w:pStyle w:val="Heading2"/>
      </w:pPr>
      <w:r>
        <w:rPr>
          <w:rFonts w:ascii="Calibri" w:hAnsi="Calibri"/>
          <w:b w:val="0"/>
          <w:i w:val="0"/>
          <w:color w:val="172033"/>
          <w:sz w:val="28"/>
        </w:rPr>
        <w:t>Reflection prompts</w:t>
      </w:r>
    </w:p>
    <w:p>
      <w:pPr>
        <w:numPr>
          <w:ilvl w:val="0"/>
          <w:numId w:val="10"/>
        </w:numPr>
      </w:pPr>
      <w:r>
        <w:rPr>
          <w:rFonts w:ascii="Calibri" w:hAnsi="Calibri"/>
          <w:b w:val="0"/>
          <w:i w:val="0"/>
          <w:color w:val="172033"/>
          <w:sz w:val="22"/>
        </w:rPr>
        <w:t>What parts of the result match how you see yourself? What does not?</w:t>
      </w:r>
    </w:p>
    <w:p>
      <w:pPr>
        <w:numPr>
          <w:ilvl w:val="0"/>
          <w:numId w:val="10"/>
        </w:numPr>
      </w:pPr>
      <w:r>
        <w:rPr>
          <w:rFonts w:ascii="Calibri" w:hAnsi="Calibri"/>
          <w:b w:val="0"/>
          <w:i w:val="0"/>
          <w:color w:val="172033"/>
          <w:sz w:val="22"/>
        </w:rPr>
        <w:t>Which past experiences show these motivators in action?</w:t>
      </w:r>
    </w:p>
    <w:p>
      <w:pPr>
        <w:numPr>
          <w:ilvl w:val="0"/>
          <w:numId w:val="10"/>
        </w:numPr>
      </w:pPr>
      <w:r>
        <w:rPr>
          <w:rFonts w:ascii="Calibri" w:hAnsi="Calibri"/>
          <w:b w:val="0"/>
          <w:i w:val="0"/>
          <w:color w:val="172033"/>
          <w:sz w:val="22"/>
        </w:rPr>
        <w:t>What conditions help you do your best work?</w:t>
      </w:r>
    </w:p>
    <w:p>
      <w:pPr>
        <w:numPr>
          <w:ilvl w:val="0"/>
          <w:numId w:val="10"/>
        </w:numPr>
      </w:pPr>
      <w:r>
        <w:rPr>
          <w:rFonts w:ascii="Calibri" w:hAnsi="Calibri"/>
          <w:b w:val="0"/>
          <w:i w:val="0"/>
          <w:color w:val="172033"/>
          <w:sz w:val="22"/>
        </w:rPr>
        <w:t>Which career result would you like to investigate—not commit to?</w:t>
      </w:r>
    </w:p>
    <w:p>
      <w:pPr>
        <w:numPr>
          <w:ilvl w:val="0"/>
          <w:numId w:val="10"/>
        </w:numPr>
      </w:pPr>
      <w:r>
        <w:rPr>
          <w:rFonts w:ascii="Calibri" w:hAnsi="Calibri"/>
          <w:b w:val="0"/>
          <w:i w:val="0"/>
          <w:color w:val="172033"/>
          <w:sz w:val="22"/>
        </w:rPr>
        <w:t>What evidence would make this option stronger or weaker?</w:t>
      </w:r>
    </w:p>
    <w:p>
      <w:pPr>
        <w:numPr>
          <w:ilvl w:val="0"/>
          <w:numId w:val="10"/>
        </w:numPr>
      </w:pPr>
      <w:r>
        <w:rPr>
          <w:rFonts w:ascii="Calibri" w:hAnsi="Calibri"/>
          <w:b w:val="0"/>
          <w:i w:val="0"/>
          <w:color w:val="172033"/>
          <w:sz w:val="22"/>
        </w:rPr>
        <w:t>What barrier could interfere, and what support might reduce it?</w:t>
      </w:r>
    </w:p>
    <w:p>
      <w:r>
        <w:br w:type="page"/>
      </w:r>
    </w:p>
    <w:p>
      <w:pPr>
        <w:pStyle w:val="Kicker"/>
      </w:pPr>
      <w:r>
        <w:rPr>
          <w:rFonts w:ascii="Calibri" w:hAnsi="Calibri"/>
          <w:b/>
          <w:i w:val="0"/>
          <w:color w:val="172033"/>
          <w:sz w:val="20"/>
        </w:rPr>
        <w:t>APPENDIX B</w:t>
      </w:r>
    </w:p>
    <w:p>
      <w:pPr>
        <w:pStyle w:val="Heading1"/>
        <w:keepNext/>
      </w:pPr>
      <w:r>
        <w:rPr>
          <w:rFonts w:ascii="Calibri" w:hAnsi="Calibri"/>
          <w:b w:val="0"/>
          <w:i w:val="0"/>
          <w:color w:val="172033"/>
          <w:sz w:val="36"/>
        </w:rPr>
        <w:t>Individual Employment Plan worksheet</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2600"/>
        <w:gridCol w:w="6760"/>
      </w:tblGrid>
      <w:tr>
        <w:trPr>
          <w:tblHeader w:val="true"/>
          <w:cantSplit/>
        </w:trPr>
        <w:tc>
          <w:tcPr>
            <w:tcW w:type="dxa" w:w="2600"/>
            <w:tcMar>
              <w:top w:w="100" w:type="dxa"/>
              <w:start w:w="140" w:type="dxa"/>
              <w:bottom w:w="100" w:type="dxa"/>
              <w:end w:w="140" w:type="dxa"/>
            </w:tcMar>
            <w:vAlign w:val="center"/>
            <w:shd w:fill="0B1F3A"/>
          </w:tcPr>
          <w:p>
            <w:pPr>
              <w:spacing w:after="0"/>
              <w:jc w:val="left"/>
            </w:pPr>
            <w:r>
              <w:rPr>
                <w:rFonts w:ascii="Calibri" w:hAnsi="Calibri"/>
                <w:b/>
                <w:i w:val="0"/>
                <w:color w:val="FFFFFF"/>
                <w:sz w:val="18"/>
              </w:rPr>
              <w:t>Field</w:t>
            </w:r>
          </w:p>
        </w:tc>
        <w:tc>
          <w:tcPr>
            <w:tcW w:type="dxa" w:w="6760"/>
            <w:tcMar>
              <w:top w:w="100" w:type="dxa"/>
              <w:start w:w="140" w:type="dxa"/>
              <w:bottom w:w="100" w:type="dxa"/>
              <w:end w:w="140" w:type="dxa"/>
            </w:tcMar>
            <w:vAlign w:val="center"/>
            <w:shd w:fill="0B1F3A"/>
          </w:tcPr>
          <w:p>
            <w:pPr>
              <w:spacing w:after="0"/>
              <w:jc w:val="left"/>
            </w:pPr>
            <w:r>
              <w:rPr>
                <w:rFonts w:ascii="Calibri" w:hAnsi="Calibri"/>
                <w:b/>
                <w:i w:val="0"/>
                <w:color w:val="FFFFFF"/>
                <w:sz w:val="18"/>
              </w:rPr>
              <w:t>Participant and navigator notes</w:t>
            </w:r>
          </w:p>
        </w:tc>
      </w:tr>
      <w:tr>
        <w:trPr>
          <w:cantSplit/>
        </w:trPr>
        <w:tc>
          <w:tcPr>
            <w:tcW w:type="dxa" w:w="2600"/>
            <w:tcMar>
              <w:top w:w="100" w:type="dxa"/>
              <w:start w:w="140" w:type="dxa"/>
              <w:bottom w:w="100" w:type="dxa"/>
              <w:end w:w="140" w:type="dxa"/>
            </w:tcMar>
            <w:vAlign w:val="center"/>
          </w:tcPr>
          <w:p>
            <w:pPr>
              <w:spacing w:after="0" w:line="264" w:lineRule="auto"/>
            </w:pPr>
            <w:r>
              <w:rPr>
                <w:rFonts w:ascii="Calibri" w:hAnsi="Calibri"/>
                <w:b/>
                <w:i w:val="0"/>
                <w:color w:val="172033"/>
                <w:sz w:val="17"/>
              </w:rPr>
              <w:t>Primary employment goal</w:t>
            </w:r>
          </w:p>
        </w:tc>
        <w:tc>
          <w:tcPr>
            <w:tcW w:type="dxa" w:w="6760"/>
            <w:tcMar>
              <w:top w:w="100" w:type="dxa"/>
              <w:start w:w="140" w:type="dxa"/>
              <w:bottom w:w="100" w:type="dxa"/>
              <w:end w:w="140" w:type="dxa"/>
            </w:tcMar>
            <w:vAlign w:val="center"/>
          </w:tcPr>
          <w:p>
            <w:pPr>
              <w:spacing w:after="0" w:line="264" w:lineRule="auto"/>
            </w:pPr>
            <w:r>
              <w:rPr>
                <w:rFonts w:ascii="Calibri" w:hAnsi="Calibri"/>
                <w:b w:val="0"/>
                <w:i w:val="0"/>
                <w:color w:val="172033"/>
                <w:sz w:val="17"/>
              </w:rPr>
              <w:t>Role/occupation, geography, schedule, wage target, target date</w:t>
            </w:r>
          </w:p>
        </w:tc>
      </w:tr>
      <w:tr>
        <w:trPr>
          <w:cantSplit/>
        </w:trPr>
        <w:tc>
          <w:tcPr>
            <w:tcW w:type="dxa" w:w="26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Alternative and bridge options</w:t>
            </w:r>
          </w:p>
        </w:tc>
        <w:tc>
          <w:tcPr>
            <w:tcW w:type="dxa" w:w="67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Adjacent role and faster-entry role</w:t>
            </w:r>
          </w:p>
        </w:tc>
      </w:tr>
      <w:tr>
        <w:trPr>
          <w:cantSplit/>
        </w:trPr>
        <w:tc>
          <w:tcPr>
            <w:tcW w:type="dxa" w:w="2600"/>
            <w:tcMar>
              <w:top w:w="100" w:type="dxa"/>
              <w:start w:w="140" w:type="dxa"/>
              <w:bottom w:w="100" w:type="dxa"/>
              <w:end w:w="140" w:type="dxa"/>
            </w:tcMar>
            <w:vAlign w:val="center"/>
          </w:tcPr>
          <w:p>
            <w:pPr>
              <w:spacing w:after="0" w:line="264" w:lineRule="auto"/>
            </w:pPr>
            <w:r>
              <w:rPr>
                <w:rFonts w:ascii="Calibri" w:hAnsi="Calibri"/>
                <w:b/>
                <w:i w:val="0"/>
                <w:color w:val="172033"/>
                <w:sz w:val="17"/>
              </w:rPr>
              <w:t>Why this direction</w:t>
            </w:r>
          </w:p>
        </w:tc>
        <w:tc>
          <w:tcPr>
            <w:tcW w:type="dxa" w:w="6760"/>
            <w:tcMar>
              <w:top w:w="100" w:type="dxa"/>
              <w:start w:w="140" w:type="dxa"/>
              <w:bottom w:w="100" w:type="dxa"/>
              <w:end w:w="140" w:type="dxa"/>
            </w:tcMar>
            <w:vAlign w:val="center"/>
          </w:tcPr>
          <w:p>
            <w:pPr>
              <w:spacing w:after="0" w:line="264" w:lineRule="auto"/>
            </w:pPr>
            <w:r>
              <w:rPr>
                <w:rFonts w:ascii="Calibri" w:hAnsi="Calibri"/>
                <w:b w:val="0"/>
                <w:i w:val="0"/>
                <w:color w:val="172033"/>
                <w:sz w:val="17"/>
              </w:rPr>
              <w:t>MAPP themes, experience, values, labor-market evidence</w:t>
            </w:r>
          </w:p>
        </w:tc>
      </w:tr>
      <w:tr>
        <w:trPr>
          <w:cantSplit/>
        </w:trPr>
        <w:tc>
          <w:tcPr>
            <w:tcW w:type="dxa" w:w="26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Requirements and gaps</w:t>
            </w:r>
          </w:p>
        </w:tc>
        <w:tc>
          <w:tcPr>
            <w:tcW w:type="dxa" w:w="67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Skills, education, credential, license, experience, digital access</w:t>
            </w:r>
          </w:p>
        </w:tc>
      </w:tr>
      <w:tr>
        <w:trPr>
          <w:cantSplit/>
        </w:trPr>
        <w:tc>
          <w:tcPr>
            <w:tcW w:type="dxa" w:w="2600"/>
            <w:tcMar>
              <w:top w:w="100" w:type="dxa"/>
              <w:start w:w="140" w:type="dxa"/>
              <w:bottom w:w="100" w:type="dxa"/>
              <w:end w:w="140" w:type="dxa"/>
            </w:tcMar>
            <w:vAlign w:val="center"/>
          </w:tcPr>
          <w:p>
            <w:pPr>
              <w:spacing w:after="0" w:line="264" w:lineRule="auto"/>
            </w:pPr>
            <w:r>
              <w:rPr>
                <w:rFonts w:ascii="Calibri" w:hAnsi="Calibri"/>
                <w:b/>
                <w:i w:val="0"/>
                <w:color w:val="172033"/>
                <w:sz w:val="17"/>
              </w:rPr>
              <w:t>Training/education decision</w:t>
            </w:r>
          </w:p>
        </w:tc>
        <w:tc>
          <w:tcPr>
            <w:tcW w:type="dxa" w:w="6760"/>
            <w:tcMar>
              <w:top w:w="100" w:type="dxa"/>
              <w:start w:w="140" w:type="dxa"/>
              <w:bottom w:w="100" w:type="dxa"/>
              <w:end w:w="140" w:type="dxa"/>
            </w:tcMar>
            <w:vAlign w:val="center"/>
          </w:tcPr>
          <w:p>
            <w:pPr>
              <w:spacing w:after="0" w:line="264" w:lineRule="auto"/>
            </w:pPr>
            <w:r>
              <w:rPr>
                <w:rFonts w:ascii="Calibri" w:hAnsi="Calibri"/>
                <w:b w:val="0"/>
                <w:i w:val="0"/>
                <w:color w:val="172033"/>
                <w:sz w:val="17"/>
              </w:rPr>
              <w:t>Provider/program, cost, time, delivery, outcome evidence, approval status</w:t>
            </w:r>
          </w:p>
        </w:tc>
      </w:tr>
      <w:tr>
        <w:trPr>
          <w:cantSplit/>
        </w:trPr>
        <w:tc>
          <w:tcPr>
            <w:tcW w:type="dxa" w:w="26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Job-search actions</w:t>
            </w:r>
          </w:p>
        </w:tc>
        <w:tc>
          <w:tcPr>
            <w:tcW w:type="dxa" w:w="67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Resume, search filters, target employers, applications, networking, interviews</w:t>
            </w:r>
          </w:p>
        </w:tc>
      </w:tr>
      <w:tr>
        <w:trPr>
          <w:cantSplit/>
        </w:trPr>
        <w:tc>
          <w:tcPr>
            <w:tcW w:type="dxa" w:w="2600"/>
            <w:tcMar>
              <w:top w:w="100" w:type="dxa"/>
              <w:start w:w="140" w:type="dxa"/>
              <w:bottom w:w="100" w:type="dxa"/>
              <w:end w:w="140" w:type="dxa"/>
            </w:tcMar>
            <w:vAlign w:val="center"/>
          </w:tcPr>
          <w:p>
            <w:pPr>
              <w:spacing w:after="0" w:line="264" w:lineRule="auto"/>
            </w:pPr>
            <w:r>
              <w:rPr>
                <w:rFonts w:ascii="Calibri" w:hAnsi="Calibri"/>
                <w:b/>
                <w:i w:val="0"/>
                <w:color w:val="172033"/>
                <w:sz w:val="17"/>
              </w:rPr>
              <w:t>Supportive services</w:t>
            </w:r>
          </w:p>
        </w:tc>
        <w:tc>
          <w:tcPr>
            <w:tcW w:type="dxa" w:w="6760"/>
            <w:tcMar>
              <w:top w:w="100" w:type="dxa"/>
              <w:start w:w="140" w:type="dxa"/>
              <w:bottom w:w="100" w:type="dxa"/>
              <w:end w:w="140" w:type="dxa"/>
            </w:tcMar>
            <w:vAlign w:val="center"/>
          </w:tcPr>
          <w:p>
            <w:pPr>
              <w:spacing w:after="0" w:line="264" w:lineRule="auto"/>
            </w:pPr>
            <w:r>
              <w:rPr>
                <w:rFonts w:ascii="Calibri" w:hAnsi="Calibri"/>
                <w:b w:val="0"/>
                <w:i w:val="0"/>
                <w:color w:val="172033"/>
                <w:sz w:val="17"/>
              </w:rPr>
              <w:t>Transportation, childcare, accessibility, benefits, tools, housing, legal or other referrals</w:t>
            </w:r>
          </w:p>
        </w:tc>
      </w:tr>
      <w:tr>
        <w:trPr>
          <w:cantSplit/>
        </w:trPr>
        <w:tc>
          <w:tcPr>
            <w:tcW w:type="dxa" w:w="26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Milestones</w:t>
            </w:r>
          </w:p>
        </w:tc>
        <w:tc>
          <w:tcPr>
            <w:tcW w:type="dxa" w:w="67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Action, owner, due date, evidence of completion</w:t>
            </w:r>
          </w:p>
        </w:tc>
      </w:tr>
      <w:tr>
        <w:trPr>
          <w:cantSplit/>
        </w:trPr>
        <w:tc>
          <w:tcPr>
            <w:tcW w:type="dxa" w:w="2600"/>
            <w:tcMar>
              <w:top w:w="100" w:type="dxa"/>
              <w:start w:w="140" w:type="dxa"/>
              <w:bottom w:w="100" w:type="dxa"/>
              <w:end w:w="140" w:type="dxa"/>
            </w:tcMar>
            <w:vAlign w:val="center"/>
          </w:tcPr>
          <w:p>
            <w:pPr>
              <w:spacing w:after="0" w:line="264" w:lineRule="auto"/>
            </w:pPr>
            <w:r>
              <w:rPr>
                <w:rFonts w:ascii="Calibri" w:hAnsi="Calibri"/>
                <w:b/>
                <w:i w:val="0"/>
                <w:color w:val="172033"/>
                <w:sz w:val="17"/>
              </w:rPr>
              <w:t>Follow-up</w:t>
            </w:r>
          </w:p>
        </w:tc>
        <w:tc>
          <w:tcPr>
            <w:tcW w:type="dxa" w:w="6760"/>
            <w:tcMar>
              <w:top w:w="100" w:type="dxa"/>
              <w:start w:w="140" w:type="dxa"/>
              <w:bottom w:w="100" w:type="dxa"/>
              <w:end w:w="140" w:type="dxa"/>
            </w:tcMar>
            <w:vAlign w:val="center"/>
          </w:tcPr>
          <w:p>
            <w:pPr>
              <w:spacing w:after="0" w:line="264" w:lineRule="auto"/>
            </w:pPr>
            <w:r>
              <w:rPr>
                <w:rFonts w:ascii="Calibri" w:hAnsi="Calibri"/>
                <w:b w:val="0"/>
                <w:i w:val="0"/>
                <w:color w:val="172033"/>
                <w:sz w:val="17"/>
              </w:rPr>
              <w:t>Date, channel, escalation trigger, retention checkpoints</w:t>
            </w:r>
          </w:p>
        </w:tc>
      </w:tr>
    </w:tbl>
    <w:p>
      <w:pPr>
        <w:spacing w:after="20"/>
      </w:pPr>
    </w:p>
    <w:p>
      <w:r>
        <w:br w:type="page"/>
      </w:r>
    </w:p>
    <w:p>
      <w:pPr>
        <w:pStyle w:val="Kicker"/>
      </w:pPr>
      <w:r>
        <w:rPr>
          <w:rFonts w:ascii="Calibri" w:hAnsi="Calibri"/>
          <w:b/>
          <w:i w:val="0"/>
          <w:color w:val="172033"/>
          <w:sz w:val="20"/>
        </w:rPr>
        <w:t>APPENDIX C</w:t>
      </w:r>
    </w:p>
    <w:p>
      <w:pPr>
        <w:pStyle w:val="Heading1"/>
        <w:keepNext/>
      </w:pPr>
      <w:r>
        <w:rPr>
          <w:rFonts w:ascii="Calibri" w:hAnsi="Calibri"/>
          <w:b w:val="0"/>
          <w:i w:val="0"/>
          <w:color w:val="172033"/>
          <w:sz w:val="36"/>
        </w:rPr>
        <w:t>Responsible AI prompt bank for workforce teams</w:t>
      </w:r>
    </w:p>
    <w:p>
      <w:r>
        <w:rPr>
          <w:rFonts w:ascii="Calibri" w:hAnsi="Calibri"/>
          <w:b w:val="0"/>
          <w:i w:val="0"/>
          <w:color w:val="172033"/>
          <w:sz w:val="21"/>
        </w:rPr>
        <w:t>Use only within approved policy and configuration. Remove unnecessary sensitive information and verify every generated fact and claim.</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900"/>
        <w:gridCol w:w="7460"/>
      </w:tblGrid>
      <w:tr>
        <w:trPr>
          <w:tblHeader w:val="true"/>
          <w:cantSplit/>
        </w:trPr>
        <w:tc>
          <w:tcPr>
            <w:tcW w:type="dxa" w:w="1900"/>
            <w:tcMar>
              <w:top w:w="100" w:type="dxa"/>
              <w:start w:w="140" w:type="dxa"/>
              <w:bottom w:w="100" w:type="dxa"/>
              <w:end w:w="140" w:type="dxa"/>
            </w:tcMar>
            <w:vAlign w:val="center"/>
            <w:shd w:fill="0B1F3A"/>
          </w:tcPr>
          <w:p>
            <w:pPr>
              <w:spacing w:after="0"/>
              <w:jc w:val="left"/>
            </w:pPr>
            <w:r>
              <w:rPr>
                <w:rFonts w:ascii="Calibri" w:hAnsi="Calibri"/>
                <w:b/>
                <w:i w:val="0"/>
                <w:color w:val="FFFFFF"/>
                <w:sz w:val="18"/>
              </w:rPr>
              <w:t>Task</w:t>
            </w:r>
          </w:p>
        </w:tc>
        <w:tc>
          <w:tcPr>
            <w:tcW w:type="dxa" w:w="7460"/>
            <w:tcMar>
              <w:top w:w="100" w:type="dxa"/>
              <w:start w:w="140" w:type="dxa"/>
              <w:bottom w:w="100" w:type="dxa"/>
              <w:end w:w="140" w:type="dxa"/>
            </w:tcMar>
            <w:vAlign w:val="center"/>
            <w:shd w:fill="0B1F3A"/>
          </w:tcPr>
          <w:p>
            <w:pPr>
              <w:spacing w:after="0"/>
              <w:jc w:val="left"/>
            </w:pPr>
            <w:r>
              <w:rPr>
                <w:rFonts w:ascii="Calibri" w:hAnsi="Calibri"/>
                <w:b/>
                <w:i w:val="0"/>
                <w:color w:val="FFFFFF"/>
                <w:sz w:val="18"/>
              </w:rPr>
              <w:t>Prompt pattern</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Career shortlist</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7"/>
              </w:rPr>
              <w:t>Using these verified motivators, skills, constraints, location, wage floor, and credentials, suggest a target, two adjacent options, and a bridge role. Explain evidence and uncertainty.</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Transferable skills</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Translate the following verified tasks into plain, employer-facing transferable skills. Do not invent tools, achievements, or credentials.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IEP draft</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7"/>
              </w:rPr>
              <w:t>Draft an individual employment plan with goal, alternatives, milestones, owner, due date, support need, evidence, and review point. Flag missing information.</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Training comparison</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Compare these verified programs on prerequisites, time, delivery, total cost, credential, completion/outcome evidence, and connection to the target role. Do not recommend until gaps are shown.</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Resume review</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7"/>
              </w:rPr>
              <w:t>Compare this resume to the verified job description. Identify relevant evidence, missing evidence, unclear claims, accessibility/readability issues, and truthful rewrite options.</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7"/>
              </w:rPr>
              <w:t>Interview practice</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7"/>
              </w:rPr>
              <w:t>Create five job-relevant interview questions and a scoring rubric based only on the verified role requirements. Include accommodation-friendly practice options.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7"/>
              </w:rPr>
              <w:t>Case-note draft</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7"/>
              </w:rPr>
              <w:t>Summarize the verified interaction objectively: participant goal, evidence reviewed, participant choice, actions, responsible parties, dates, referrals, and follow-up. Exclude sensitive detail not needed for service.</w:t>
            </w:r>
          </w:p>
        </w:tc>
      </w:tr>
    </w:tbl>
    <w:p>
      <w:pPr>
        <w:spacing w:after="20"/>
      </w:pPr>
    </w:p>
    <w:p>
      <w:r>
        <w:br w:type="page"/>
      </w:r>
    </w:p>
    <w:p>
      <w:pPr>
        <w:pStyle w:val="Kicker"/>
      </w:pPr>
      <w:r>
        <w:rPr>
          <w:rFonts w:ascii="Calibri" w:hAnsi="Calibri"/>
          <w:b/>
          <w:i w:val="0"/>
          <w:color w:val="172033"/>
          <w:sz w:val="20"/>
        </w:rPr>
        <w:t>APPENDIX D</w:t>
      </w:r>
    </w:p>
    <w:p>
      <w:pPr>
        <w:pStyle w:val="Heading1"/>
        <w:keepNext/>
      </w:pPr>
      <w:r>
        <w:rPr>
          <w:rFonts w:ascii="Calibri" w:hAnsi="Calibri"/>
          <w:b w:val="0"/>
          <w:i w:val="0"/>
          <w:color w:val="172033"/>
          <w:sz w:val="36"/>
        </w:rPr>
        <w:t>90-day pilot checklist</w:t>
      </w:r>
    </w:p>
    <w:tbl>
      <w:tblPr>
        <w:tblW w:type="dxa" w:w="9360"/>
        <w:jc w:val="left"/>
        <w:tblLayout w:type="fixed"/>
        <w:tblLook w:firstColumn="1" w:firstRow="1" w:lastColumn="0" w:lastRow="0" w:noHBand="0" w:noVBand="1" w:val="04A0"/>
        <w:tblInd w:w="120" w:type="dxa"/>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Pr>
      <w:tblGrid>
        <w:gridCol w:w="1900"/>
        <w:gridCol w:w="7460"/>
      </w:tblGrid>
      <w:tr>
        <w:trPr>
          <w:tblHeader w:val="true"/>
          <w:cantSplit/>
        </w:trPr>
        <w:tc>
          <w:tcPr>
            <w:tcW w:type="dxa" w:w="1900"/>
            <w:tcMar>
              <w:top w:w="100" w:type="dxa"/>
              <w:start w:w="140" w:type="dxa"/>
              <w:bottom w:w="100" w:type="dxa"/>
              <w:end w:w="140" w:type="dxa"/>
            </w:tcMar>
            <w:vAlign w:val="center"/>
            <w:shd w:fill="0B1F3A"/>
          </w:tcPr>
          <w:p>
            <w:pPr>
              <w:spacing w:after="0"/>
              <w:jc w:val="left"/>
            </w:pPr>
            <w:r>
              <w:rPr>
                <w:rFonts w:ascii="Calibri" w:hAnsi="Calibri"/>
                <w:b/>
                <w:i w:val="0"/>
                <w:color w:val="FFFFFF"/>
                <w:sz w:val="18"/>
              </w:rPr>
              <w:t>Gate</w:t>
            </w:r>
          </w:p>
        </w:tc>
        <w:tc>
          <w:tcPr>
            <w:tcW w:type="dxa" w:w="7460"/>
            <w:tcMar>
              <w:top w:w="100" w:type="dxa"/>
              <w:start w:w="140" w:type="dxa"/>
              <w:bottom w:w="100" w:type="dxa"/>
              <w:end w:w="140" w:type="dxa"/>
            </w:tcMar>
            <w:vAlign w:val="center"/>
            <w:shd w:fill="0B1F3A"/>
          </w:tcPr>
          <w:p>
            <w:pPr>
              <w:spacing w:after="0"/>
              <w:jc w:val="left"/>
            </w:pPr>
            <w:r>
              <w:rPr>
                <w:rFonts w:ascii="Calibri" w:hAnsi="Calibri"/>
                <w:b/>
                <w:i w:val="0"/>
                <w:color w:val="FFFFFF"/>
                <w:sz w:val="18"/>
              </w:rPr>
              <w:t>Ready when…</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Strategy</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Population, problem, owner, outcomes, baseline, scope, and stop/scale criteria are documented.</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Workflow</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Participant journey, staff roles, handoffs, service tiers, and escalation are approved.</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Trust</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Consent, privacy, accessibility, language, equity, AI, and recourse controls are tested.</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Technology</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Configuration, permissions, integrations, data validation, devices, and support are ready.</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People</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Staff have practiced interpretation, workflow, AI review, and participant support.</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Measurement</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Funnel, quality, outcome, equity, and qualitative measures have owners and definitions.</w:t>
            </w:r>
          </w:p>
        </w:tc>
      </w:tr>
      <w:tr>
        <w:trPr>
          <w:cantSplit/>
        </w:trPr>
        <w:tc>
          <w:tcPr>
            <w:tcW w:type="dxa" w:w="1900"/>
            <w:tcMar>
              <w:top w:w="100" w:type="dxa"/>
              <w:start w:w="140" w:type="dxa"/>
              <w:bottom w:w="100" w:type="dxa"/>
              <w:end w:w="140" w:type="dxa"/>
            </w:tcMar>
            <w:vAlign w:val="center"/>
          </w:tcPr>
          <w:p>
            <w:pPr>
              <w:spacing w:after="0" w:line="264" w:lineRule="auto"/>
            </w:pPr>
            <w:r>
              <w:rPr>
                <w:rFonts w:ascii="Calibri" w:hAnsi="Calibri"/>
                <w:b/>
                <w:i w:val="0"/>
                <w:color w:val="172033"/>
                <w:sz w:val="18"/>
              </w:rPr>
              <w:t>Launch</w:t>
            </w:r>
          </w:p>
        </w:tc>
        <w:tc>
          <w:tcPr>
            <w:tcW w:type="dxa" w:w="7460"/>
            <w:tcMar>
              <w:top w:w="100" w:type="dxa"/>
              <w:start w:w="140" w:type="dxa"/>
              <w:bottom w:w="100" w:type="dxa"/>
              <w:end w:w="140" w:type="dxa"/>
            </w:tcMar>
            <w:vAlign w:val="center"/>
          </w:tcPr>
          <w:p>
            <w:pPr>
              <w:spacing w:after="0" w:line="264" w:lineRule="auto"/>
            </w:pPr>
            <w:r>
              <w:rPr>
                <w:rFonts w:ascii="Calibri" w:hAnsi="Calibri"/>
                <w:b w:val="0"/>
                <w:i w:val="0"/>
                <w:color w:val="172033"/>
                <w:sz w:val="18"/>
              </w:rPr>
              <w:t>Pilot cohort, communications, office hours, issue log, and daily/weekly review cadence are set.</w:t>
            </w:r>
          </w:p>
        </w:tc>
      </w:tr>
      <w:tr>
        <w:trPr>
          <w:cantSplit/>
        </w:trPr>
        <w:tc>
          <w:tcPr>
            <w:tcW w:type="dxa" w:w="1900"/>
            <w:shd w:fill="F5F7FA"/>
            <w:tcMar>
              <w:top w:w="100" w:type="dxa"/>
              <w:start w:w="140" w:type="dxa"/>
              <w:bottom w:w="100" w:type="dxa"/>
              <w:end w:w="140" w:type="dxa"/>
            </w:tcMar>
            <w:vAlign w:val="center"/>
          </w:tcPr>
          <w:p>
            <w:pPr>
              <w:spacing w:after="0" w:line="264" w:lineRule="auto"/>
            </w:pPr>
            <w:r>
              <w:rPr>
                <w:rFonts w:ascii="Calibri" w:hAnsi="Calibri"/>
                <w:b/>
                <w:i w:val="0"/>
                <w:color w:val="172033"/>
                <w:sz w:val="18"/>
              </w:rPr>
              <w:t>Decision</w:t>
            </w:r>
          </w:p>
        </w:tc>
        <w:tc>
          <w:tcPr>
            <w:tcW w:type="dxa" w:w="7460"/>
            <w:shd w:fill="F5F7FA"/>
            <w:tcMar>
              <w:top w:w="100" w:type="dxa"/>
              <w:start w:w="140" w:type="dxa"/>
              <w:bottom w:w="100" w:type="dxa"/>
              <w:end w:w="140" w:type="dxa"/>
            </w:tcMar>
            <w:vAlign w:val="center"/>
          </w:tcPr>
          <w:p>
            <w:pPr>
              <w:spacing w:after="0" w:line="264" w:lineRule="auto"/>
            </w:pPr>
            <w:r>
              <w:rPr>
                <w:rFonts w:ascii="Calibri" w:hAnsi="Calibri"/>
                <w:b w:val="0"/>
                <w:i w:val="0"/>
                <w:color w:val="172033"/>
                <w:sz w:val="18"/>
              </w:rPr>
              <w:t>Evidence is reviewed by the authorized group and the next-state plan is funded and owned.</w:t>
            </w:r>
          </w:p>
        </w:tc>
      </w:tr>
    </w:tbl>
    <w:p>
      <w:pPr>
        <w:spacing w:after="20"/>
      </w:pPr>
    </w:p>
    <w:p>
      <w:r>
        <w:br w:type="page"/>
      </w:r>
    </w:p>
    <w:p>
      <w:pPr>
        <w:pStyle w:val="Kicker"/>
      </w:pPr>
      <w:r>
        <w:rPr>
          <w:rFonts w:ascii="Calibri" w:hAnsi="Calibri"/>
          <w:b/>
          <w:i w:val="0"/>
          <w:color w:val="172033"/>
          <w:sz w:val="20"/>
        </w:rPr>
        <w:t>APPENDIX E</w:t>
      </w:r>
    </w:p>
    <w:p>
      <w:pPr>
        <w:pStyle w:val="Heading1"/>
        <w:keepNext/>
      </w:pPr>
      <w:r>
        <w:rPr>
          <w:rFonts w:ascii="Calibri" w:hAnsi="Calibri"/>
          <w:b w:val="0"/>
          <w:i w:val="0"/>
          <w:color w:val="172033"/>
          <w:sz w:val="36"/>
        </w:rPr>
        <w:t>Sources and further reading</w:t>
      </w:r>
    </w:p>
    <w:p>
      <w:pPr>
        <w:pStyle w:val="Heading2"/>
      </w:pPr>
      <w:r>
        <w:rPr>
          <w:rFonts w:ascii="Calibri" w:hAnsi="Calibri"/>
          <w:b w:val="0"/>
          <w:i w:val="0"/>
          <w:color w:val="172033"/>
          <w:sz w:val="28"/>
        </w:rPr>
        <w:t>Platform sources</w:t>
      </w:r>
    </w:p>
    <w:p>
      <w:hyperlink r:id="rId12">
        <w:r>
          <w:rPr>
            <w:color w:val="2E6BE6"/>
            <w:u w:val="single"/>
            <w:rFonts w:ascii="Calibri" w:hAnsi="Calibri"/>
            <w:sz w:val="20"/>
          </w:rPr>
          <w:t>Assessment.com — Workforce Development Platform</w:t>
        </w:r>
      </w:hyperlink>
    </w:p>
    <w:p>
      <w:hyperlink r:id="rId13">
        <w:r>
          <w:rPr>
            <w:color w:val="2E6BE6"/>
            <w:u w:val="single"/>
            <w:rFonts w:ascii="Calibri" w:hAnsi="Calibri"/>
            <w:sz w:val="20"/>
          </w:rPr>
          <w:t>Assessment.com — Individual Career and Education Platform</w:t>
        </w:r>
      </w:hyperlink>
    </w:p>
    <w:p>
      <w:hyperlink r:id="rId15">
        <w:r>
          <w:rPr>
            <w:color w:val="2E6BE6"/>
            <w:u w:val="single"/>
            <w:rFonts w:ascii="Calibri" w:hAnsi="Calibri"/>
            <w:sz w:val="20"/>
          </w:rPr>
          <w:t>Assessment.com — Outplacement Services</w:t>
        </w:r>
      </w:hyperlink>
    </w:p>
    <w:p>
      <w:hyperlink r:id="rId17">
        <w:r>
          <w:rPr>
            <w:color w:val="2E6BE6"/>
            <w:u w:val="single"/>
            <w:rFonts w:ascii="Calibri" w:hAnsi="Calibri"/>
            <w:sz w:val="20"/>
          </w:rPr>
          <w:t>Assessment.com — MAPP Career Assessment</w:t>
        </w:r>
      </w:hyperlink>
    </w:p>
    <w:p>
      <w:pPr>
        <w:pStyle w:val="Heading2"/>
      </w:pPr>
      <w:r>
        <w:rPr>
          <w:rFonts w:ascii="Calibri" w:hAnsi="Calibri"/>
          <w:b w:val="0"/>
          <w:i w:val="0"/>
          <w:color w:val="172033"/>
          <w:sz w:val="28"/>
        </w:rPr>
        <w:t>Workforce-system sources</w:t>
      </w:r>
    </w:p>
    <w:p>
      <w:hyperlink r:id="rId18">
        <w:r>
          <w:rPr>
            <w:color w:val="2E6BE6"/>
            <w:u w:val="single"/>
            <w:rFonts w:ascii="Calibri" w:hAnsi="Calibri"/>
            <w:sz w:val="20"/>
          </w:rPr>
          <w:t>U.S. Department of Labor — WIOA Performance Indicators and Measures</w:t>
        </w:r>
      </w:hyperlink>
    </w:p>
    <w:p>
      <w:hyperlink r:id="rId19">
        <w:r>
          <w:rPr>
            <w:color w:val="2E6BE6"/>
            <w:u w:val="single"/>
            <w:rFonts w:ascii="Calibri" w:hAnsi="Calibri"/>
            <w:sz w:val="20"/>
          </w:rPr>
          <w:t>U.S. Department of Labor — National Performance Results</w:t>
        </w:r>
      </w:hyperlink>
    </w:p>
    <w:p>
      <w:hyperlink r:id="rId20">
        <w:r>
          <w:rPr>
            <w:color w:val="2E6BE6"/>
            <w:u w:val="single"/>
            <w:rFonts w:ascii="Calibri" w:hAnsi="Calibri"/>
            <w:sz w:val="20"/>
          </w:rPr>
          <w:t>Apprenticeship.gov — Registered Apprenticeship Program</w:t>
        </w:r>
      </w:hyperlink>
    </w:p>
    <w:p>
      <w:hyperlink r:id="rId21">
        <w:r>
          <w:rPr>
            <w:color w:val="2E6BE6"/>
            <w:u w:val="single"/>
            <w:rFonts w:ascii="Calibri" w:hAnsi="Calibri"/>
            <w:sz w:val="20"/>
          </w:rPr>
          <w:t>O*NET Web Services</w:t>
        </w:r>
      </w:hyperlink>
    </w:p>
    <w:p>
      <w:hyperlink r:id="rId22">
        <w:r>
          <w:rPr>
            <w:color w:val="2E6BE6"/>
            <w:u w:val="single"/>
            <w:rFonts w:ascii="Calibri" w:hAnsi="Calibri"/>
            <w:sz w:val="20"/>
          </w:rPr>
          <w:t>U.S. Bureau of Labor Statistics — Employment Projections</w:t>
        </w:r>
      </w:hyperlink>
    </w:p>
    <w:tbl>
      <w:tblPr>
        <w:tblW w:type="dxa" w:w="9360"/>
        <w:jc w:val="left"/>
        <w:tblLayout w:type="fixed"/>
        <w:tblLook w:firstColumn="1" w:firstRow="1" w:lastColumn="0" w:lastRow="0" w:noHBand="0" w:noVBand="1" w:val="04A0"/>
        <w:tblInd w:w="120" w:type="dxa"/>
        <w:tblBorders>
          <w:top w:val="single" w:sz="8" w:space="0" w:color="2E6BE6"/>
          <w:left w:val="single" w:sz="8" w:space="0" w:color="2E6BE6"/>
          <w:bottom w:val="single" w:sz="8" w:space="0" w:color="2E6BE6"/>
          <w:right w:val="single" w:sz="8" w:space="0" w:color="2E6BE6"/>
          <w:insideH w:val="single" w:sz="8" w:space="0" w:color="2E6BE6"/>
          <w:insideV w:val="single" w:sz="8" w:space="0" w:color="2E6BE6"/>
        </w:tblBorders>
      </w:tblPr>
      <w:tblGrid>
        <w:gridCol w:w="9360"/>
      </w:tblGrid>
      <w:tr>
        <w:trPr>
          <w:cantSplit/>
        </w:trPr>
        <w:tc>
          <w:tcPr>
            <w:tcW w:type="dxa" w:w="9360"/>
            <w:tcMar>
              <w:top w:w="100" w:type="dxa"/>
              <w:start w:w="140" w:type="dxa"/>
              <w:bottom w:w="100" w:type="dxa"/>
              <w:end w:w="140" w:type="dxa"/>
            </w:tcMar>
            <w:vAlign w:val="center"/>
            <w:shd w:fill="EAF1FF"/>
          </w:tcPr>
          <w:p>
            <w:pPr>
              <w:spacing w:after="60"/>
            </w:pPr>
            <w:r>
              <w:rPr>
                <w:rFonts w:ascii="Calibri" w:hAnsi="Calibri"/>
                <w:b/>
                <w:i w:val="0"/>
                <w:color w:val="0B1F3A"/>
                <w:sz w:val="20"/>
              </w:rPr>
              <w:t xml:space="preserve">Currency note  </w:t>
            </w:r>
            <w:r>
              <w:rPr>
                <w:rFonts w:ascii="Calibri" w:hAnsi="Calibri"/>
                <w:b w:val="0"/>
                <w:i w:val="0"/>
                <w:color w:val="172033"/>
                <w:sz w:val="20"/>
              </w:rPr>
              <w:t>Platform features, labor-market data, regulations, guidance, and program rules change. Confirm current capabilities, contracts, state policy, accessibility evidence, and reporting requirements before implementation.</w:t>
            </w:r>
          </w:p>
        </w:tc>
      </w:tr>
    </w:tbl>
    <w:p>
      <w:pPr>
        <w:spacing w:after="20"/>
      </w:pPr>
    </w:p>
    <w:tbl>
      <w:tblPr>
        <w:tblW w:type="dxa" w:w="9360"/>
        <w:tblLayout w:type="fixed"/>
        <w:tblLook w:firstColumn="1" w:firstRow="1" w:lastColumn="0" w:lastRow="0" w:noHBand="0" w:noVBand="1" w:val="04A0"/>
        <w:tblInd w:w="120" w:type="dxa"/>
        <w:tblBorders>
          <w:top w:val="single" w:sz="10" w:space="0" w:color="F4C400"/>
          <w:left w:val="single" w:sz="10" w:space="0" w:color="F4C400"/>
          <w:bottom w:val="single" w:sz="10" w:space="0" w:color="F4C400"/>
          <w:right w:val="single" w:sz="10" w:space="0" w:color="F4C400"/>
          <w:insideH w:val="single" w:sz="10" w:space="0" w:color="F4C400"/>
          <w:insideV w:val="single" w:sz="10" w:space="0" w:color="F4C400"/>
        </w:tblBorders>
      </w:tblPr>
      <w:tblGrid>
        <w:gridCol w:w="9360"/>
      </w:tblGrid>
      <w:tr>
        <w:tc>
          <w:tcPr>
            <w:tcW w:type="dxa" w:w="9360"/>
            <w:tcMar>
              <w:top w:w="100" w:type="dxa"/>
              <w:start w:w="140" w:type="dxa"/>
              <w:bottom w:w="100" w:type="dxa"/>
              <w:end w:w="140" w:type="dxa"/>
            </w:tcMar>
            <w:vAlign w:val="center"/>
            <w:shd w:fill="FFF8D8"/>
          </w:tcPr>
          <w:p>
            <w:pPr>
              <w:spacing w:after="60"/>
            </w:pPr>
            <w:r>
              <w:rPr>
                <w:rFonts w:ascii="Calibri" w:hAnsi="Calibri"/>
                <w:b/>
                <w:i w:val="0"/>
                <w:color w:val="0B1F3A"/>
                <w:sz w:val="24"/>
              </w:rPr>
              <w:t>Ready to explore?</w:t>
            </w:r>
          </w:p>
          <w:p>
            <w:pPr>
              <w:spacing w:after="80"/>
            </w:pPr>
            <w:r>
              <w:rPr>
                <w:rFonts w:ascii="Calibri" w:hAnsi="Calibri"/>
                <w:b w:val="0"/>
                <w:i w:val="0"/>
                <w:color w:val="172033"/>
                <w:sz w:val="20"/>
              </w:rPr>
              <w:t>Experience the participant journey, review workforce solutions, or discuss an agency pilot.</w:t>
            </w:r>
          </w:p>
          <w:p>
            <w:pPr>
              <w:spacing w:after="0"/>
            </w:pPr>
            <w:hyperlink r:id="rId11">
              <w:r>
                <w:rPr>
                  <w:color w:val="2E6BE6"/>
                  <w:u w:val="single"/>
                  <w:rFonts w:ascii="Calibri" w:hAnsi="Calibri"/>
                  <w:sz w:val="20"/>
                </w:rPr>
                <w:t>Create a Free Account  →</w:t>
              </w:r>
            </w:hyperlink>
          </w:p>
        </w:tc>
      </w:tr>
    </w:tbl>
    <w:p>
      <w:pPr>
        <w:spacing w:after="20"/>
      </w:pPr>
    </w:p>
    <w:sectPr w:rsidR="00FC693F" w:rsidRPr="0006063C" w:rsidSect="00034616">
      <w:headerReference w:type="default" r:id="rId9"/>
      <w:footerReference w:type="default" r:id="rId10"/>
      <w:pgSz w:w="12240" w:h="15840"/>
      <w:pgMar w:top="1181" w:right="1440" w:bottom="1123" w:left="1440" w:header="504" w:footer="50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D6878"/>
        <w:sz w:val="16"/>
      </w:rPr>
      <w:t xml:space="preserve">ASSESSMENT.COM   •   </w:t>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i w:val="0"/>
        <w:color w:val="0B1F3A"/>
        <w:sz w:val="16"/>
      </w:rPr>
      <w:t>MAPP® WORKFORCE DEVELOPMENT AGENCY GUIDE</w:t>
    </w:r>
    <w:r>
      <w:rPr>
        <w:rFonts w:ascii="Calibri" w:hAnsi="Calibri"/>
        <w:b w:val="0"/>
        <w:i w:val="0"/>
        <w:color w:val="5D6878"/>
        <w:sz w:val="16"/>
      </w:rPr>
      <w:t xml:space="preserve">    |    ASSESSMENT.COM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1">
    <w:abstractNumId w:val="10"/>
  </w:num>
  <w:abstractNum w:abstractNumId="11">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2">
    <w:abstractNumId w:val="11"/>
  </w:num>
  <w:abstractNum w:abstractNumId="12">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Calibri" w:hAnsi="Calibri"/>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0B1F3A"/>
      <w:sz w:val="36"/>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b/>
      <w:bCs/>
      <w:color w:val="2E6BE6"/>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b/>
      <w:bCs/>
      <w:color w:val="0B1F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Calibri" w:hAnsi="Calibri"/>
      <w:b/>
      <w:color w:val="0B1F3A"/>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80"/>
    </w:pPr>
    <w:rPr>
      <w:rFonts w:asciiTheme="majorHAnsi" w:eastAsiaTheme="majorEastAsia" w:hAnsiTheme="majorHAnsi" w:cstheme="majorBidi" w:ascii="Calibri" w:hAnsi="Calibri"/>
      <w:b w:val="0"/>
      <w:i/>
      <w:iCs/>
      <w:color w:val="5D687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40"/>
    </w:pPr>
    <w:rPr>
      <w:rFonts w:ascii="Calibri" w:hAnsi="Calibri"/>
      <w:b/>
      <w:color w:val="F4C400"/>
      <w:sz w:val="20"/>
    </w:rPr>
  </w:style>
  <w:style w:type="paragraph" w:customStyle="1" w:styleId="Lead">
    <w:name w:val="Lead"/>
    <w:pPr>
      <w:spacing w:after="200"/>
    </w:pPr>
    <w:rPr>
      <w:rFonts w:ascii="Calibri" w:hAnsi="Calibri"/>
      <w:b w:val="0"/>
      <w:color w:val="0B1F3A"/>
      <w:sz w:val="24"/>
    </w:rPr>
  </w:style>
  <w:style w:type="paragraph" w:customStyle="1" w:styleId="Small">
    <w:name w:val="Small"/>
    <w:pPr>
      <w:spacing w:after="60"/>
    </w:pPr>
    <w:rPr>
      <w:rFonts w:ascii="Calibri" w:hAnsi="Calibri"/>
      <w:b w:val="0"/>
      <w:color w:val="5D6878"/>
      <w:sz w:val="17"/>
    </w:rPr>
  </w:style>
  <w:style w:type="paragraph" w:customStyle="1" w:styleId="CalloutLabel">
    <w:name w:val="Callout Label"/>
    <w:pPr>
      <w:spacing w:after="40"/>
    </w:pPr>
    <w:rPr>
      <w:rFonts w:ascii="Calibri" w:hAnsi="Calibri"/>
      <w:b/>
      <w:color w:val="0B1F3A"/>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tform.assessment.com/auth/signup" TargetMode="External"/><Relationship Id="rId12" Type="http://schemas.openxmlformats.org/officeDocument/2006/relationships/hyperlink" Target="https://www.assessment.com/platform/workforce-development" TargetMode="External"/><Relationship Id="rId13" Type="http://schemas.openxmlformats.org/officeDocument/2006/relationships/hyperlink" Target="https://www.assessment.com/platform/individuals" TargetMode="External"/><Relationship Id="rId14" Type="http://schemas.openxmlformats.org/officeDocument/2006/relationships/image" Target="media/image1.png"/><Relationship Id="rId15" Type="http://schemas.openxmlformats.org/officeDocument/2006/relationships/hyperlink" Target="https://www.assessment.com/platform/outplacement-services" TargetMode="External"/><Relationship Id="rId16" Type="http://schemas.openxmlformats.org/officeDocument/2006/relationships/hyperlink" Target="https://www.assessment.com/contact-us" TargetMode="External"/><Relationship Id="rId17" Type="http://schemas.openxmlformats.org/officeDocument/2006/relationships/hyperlink" Target="https://www.assessment.com/mapp-assessment" TargetMode="External"/><Relationship Id="rId18" Type="http://schemas.openxmlformats.org/officeDocument/2006/relationships/hyperlink" Target="https://www.dol.gov/agencies/eta/performance/definitions" TargetMode="External"/><Relationship Id="rId19" Type="http://schemas.openxmlformats.org/officeDocument/2006/relationships/hyperlink" Target="https://www.dol.gov/agencies/eta/performance/results" TargetMode="External"/><Relationship Id="rId20" Type="http://schemas.openxmlformats.org/officeDocument/2006/relationships/hyperlink" Target="https://www.apprenticeship.gov/employers/registered-apprenticeship-program" TargetMode="External"/><Relationship Id="rId21" Type="http://schemas.openxmlformats.org/officeDocument/2006/relationships/hyperlink" Target="https://services.onetcenter.org/" TargetMode="External"/><Relationship Id="rId22" Type="http://schemas.openxmlformats.org/officeDocument/2006/relationships/hyperlink" Target="https://www.bls.gov/e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 and Assessment.com for Workforce Development Agencies</dc:title>
  <dc:subject>Implementation guide for state, county, regional, and local workforce systems</dc:subject>
  <dc:creator>Assessment.com</dc:creator>
  <cp:keywords>MAPP, workforce development, WIOA, career assessment, AI career navigation, outplacement</cp:keywords>
  <dc:description>generated by python-docx</dc:description>
  <cp:lastModifiedBy/>
  <cp:revision>1</cp:revision>
  <dcterms:created xsi:type="dcterms:W3CDTF">2013-12-23T23:15:00Z</dcterms:created>
  <dcterms:modified xsi:type="dcterms:W3CDTF">2013-12-23T23:15:00Z</dcterms:modified>
  <cp:category/>
</cp:coreProperties>
</file>