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C6755" w14:textId="6FD37C33" w:rsidR="00BD159D" w:rsidRPr="00E45723" w:rsidRDefault="00EA3B06">
      <w:pPr>
        <w:suppressAutoHyphens/>
        <w:rPr>
          <w:rFonts w:asciiTheme="minorHAnsi" w:hAnsiTheme="minorHAnsi" w:cs="Calibri"/>
        </w:rPr>
      </w:pPr>
      <w:r w:rsidRPr="00E45723">
        <w:rPr>
          <w:rFonts w:asciiTheme="minorHAnsi" w:hAnsiTheme="minorHAnsi" w:cs="Calibri"/>
          <w:noProof/>
        </w:rPr>
        <w:drawing>
          <wp:anchor distT="0" distB="0" distL="114300" distR="114300" simplePos="0" relativeHeight="251658240" behindDoc="1" locked="0" layoutInCell="1" allowOverlap="1" wp14:anchorId="1F50965B" wp14:editId="10EE31D8">
            <wp:simplePos x="0" y="0"/>
            <wp:positionH relativeFrom="page">
              <wp:posOffset>818</wp:posOffset>
            </wp:positionH>
            <wp:positionV relativeFrom="page">
              <wp:posOffset>0</wp:posOffset>
            </wp:positionV>
            <wp:extent cx="7559309" cy="10692765"/>
            <wp:effectExtent l="0" t="0" r="3810" b="0"/>
            <wp:wrapNone/>
            <wp:docPr id="165811642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811642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559309" cy="10692765"/>
                    </a:xfrm>
                    <a:prstGeom prst="rect">
                      <a:avLst/>
                    </a:prstGeom>
                  </pic:spPr>
                </pic:pic>
              </a:graphicData>
            </a:graphic>
            <wp14:sizeRelH relativeFrom="margin">
              <wp14:pctWidth>0</wp14:pctWidth>
            </wp14:sizeRelH>
            <wp14:sizeRelV relativeFrom="margin">
              <wp14:pctHeight>0</wp14:pctHeight>
            </wp14:sizeRelV>
          </wp:anchor>
        </w:drawing>
      </w:r>
    </w:p>
    <w:p w14:paraId="64B5FE3F" w14:textId="77777777" w:rsidR="00BD159D" w:rsidRPr="00E45723" w:rsidRDefault="00BD159D" w:rsidP="00EA3B06">
      <w:pPr>
        <w:suppressAutoHyphens/>
        <w:rPr>
          <w:rFonts w:asciiTheme="minorHAnsi" w:hAnsiTheme="minorHAnsi" w:cs="Calibri"/>
        </w:rPr>
        <w:sectPr w:rsidR="00BD159D" w:rsidRPr="00E45723" w:rsidSect="00EA3B06">
          <w:footerReference w:type="default" r:id="rId12"/>
          <w:pgSz w:w="11907" w:h="16839"/>
          <w:pgMar w:top="1416" w:right="1416" w:bottom="1416" w:left="1416" w:header="708" w:footer="708" w:gutter="0"/>
          <w:cols w:space="708"/>
          <w:titlePg/>
          <w:docGrid w:linePitch="218"/>
        </w:sectPr>
      </w:pPr>
    </w:p>
    <w:p w14:paraId="34E7A03D" w14:textId="77777777" w:rsidR="00BD159D" w:rsidRPr="00E45723" w:rsidRDefault="00FD7771" w:rsidP="00EA3B06">
      <w:pPr>
        <w:pStyle w:val="Stlus2"/>
        <w:suppressAutoHyphens/>
        <w:outlineLvl w:val="9"/>
        <w:rPr>
          <w:rFonts w:asciiTheme="minorHAnsi" w:hAnsiTheme="minorHAnsi" w:cs="Calibri"/>
        </w:rPr>
      </w:pPr>
      <w:bookmarkStart w:id="0" w:name="_Toc230770518"/>
      <w:r w:rsidRPr="00E45723">
        <w:rPr>
          <w:rFonts w:asciiTheme="minorHAnsi" w:hAnsiTheme="minorHAnsi" w:cs="Calibri"/>
        </w:rPr>
        <w:lastRenderedPageBreak/>
        <w:t>Tartalomjegyzék</w:t>
      </w:r>
      <w:bookmarkEnd w:id="0"/>
    </w:p>
    <w:sdt>
      <w:sdtPr>
        <w:rPr>
          <w:rFonts w:asciiTheme="minorHAnsi" w:hAnsiTheme="minorHAnsi" w:cs="Calibri"/>
          <w:color w:val="000000" w:themeColor="text1"/>
          <w:sz w:val="16"/>
          <w:szCs w:val="22"/>
        </w:rPr>
        <w:id w:val="-517624774"/>
        <w:docPartObj>
          <w:docPartGallery w:val="Table of Contents"/>
          <w:docPartUnique/>
        </w:docPartObj>
      </w:sdtPr>
      <w:sdtEndPr>
        <w:rPr>
          <w:color w:val="000000"/>
          <w:sz w:val="24"/>
          <w:szCs w:val="24"/>
        </w:rPr>
      </w:sdtEndPr>
      <w:sdtContent>
        <w:p w14:paraId="259A5106" w14:textId="3D06D343" w:rsidR="004A4D88" w:rsidRPr="00E45723" w:rsidRDefault="00EA3B06">
          <w:pPr>
            <w:pStyle w:val="TOC1"/>
            <w:rPr>
              <w:rFonts w:asciiTheme="minorHAnsi" w:eastAsiaTheme="minorEastAsia" w:hAnsiTheme="minorHAnsi" w:cs="Calibri"/>
              <w:bCs w:val="0"/>
              <w:noProof/>
              <w:color w:val="auto"/>
              <w:kern w:val="2"/>
              <w14:ligatures w14:val="standardContextual"/>
            </w:rPr>
          </w:pPr>
          <w:r w:rsidRPr="00E45723">
            <w:rPr>
              <w:rFonts w:asciiTheme="minorHAnsi" w:hAnsiTheme="minorHAnsi" w:cs="Calibri"/>
              <w:bCs w:val="0"/>
              <w:sz w:val="32"/>
            </w:rPr>
            <w:fldChar w:fldCharType="begin"/>
          </w:r>
          <w:r w:rsidRPr="00E45723">
            <w:rPr>
              <w:rFonts w:asciiTheme="minorHAnsi" w:hAnsiTheme="minorHAnsi" w:cs="Calibri"/>
              <w:bCs w:val="0"/>
              <w:sz w:val="32"/>
            </w:rPr>
            <w:instrText xml:space="preserve"> TOC \o "1-3" \h \z \u </w:instrText>
          </w:r>
          <w:r w:rsidRPr="00E45723">
            <w:rPr>
              <w:rFonts w:asciiTheme="minorHAnsi" w:hAnsiTheme="minorHAnsi" w:cs="Calibri"/>
              <w:bCs w:val="0"/>
              <w:sz w:val="32"/>
            </w:rPr>
            <w:fldChar w:fldCharType="separate"/>
          </w:r>
          <w:hyperlink w:anchor="_Toc239834895" w:history="1">
            <w:r w:rsidR="004A4D88" w:rsidRPr="00E45723">
              <w:rPr>
                <w:rStyle w:val="Hyperlink"/>
                <w:rFonts w:asciiTheme="minorHAnsi" w:hAnsiTheme="minorHAnsi" w:cs="Calibri"/>
                <w:noProof/>
              </w:rPr>
              <w:t>Vezetői köszöntő</w:t>
            </w:r>
            <w:r w:rsidR="004A4D88" w:rsidRPr="00E45723">
              <w:rPr>
                <w:rFonts w:asciiTheme="minorHAnsi" w:hAnsiTheme="minorHAnsi" w:cs="Calibri"/>
                <w:noProof/>
                <w:webHidden/>
              </w:rPr>
              <w:tab/>
            </w:r>
            <w:r w:rsidR="004A4D88" w:rsidRPr="00E45723">
              <w:rPr>
                <w:rFonts w:asciiTheme="minorHAnsi" w:hAnsiTheme="minorHAnsi" w:cs="Calibri"/>
                <w:noProof/>
                <w:webHidden/>
              </w:rPr>
              <w:fldChar w:fldCharType="begin"/>
            </w:r>
            <w:r w:rsidR="004A4D88" w:rsidRPr="00E45723">
              <w:rPr>
                <w:rFonts w:asciiTheme="minorHAnsi" w:hAnsiTheme="minorHAnsi" w:cs="Calibri"/>
                <w:noProof/>
                <w:webHidden/>
              </w:rPr>
              <w:instrText xml:space="preserve"> PAGEREF _Toc239834895 \h </w:instrText>
            </w:r>
            <w:r w:rsidR="004A4D88" w:rsidRPr="00E45723">
              <w:rPr>
                <w:rFonts w:asciiTheme="minorHAnsi" w:hAnsiTheme="minorHAnsi" w:cs="Calibri"/>
                <w:noProof/>
                <w:webHidden/>
              </w:rPr>
            </w:r>
            <w:r w:rsidR="004A4D88" w:rsidRPr="00E45723">
              <w:rPr>
                <w:rFonts w:asciiTheme="minorHAnsi" w:hAnsiTheme="minorHAnsi" w:cs="Calibri"/>
                <w:noProof/>
                <w:webHidden/>
              </w:rPr>
              <w:fldChar w:fldCharType="separate"/>
            </w:r>
            <w:r w:rsidR="004A4D88" w:rsidRPr="00E45723">
              <w:rPr>
                <w:rFonts w:asciiTheme="minorHAnsi" w:hAnsiTheme="minorHAnsi" w:cs="Calibri"/>
                <w:noProof/>
                <w:webHidden/>
              </w:rPr>
              <w:t>4</w:t>
            </w:r>
            <w:r w:rsidR="004A4D88" w:rsidRPr="00E45723">
              <w:rPr>
                <w:rFonts w:asciiTheme="minorHAnsi" w:hAnsiTheme="minorHAnsi" w:cs="Calibri"/>
                <w:noProof/>
                <w:webHidden/>
              </w:rPr>
              <w:fldChar w:fldCharType="end"/>
            </w:r>
          </w:hyperlink>
        </w:p>
        <w:p w14:paraId="2C23247A" w14:textId="3B47DF66"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896" w:history="1">
            <w:r w:rsidRPr="00E45723">
              <w:rPr>
                <w:rStyle w:val="Hyperlink"/>
                <w:rFonts w:asciiTheme="minorHAnsi" w:hAnsiTheme="minorHAnsi" w:cs="Calibri"/>
                <w:noProof/>
              </w:rPr>
              <w:t>Küldetésünk és jövőképünk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_Toc239834896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w:t>
            </w:r>
            <w:r w:rsidRPr="00E45723">
              <w:rPr>
                <w:rFonts w:asciiTheme="minorHAnsi" w:hAnsiTheme="minorHAnsi" w:cs="Calibri"/>
                <w:noProof/>
                <w:webHidden/>
              </w:rPr>
              <w:fldChar w:fldCharType="end"/>
            </w:r>
          </w:hyperlink>
        </w:p>
        <w:p w14:paraId="5B3B393B" w14:textId="1BF225F9"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897" w:history="1">
            <w:r w:rsidRPr="00E45723">
              <w:rPr>
                <w:rStyle w:val="Hyperlink"/>
                <w:rFonts w:asciiTheme="minorHAnsi" w:hAnsiTheme="minorHAnsi" w:cs="Calibri"/>
                <w:noProof/>
              </w:rPr>
              <w:t>Küldetésünk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_Toc239834897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w:t>
            </w:r>
            <w:r w:rsidRPr="00E45723">
              <w:rPr>
                <w:rFonts w:asciiTheme="minorHAnsi" w:hAnsiTheme="minorHAnsi" w:cs="Calibri"/>
                <w:noProof/>
                <w:webHidden/>
              </w:rPr>
              <w:fldChar w:fldCharType="end"/>
            </w:r>
          </w:hyperlink>
        </w:p>
        <w:p w14:paraId="0A0F6F45" w14:textId="3A6604B0"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898" w:history="1">
            <w:r w:rsidRPr="00E45723">
              <w:rPr>
                <w:rStyle w:val="Hyperlink"/>
                <w:rFonts w:asciiTheme="minorHAnsi" w:hAnsiTheme="minorHAnsi" w:cs="Calibri"/>
                <w:noProof/>
              </w:rPr>
              <w:t>Jövőképünk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_Toc239834898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w:t>
            </w:r>
            <w:r w:rsidRPr="00E45723">
              <w:rPr>
                <w:rFonts w:asciiTheme="minorHAnsi" w:hAnsiTheme="minorHAnsi" w:cs="Calibri"/>
                <w:noProof/>
                <w:webHidden/>
              </w:rPr>
              <w:fldChar w:fldCharType="end"/>
            </w:r>
          </w:hyperlink>
        </w:p>
        <w:p w14:paraId="0D2C4D96" w14:textId="6EF69F1B"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899" w:history="1">
            <w:r w:rsidRPr="00E45723">
              <w:rPr>
                <w:rStyle w:val="Hyperlink"/>
                <w:rFonts w:asciiTheme="minorHAnsi" w:hAnsiTheme="minorHAnsi" w:cs="Calibri"/>
                <w:noProof/>
              </w:rPr>
              <w:t>Értékeink és fenntarthatósági megközelítésünk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_Toc239834899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6</w:t>
            </w:r>
            <w:r w:rsidRPr="00E45723">
              <w:rPr>
                <w:rFonts w:asciiTheme="minorHAnsi" w:hAnsiTheme="minorHAnsi" w:cs="Calibri"/>
                <w:noProof/>
                <w:webHidden/>
              </w:rPr>
              <w:fldChar w:fldCharType="end"/>
            </w:r>
          </w:hyperlink>
        </w:p>
        <w:p w14:paraId="77A92AB6" w14:textId="485222C6"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00" w:history="1">
            <w:r w:rsidRPr="00E45723">
              <w:rPr>
                <w:rStyle w:val="Hyperlink"/>
                <w:rFonts w:asciiTheme="minorHAnsi" w:hAnsiTheme="minorHAnsi" w:cs="Calibri"/>
                <w:noProof/>
              </w:rPr>
              <w:t>A Társaságról</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7</w:t>
            </w:r>
            <w:r w:rsidRPr="00E45723">
              <w:rPr>
                <w:rFonts w:asciiTheme="minorHAnsi" w:hAnsiTheme="minorHAnsi" w:cs="Calibri"/>
                <w:noProof/>
                <w:webHidden/>
              </w:rPr>
              <w:fldChar w:fldCharType="end"/>
            </w:r>
          </w:hyperlink>
        </w:p>
        <w:p w14:paraId="2FD8834D" w14:textId="11FD053C"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1" w:history="1">
            <w:r w:rsidRPr="00E45723">
              <w:rPr>
                <w:rStyle w:val="Hyperlink"/>
                <w:rFonts w:asciiTheme="minorHAnsi" w:hAnsiTheme="minorHAnsi" w:cs="Calibri"/>
                <w:noProof/>
              </w:rPr>
              <w:t>BP-1 A fenntarthatósági nyilatkozatok elkészítésének általános alapjai</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7</w:t>
            </w:r>
            <w:r w:rsidRPr="00E45723">
              <w:rPr>
                <w:rFonts w:asciiTheme="minorHAnsi" w:hAnsiTheme="minorHAnsi" w:cs="Calibri"/>
                <w:noProof/>
                <w:webHidden/>
              </w:rPr>
              <w:fldChar w:fldCharType="end"/>
            </w:r>
          </w:hyperlink>
        </w:p>
        <w:p w14:paraId="2031EC21" w14:textId="5247E136"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2" w:history="1">
            <w:r w:rsidRPr="00E45723">
              <w:rPr>
                <w:rStyle w:val="Hyperlink"/>
                <w:rFonts w:asciiTheme="minorHAnsi" w:hAnsiTheme="minorHAnsi" w:cs="Calibri"/>
                <w:noProof/>
              </w:rPr>
              <w:t>Mentesített leányvállalatok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w:t>
            </w:r>
            <w:r w:rsidRPr="00E45723">
              <w:rPr>
                <w:rFonts w:asciiTheme="minorHAnsi" w:hAnsiTheme="minorHAnsi" w:cs="Calibri"/>
                <w:noProof/>
                <w:webHidden/>
              </w:rPr>
              <w:fldChar w:fldCharType="end"/>
            </w:r>
          </w:hyperlink>
        </w:p>
        <w:p w14:paraId="363C6895" w14:textId="1A8D9357"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3" w:history="1">
            <w:r w:rsidRPr="00E45723">
              <w:rPr>
                <w:rStyle w:val="Hyperlink"/>
                <w:rFonts w:asciiTheme="minorHAnsi" w:hAnsiTheme="minorHAnsi" w:cs="Calibri"/>
                <w:noProof/>
              </w:rPr>
              <w:t>SBM-1 Stratégia, üzleti modell és értéklánc</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w:t>
            </w:r>
            <w:r w:rsidRPr="00E45723">
              <w:rPr>
                <w:rFonts w:asciiTheme="minorHAnsi" w:hAnsiTheme="minorHAnsi" w:cs="Calibri"/>
                <w:noProof/>
                <w:webHidden/>
              </w:rPr>
              <w:fldChar w:fldCharType="end"/>
            </w:r>
          </w:hyperlink>
        </w:p>
        <w:p w14:paraId="4684F79E" w14:textId="5157E91A"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4" w:history="1">
            <w:r w:rsidRPr="00E45723">
              <w:rPr>
                <w:rStyle w:val="Hyperlink"/>
                <w:rFonts w:asciiTheme="minorHAnsi" w:hAnsiTheme="minorHAnsi" w:cs="Calibri"/>
                <w:noProof/>
              </w:rPr>
              <w:t>BP-2 Közzétételek konkrét körülményekkel kapcsolatban</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16</w:t>
            </w:r>
            <w:r w:rsidRPr="00E45723">
              <w:rPr>
                <w:rFonts w:asciiTheme="minorHAnsi" w:hAnsiTheme="minorHAnsi" w:cs="Calibri"/>
                <w:noProof/>
                <w:webHidden/>
              </w:rPr>
              <w:fldChar w:fldCharType="end"/>
            </w:r>
          </w:hyperlink>
        </w:p>
        <w:p w14:paraId="761C39EB" w14:textId="0980AB76"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05" w:history="1">
            <w:r w:rsidRPr="00E45723">
              <w:rPr>
                <w:rStyle w:val="Hyperlink"/>
                <w:rFonts w:asciiTheme="minorHAnsi" w:hAnsiTheme="minorHAnsi" w:cs="Calibri"/>
                <w:noProof/>
              </w:rPr>
              <w:t>Fenntarthatósági irányítás és menedzsment</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18</w:t>
            </w:r>
            <w:r w:rsidRPr="00E45723">
              <w:rPr>
                <w:rFonts w:asciiTheme="minorHAnsi" w:hAnsiTheme="minorHAnsi" w:cs="Calibri"/>
                <w:noProof/>
                <w:webHidden/>
              </w:rPr>
              <w:fldChar w:fldCharType="end"/>
            </w:r>
          </w:hyperlink>
        </w:p>
        <w:p w14:paraId="33E6DE30" w14:textId="015F39DC"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6" w:history="1">
            <w:r w:rsidRPr="00E45723">
              <w:rPr>
                <w:rStyle w:val="Hyperlink"/>
                <w:rFonts w:asciiTheme="minorHAnsi" w:hAnsiTheme="minorHAnsi" w:cs="Calibri"/>
                <w:noProof/>
              </w:rPr>
              <w:t>GOV-1 Az ügyviteli, ügyvezetői és felügyelő testületek szerepe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18</w:t>
            </w:r>
            <w:r w:rsidRPr="00E45723">
              <w:rPr>
                <w:rFonts w:asciiTheme="minorHAnsi" w:hAnsiTheme="minorHAnsi" w:cs="Calibri"/>
                <w:noProof/>
                <w:webHidden/>
              </w:rPr>
              <w:fldChar w:fldCharType="end"/>
            </w:r>
          </w:hyperlink>
        </w:p>
        <w:p w14:paraId="3AE6ADFB" w14:textId="2A0219D3"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7" w:history="1">
            <w:r w:rsidRPr="00E45723">
              <w:rPr>
                <w:rStyle w:val="Hyperlink"/>
                <w:rFonts w:asciiTheme="minorHAnsi" w:hAnsiTheme="minorHAnsi" w:cs="Calibri"/>
                <w:noProof/>
              </w:rPr>
              <w:t>GOV-2 A vállalkozás ügyviteli, ügyvezetői és felügyelő testületeinek nyújtott információk és az általuk kezelt fenntarthatósági kérdések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24</w:t>
            </w:r>
            <w:r w:rsidRPr="00E45723">
              <w:rPr>
                <w:rFonts w:asciiTheme="minorHAnsi" w:hAnsiTheme="minorHAnsi" w:cs="Calibri"/>
                <w:noProof/>
                <w:webHidden/>
              </w:rPr>
              <w:fldChar w:fldCharType="end"/>
            </w:r>
          </w:hyperlink>
        </w:p>
        <w:p w14:paraId="3EAD4828" w14:textId="4085CB3A"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08" w:history="1">
            <w:r w:rsidRPr="00E45723">
              <w:rPr>
                <w:rStyle w:val="Hyperlink"/>
                <w:rFonts w:asciiTheme="minorHAnsi" w:hAnsiTheme="minorHAnsi" w:cs="Calibri"/>
                <w:noProof/>
              </w:rPr>
              <w:t>GOV-3 A fenntarthatósággal kapcsolatos teljesítmény integrálása az ösztönző rendszerekbe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26</w:t>
            </w:r>
            <w:r w:rsidRPr="00E45723">
              <w:rPr>
                <w:rFonts w:asciiTheme="minorHAnsi" w:hAnsiTheme="minorHAnsi" w:cs="Calibri"/>
                <w:noProof/>
                <w:webHidden/>
              </w:rPr>
              <w:fldChar w:fldCharType="end"/>
            </w:r>
          </w:hyperlink>
        </w:p>
        <w:p w14:paraId="18B5F56F" w14:textId="06DADECE"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09" w:history="1">
            <w:r w:rsidRPr="00E45723">
              <w:rPr>
                <w:rStyle w:val="Hyperlink"/>
                <w:rFonts w:asciiTheme="minorHAnsi" w:hAnsiTheme="minorHAnsi" w:cs="Calibri"/>
                <w:noProof/>
              </w:rPr>
              <w:t>Kockázatkezelés és vállalati átvilágítás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_Toc239834909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26</w:t>
            </w:r>
            <w:r w:rsidRPr="00E45723">
              <w:rPr>
                <w:rFonts w:asciiTheme="minorHAnsi" w:hAnsiTheme="minorHAnsi" w:cs="Calibri"/>
                <w:noProof/>
                <w:webHidden/>
              </w:rPr>
              <w:fldChar w:fldCharType="end"/>
            </w:r>
          </w:hyperlink>
        </w:p>
        <w:p w14:paraId="17956111" w14:textId="0E1A46EC"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0" w:history="1">
            <w:r w:rsidRPr="00E45723">
              <w:rPr>
                <w:rStyle w:val="Hyperlink"/>
                <w:rFonts w:asciiTheme="minorHAnsi" w:hAnsiTheme="minorHAnsi" w:cs="Calibri"/>
                <w:noProof/>
              </w:rPr>
              <w:t>GOV-4 Nyilatkozat az átvilágításról</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26</w:t>
            </w:r>
            <w:r w:rsidRPr="00E45723">
              <w:rPr>
                <w:rFonts w:asciiTheme="minorHAnsi" w:hAnsiTheme="minorHAnsi" w:cs="Calibri"/>
                <w:noProof/>
                <w:webHidden/>
              </w:rPr>
              <w:fldChar w:fldCharType="end"/>
            </w:r>
          </w:hyperlink>
        </w:p>
        <w:p w14:paraId="58B9966D" w14:textId="539BE70B"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1" w:history="1">
            <w:r w:rsidRPr="00E45723">
              <w:rPr>
                <w:rStyle w:val="Hyperlink"/>
                <w:rFonts w:asciiTheme="minorHAnsi" w:hAnsiTheme="minorHAnsi" w:cs="Calibri"/>
                <w:noProof/>
              </w:rPr>
              <w:t>GOV-5 A fenntarthatósági jelentéssel kapcsolatos kockázatkezelés és belső ellenőrzések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26</w:t>
            </w:r>
            <w:r w:rsidRPr="00E45723">
              <w:rPr>
                <w:rFonts w:asciiTheme="minorHAnsi" w:hAnsiTheme="minorHAnsi" w:cs="Calibri"/>
                <w:noProof/>
                <w:webHidden/>
              </w:rPr>
              <w:fldChar w:fldCharType="end"/>
            </w:r>
          </w:hyperlink>
        </w:p>
        <w:p w14:paraId="62CCB7DA" w14:textId="2E89220E"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12" w:history="1">
            <w:r w:rsidRPr="00E45723">
              <w:rPr>
                <w:rStyle w:val="Hyperlink"/>
                <w:rFonts w:asciiTheme="minorHAnsi" w:hAnsiTheme="minorHAnsi" w:cs="Calibri"/>
                <w:noProof/>
              </w:rPr>
              <w:t>Kettős lényegességi elemzés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28</w:t>
            </w:r>
            <w:r w:rsidRPr="00E45723">
              <w:rPr>
                <w:rFonts w:asciiTheme="minorHAnsi" w:hAnsiTheme="minorHAnsi" w:cs="Calibri"/>
                <w:noProof/>
                <w:webHidden/>
              </w:rPr>
              <w:fldChar w:fldCharType="end"/>
            </w:r>
          </w:hyperlink>
        </w:p>
        <w:p w14:paraId="62B60162" w14:textId="48AFA70D"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3" w:history="1">
            <w:r w:rsidRPr="00E45723">
              <w:rPr>
                <w:rStyle w:val="Hyperlink"/>
                <w:rFonts w:asciiTheme="minorHAnsi" w:hAnsiTheme="minorHAnsi" w:cs="Calibri"/>
                <w:noProof/>
              </w:rPr>
              <w:t>SBM-2 Az érdekelt felek érdekei és nézetei</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28</w:t>
            </w:r>
            <w:r w:rsidRPr="00E45723">
              <w:rPr>
                <w:rFonts w:asciiTheme="minorHAnsi" w:hAnsiTheme="minorHAnsi" w:cs="Calibri"/>
                <w:noProof/>
                <w:webHidden/>
              </w:rPr>
              <w:fldChar w:fldCharType="end"/>
            </w:r>
          </w:hyperlink>
        </w:p>
        <w:p w14:paraId="7B5FE89C" w14:textId="7C69D0B0"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4" w:history="1">
            <w:r w:rsidRPr="00E45723">
              <w:rPr>
                <w:rStyle w:val="Hyperlink"/>
                <w:rFonts w:asciiTheme="minorHAnsi" w:hAnsiTheme="minorHAnsi" w:cs="Calibri"/>
                <w:noProof/>
              </w:rPr>
              <w:t>SBM-3 Lényeges hatások, kockázatok és lehetőségek, valamint azok kölcsönhatása a stratégiával és az üzleti modellel</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30</w:t>
            </w:r>
            <w:r w:rsidRPr="00E45723">
              <w:rPr>
                <w:rFonts w:asciiTheme="minorHAnsi" w:hAnsiTheme="minorHAnsi" w:cs="Calibri"/>
                <w:noProof/>
                <w:webHidden/>
              </w:rPr>
              <w:fldChar w:fldCharType="end"/>
            </w:r>
          </w:hyperlink>
        </w:p>
        <w:p w14:paraId="296BAAF9" w14:textId="4B1F8B09"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5" w:history="1">
            <w:r w:rsidRPr="00E45723">
              <w:rPr>
                <w:rStyle w:val="Hyperlink"/>
                <w:rFonts w:asciiTheme="minorHAnsi" w:hAnsiTheme="minorHAnsi" w:cs="Calibri"/>
                <w:noProof/>
              </w:rPr>
              <w:t>IRO-1 A lényeges hatások, kockázatok és lehetőségek azonosítására és értékelésére szolgáló folyamatok leírása</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37</w:t>
            </w:r>
            <w:r w:rsidRPr="00E45723">
              <w:rPr>
                <w:rFonts w:asciiTheme="minorHAnsi" w:hAnsiTheme="minorHAnsi" w:cs="Calibri"/>
                <w:noProof/>
                <w:webHidden/>
              </w:rPr>
              <w:fldChar w:fldCharType="end"/>
            </w:r>
          </w:hyperlink>
        </w:p>
        <w:p w14:paraId="228AE781" w14:textId="069BD46D"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6" w:history="1">
            <w:r w:rsidRPr="00E45723">
              <w:rPr>
                <w:rStyle w:val="Hyperlink"/>
                <w:rFonts w:asciiTheme="minorHAnsi" w:hAnsiTheme="minorHAnsi" w:cs="Calibri"/>
                <w:noProof/>
              </w:rPr>
              <w:t>IRO-2 A vállalkozás fenntarthatósági nyilatkozata által lefedett ESRS-ben foglalt közzétételi követelmények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48</w:t>
            </w:r>
            <w:r w:rsidRPr="00E45723">
              <w:rPr>
                <w:rFonts w:asciiTheme="minorHAnsi" w:hAnsiTheme="minorHAnsi" w:cs="Calibri"/>
                <w:noProof/>
                <w:webHidden/>
              </w:rPr>
              <w:fldChar w:fldCharType="end"/>
            </w:r>
          </w:hyperlink>
        </w:p>
        <w:p w14:paraId="45DFF98F" w14:textId="2C705C55"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17" w:history="1">
            <w:r w:rsidRPr="00E45723">
              <w:rPr>
                <w:rStyle w:val="Hyperlink"/>
                <w:rFonts w:asciiTheme="minorHAnsi" w:hAnsiTheme="minorHAnsi" w:cs="Calibri"/>
                <w:noProof/>
              </w:rPr>
              <w:t>Környezetvédelem</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53</w:t>
            </w:r>
            <w:r w:rsidRPr="00E45723">
              <w:rPr>
                <w:rFonts w:asciiTheme="minorHAnsi" w:hAnsiTheme="minorHAnsi" w:cs="Calibri"/>
                <w:noProof/>
                <w:webHidden/>
              </w:rPr>
              <w:fldChar w:fldCharType="end"/>
            </w:r>
          </w:hyperlink>
        </w:p>
        <w:p w14:paraId="3C75B78B" w14:textId="3BB3E054"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18" w:history="1">
            <w:r w:rsidRPr="00E45723">
              <w:rPr>
                <w:rStyle w:val="Hyperlink"/>
                <w:rFonts w:asciiTheme="minorHAnsi" w:hAnsiTheme="minorHAnsi" w:cs="Calibri"/>
                <w:noProof/>
              </w:rPr>
              <w:t>E1 – Klímaváltozás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53</w:t>
            </w:r>
            <w:r w:rsidRPr="00E45723">
              <w:rPr>
                <w:rFonts w:asciiTheme="minorHAnsi" w:hAnsiTheme="minorHAnsi" w:cs="Calibri"/>
                <w:noProof/>
                <w:webHidden/>
              </w:rPr>
              <w:fldChar w:fldCharType="end"/>
            </w:r>
          </w:hyperlink>
        </w:p>
        <w:p w14:paraId="0B0F2C1C" w14:textId="03A7A65C"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19" w:history="1">
            <w:r w:rsidRPr="00E45723">
              <w:rPr>
                <w:rStyle w:val="Hyperlink"/>
                <w:rFonts w:asciiTheme="minorHAnsi" w:hAnsiTheme="minorHAnsi" w:cs="Calibri"/>
                <w:noProof/>
              </w:rPr>
              <w:t>E1-1 Átállási terv az éghajlat</w:t>
            </w:r>
            <w:r w:rsidRPr="00E45723">
              <w:rPr>
                <w:rStyle w:val="Hyperlink"/>
                <w:rFonts w:ascii="Cambria Math" w:hAnsi="Cambria Math" w:cs="Cambria Math"/>
                <w:noProof/>
              </w:rPr>
              <w:t>‑</w:t>
            </w:r>
            <w:r w:rsidRPr="00E45723">
              <w:rPr>
                <w:rStyle w:val="Hyperlink"/>
                <w:rFonts w:asciiTheme="minorHAnsi" w:hAnsiTheme="minorHAnsi" w:cs="Calibri"/>
                <w:noProof/>
              </w:rPr>
              <w:t>változás mérséklésére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_Toc239834919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55</w:t>
            </w:r>
            <w:r w:rsidRPr="00E45723">
              <w:rPr>
                <w:rFonts w:asciiTheme="minorHAnsi" w:hAnsiTheme="minorHAnsi" w:cs="Calibri"/>
                <w:noProof/>
                <w:webHidden/>
              </w:rPr>
              <w:fldChar w:fldCharType="end"/>
            </w:r>
          </w:hyperlink>
        </w:p>
        <w:p w14:paraId="601BF521" w14:textId="5FF2B066"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0" w:history="1">
            <w:r w:rsidRPr="00E45723">
              <w:rPr>
                <w:rStyle w:val="Hyperlink"/>
                <w:rFonts w:asciiTheme="minorHAnsi" w:hAnsiTheme="minorHAnsi" w:cs="Calibri"/>
                <w:noProof/>
              </w:rPr>
              <w:t>E1-2 Az éghajlatváltozás mérséklésével és alkalmazkodásával kapcsolatos politikák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55</w:t>
            </w:r>
            <w:r w:rsidRPr="00E45723">
              <w:rPr>
                <w:rFonts w:asciiTheme="minorHAnsi" w:hAnsiTheme="minorHAnsi" w:cs="Calibri"/>
                <w:noProof/>
                <w:webHidden/>
              </w:rPr>
              <w:fldChar w:fldCharType="end"/>
            </w:r>
          </w:hyperlink>
        </w:p>
        <w:p w14:paraId="2B97CD5A" w14:textId="749359FB"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1" w:history="1">
            <w:r w:rsidRPr="00E45723">
              <w:rPr>
                <w:rStyle w:val="Hyperlink"/>
                <w:rFonts w:asciiTheme="minorHAnsi" w:hAnsiTheme="minorHAnsi" w:cs="Calibri"/>
                <w:noProof/>
              </w:rPr>
              <w:t>E1-3 Az éghajlatváltozási politikákkal kapcsolatos intézkedések és erőforrások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55</w:t>
            </w:r>
            <w:r w:rsidRPr="00E45723">
              <w:rPr>
                <w:rFonts w:asciiTheme="minorHAnsi" w:hAnsiTheme="minorHAnsi" w:cs="Calibri"/>
                <w:noProof/>
                <w:webHidden/>
              </w:rPr>
              <w:fldChar w:fldCharType="end"/>
            </w:r>
          </w:hyperlink>
        </w:p>
        <w:p w14:paraId="79ADD1C7" w14:textId="33333FC1"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2" w:history="1">
            <w:r w:rsidRPr="00E45723">
              <w:rPr>
                <w:rStyle w:val="Hyperlink"/>
                <w:rFonts w:asciiTheme="minorHAnsi" w:hAnsiTheme="minorHAnsi" w:cs="Calibri"/>
                <w:noProof/>
              </w:rPr>
              <w:t>E1-4 Az éghajlatváltozás mérséklésével és az ahhoz való alkalmazkodással kapcsolatos célok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58</w:t>
            </w:r>
            <w:r w:rsidRPr="00E45723">
              <w:rPr>
                <w:rFonts w:asciiTheme="minorHAnsi" w:hAnsiTheme="minorHAnsi" w:cs="Calibri"/>
                <w:noProof/>
                <w:webHidden/>
              </w:rPr>
              <w:fldChar w:fldCharType="end"/>
            </w:r>
          </w:hyperlink>
        </w:p>
        <w:p w14:paraId="1C55C890" w14:textId="32FA313E"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3" w:history="1">
            <w:r w:rsidRPr="00E45723">
              <w:rPr>
                <w:rStyle w:val="Hyperlink"/>
                <w:rFonts w:asciiTheme="minorHAnsi" w:hAnsiTheme="minorHAnsi" w:cs="Calibri"/>
                <w:noProof/>
              </w:rPr>
              <w:t>E1-5 Energiafogyasztás és energiamix</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61</w:t>
            </w:r>
            <w:r w:rsidRPr="00E45723">
              <w:rPr>
                <w:rFonts w:asciiTheme="minorHAnsi" w:hAnsiTheme="minorHAnsi" w:cs="Calibri"/>
                <w:noProof/>
                <w:webHidden/>
              </w:rPr>
              <w:fldChar w:fldCharType="end"/>
            </w:r>
          </w:hyperlink>
        </w:p>
        <w:p w14:paraId="21FC0D2A" w14:textId="0335DB56"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4" w:history="1">
            <w:r w:rsidRPr="00E45723">
              <w:rPr>
                <w:rStyle w:val="Hyperlink"/>
                <w:rFonts w:asciiTheme="minorHAnsi" w:hAnsiTheme="minorHAnsi" w:cs="Calibri"/>
                <w:noProof/>
              </w:rPr>
              <w:t>E1-6 Bruttó scope 1., 2., 3. és teljes ÜHG-kibocsátás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62</w:t>
            </w:r>
            <w:r w:rsidRPr="00E45723">
              <w:rPr>
                <w:rFonts w:asciiTheme="minorHAnsi" w:hAnsiTheme="minorHAnsi" w:cs="Calibri"/>
                <w:noProof/>
                <w:webHidden/>
              </w:rPr>
              <w:fldChar w:fldCharType="end"/>
            </w:r>
          </w:hyperlink>
        </w:p>
        <w:p w14:paraId="5D91B75C" w14:textId="6E33E40E"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25" w:history="1">
            <w:r w:rsidRPr="00E45723">
              <w:rPr>
                <w:rStyle w:val="Hyperlink"/>
                <w:rFonts w:asciiTheme="minorHAnsi" w:hAnsiTheme="minorHAnsi" w:cs="Calibri"/>
                <w:noProof/>
              </w:rPr>
              <w:t>E2 – Környezetszennyezés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67</w:t>
            </w:r>
            <w:r w:rsidRPr="00E45723">
              <w:rPr>
                <w:rFonts w:asciiTheme="minorHAnsi" w:hAnsiTheme="minorHAnsi" w:cs="Calibri"/>
                <w:noProof/>
                <w:webHidden/>
              </w:rPr>
              <w:fldChar w:fldCharType="end"/>
            </w:r>
          </w:hyperlink>
        </w:p>
        <w:p w14:paraId="3A34199E" w14:textId="1FDA7BF1"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6" w:history="1">
            <w:r w:rsidRPr="00E45723">
              <w:rPr>
                <w:rStyle w:val="Hyperlink"/>
                <w:rFonts w:asciiTheme="minorHAnsi" w:hAnsiTheme="minorHAnsi" w:cs="Calibri"/>
                <w:noProof/>
              </w:rPr>
              <w:t>E2-1 A szennyezéssel kapcsolatos politikák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68</w:t>
            </w:r>
            <w:r w:rsidRPr="00E45723">
              <w:rPr>
                <w:rFonts w:asciiTheme="minorHAnsi" w:hAnsiTheme="minorHAnsi" w:cs="Calibri"/>
                <w:noProof/>
                <w:webHidden/>
              </w:rPr>
              <w:fldChar w:fldCharType="end"/>
            </w:r>
          </w:hyperlink>
        </w:p>
        <w:p w14:paraId="7BC78A07" w14:textId="51B5E0DB"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7" w:history="1">
            <w:r w:rsidRPr="00E45723">
              <w:rPr>
                <w:rStyle w:val="Hyperlink"/>
                <w:rFonts w:asciiTheme="minorHAnsi" w:hAnsiTheme="minorHAnsi" w:cs="Calibri"/>
                <w:noProof/>
              </w:rPr>
              <w:t>E2-2 A szennyezéssel kapcsolatos intézkedések és erőforrások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73</w:t>
            </w:r>
            <w:r w:rsidRPr="00E45723">
              <w:rPr>
                <w:rFonts w:asciiTheme="minorHAnsi" w:hAnsiTheme="minorHAnsi" w:cs="Calibri"/>
                <w:noProof/>
                <w:webHidden/>
              </w:rPr>
              <w:fldChar w:fldCharType="end"/>
            </w:r>
          </w:hyperlink>
        </w:p>
        <w:p w14:paraId="31072142" w14:textId="53BA51C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8" w:history="1">
            <w:r w:rsidRPr="00E45723">
              <w:rPr>
                <w:rStyle w:val="Hyperlink"/>
                <w:rFonts w:asciiTheme="minorHAnsi" w:hAnsiTheme="minorHAnsi" w:cs="Calibri"/>
                <w:noProof/>
              </w:rPr>
              <w:t>2-3 A szennyezéssel kapcsolatos célok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77</w:t>
            </w:r>
            <w:r w:rsidRPr="00E45723">
              <w:rPr>
                <w:rFonts w:asciiTheme="minorHAnsi" w:hAnsiTheme="minorHAnsi" w:cs="Calibri"/>
                <w:noProof/>
                <w:webHidden/>
              </w:rPr>
              <w:fldChar w:fldCharType="end"/>
            </w:r>
          </w:hyperlink>
        </w:p>
        <w:p w14:paraId="7993BE69" w14:textId="76C3F33E"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29" w:history="1">
            <w:r w:rsidRPr="00E45723">
              <w:rPr>
                <w:rStyle w:val="Hyperlink"/>
                <w:rFonts w:asciiTheme="minorHAnsi" w:hAnsiTheme="minorHAnsi" w:cs="Calibri"/>
                <w:noProof/>
              </w:rPr>
              <w:t>E2-4 A levegő, a víz és a talaj szennyezése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_Toc239834929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79</w:t>
            </w:r>
            <w:r w:rsidRPr="00E45723">
              <w:rPr>
                <w:rFonts w:asciiTheme="minorHAnsi" w:hAnsiTheme="minorHAnsi" w:cs="Calibri"/>
                <w:noProof/>
                <w:webHidden/>
              </w:rPr>
              <w:fldChar w:fldCharType="end"/>
            </w:r>
          </w:hyperlink>
        </w:p>
        <w:p w14:paraId="33FCAF64" w14:textId="7A082C85"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0" w:history="1">
            <w:r w:rsidRPr="00E45723">
              <w:rPr>
                <w:rStyle w:val="Hyperlink"/>
                <w:rFonts w:asciiTheme="minorHAnsi" w:hAnsiTheme="minorHAnsi" w:cs="Calibri"/>
                <w:noProof/>
              </w:rPr>
              <w:t>E2-5 Aggodalomra okot adó anyagok, különös aggodalomra okot adó anyagok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80</w:t>
            </w:r>
            <w:r w:rsidRPr="00E45723">
              <w:rPr>
                <w:rFonts w:asciiTheme="minorHAnsi" w:hAnsiTheme="minorHAnsi" w:cs="Calibri"/>
                <w:noProof/>
                <w:webHidden/>
              </w:rPr>
              <w:fldChar w:fldCharType="end"/>
            </w:r>
          </w:hyperlink>
        </w:p>
        <w:p w14:paraId="7FE162DF" w14:textId="07E1502A"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31" w:history="1">
            <w:r w:rsidRPr="00E45723">
              <w:rPr>
                <w:rStyle w:val="Hyperlink"/>
                <w:rFonts w:asciiTheme="minorHAnsi" w:hAnsiTheme="minorHAnsi" w:cs="Calibri"/>
                <w:noProof/>
              </w:rPr>
              <w:t>E3 - Vízi és tengeri ökoszisztémák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80</w:t>
            </w:r>
            <w:r w:rsidRPr="00E45723">
              <w:rPr>
                <w:rFonts w:asciiTheme="minorHAnsi" w:hAnsiTheme="minorHAnsi" w:cs="Calibri"/>
                <w:noProof/>
                <w:webHidden/>
              </w:rPr>
              <w:fldChar w:fldCharType="end"/>
            </w:r>
          </w:hyperlink>
        </w:p>
        <w:p w14:paraId="049AF329" w14:textId="7D251829"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2" w:history="1">
            <w:r w:rsidRPr="00E45723">
              <w:rPr>
                <w:rStyle w:val="Hyperlink"/>
                <w:rFonts w:asciiTheme="minorHAnsi" w:hAnsiTheme="minorHAnsi" w:cs="Calibri"/>
                <w:noProof/>
              </w:rPr>
              <w:t>E3-1 Vízzel és tengeri erőforrásokkal kapcsolatos politikák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81</w:t>
            </w:r>
            <w:r w:rsidRPr="00E45723">
              <w:rPr>
                <w:rFonts w:asciiTheme="minorHAnsi" w:hAnsiTheme="minorHAnsi" w:cs="Calibri"/>
                <w:noProof/>
                <w:webHidden/>
              </w:rPr>
              <w:fldChar w:fldCharType="end"/>
            </w:r>
          </w:hyperlink>
        </w:p>
        <w:p w14:paraId="476F1FF8" w14:textId="54BCC0DE"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3" w:history="1">
            <w:r w:rsidRPr="00E45723">
              <w:rPr>
                <w:rStyle w:val="Hyperlink"/>
                <w:rFonts w:asciiTheme="minorHAnsi" w:hAnsiTheme="minorHAnsi" w:cs="Calibri"/>
                <w:noProof/>
              </w:rPr>
              <w:t>E3-4 Vízfogyasztás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83</w:t>
            </w:r>
            <w:r w:rsidRPr="00E45723">
              <w:rPr>
                <w:rFonts w:asciiTheme="minorHAnsi" w:hAnsiTheme="minorHAnsi" w:cs="Calibri"/>
                <w:noProof/>
                <w:webHidden/>
              </w:rPr>
              <w:fldChar w:fldCharType="end"/>
            </w:r>
          </w:hyperlink>
        </w:p>
        <w:p w14:paraId="0D2A5027" w14:textId="74AED9EF"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34" w:history="1">
            <w:r w:rsidRPr="00E45723">
              <w:rPr>
                <w:rStyle w:val="Hyperlink"/>
                <w:rFonts w:asciiTheme="minorHAnsi" w:hAnsiTheme="minorHAnsi" w:cs="Calibri"/>
                <w:noProof/>
              </w:rPr>
              <w:t>E5 - Erőforrás-felhasználás és körforgásos gazdaság</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83</w:t>
            </w:r>
            <w:r w:rsidRPr="00E45723">
              <w:rPr>
                <w:rFonts w:asciiTheme="minorHAnsi" w:hAnsiTheme="minorHAnsi" w:cs="Calibri"/>
                <w:noProof/>
                <w:webHidden/>
              </w:rPr>
              <w:fldChar w:fldCharType="end"/>
            </w:r>
          </w:hyperlink>
        </w:p>
        <w:p w14:paraId="2B51A097" w14:textId="5378A14B"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5" w:history="1">
            <w:r w:rsidRPr="00E45723">
              <w:rPr>
                <w:rStyle w:val="Hyperlink"/>
                <w:rFonts w:asciiTheme="minorHAnsi" w:hAnsiTheme="minorHAnsi" w:cs="Calibri"/>
                <w:noProof/>
              </w:rPr>
              <w:t>E5-1 Az erőforrás-felhasználással és a körforgásos gazdasággal kapcsolatos politikák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84</w:t>
            </w:r>
            <w:r w:rsidRPr="00E45723">
              <w:rPr>
                <w:rFonts w:asciiTheme="minorHAnsi" w:hAnsiTheme="minorHAnsi" w:cs="Calibri"/>
                <w:noProof/>
                <w:webHidden/>
              </w:rPr>
              <w:fldChar w:fldCharType="end"/>
            </w:r>
          </w:hyperlink>
        </w:p>
        <w:p w14:paraId="758A9213" w14:textId="40ADC08F"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6" w:history="1">
            <w:r w:rsidRPr="00E45723">
              <w:rPr>
                <w:rStyle w:val="Hyperlink"/>
                <w:rFonts w:asciiTheme="minorHAnsi" w:hAnsiTheme="minorHAnsi" w:cs="Calibri"/>
                <w:noProof/>
              </w:rPr>
              <w:t>E5-2 Az erőforrás-felhasználással és a körforgásos gazdasággal kapcsolatos intézkedések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85</w:t>
            </w:r>
            <w:r w:rsidRPr="00E45723">
              <w:rPr>
                <w:rFonts w:asciiTheme="minorHAnsi" w:hAnsiTheme="minorHAnsi" w:cs="Calibri"/>
                <w:noProof/>
                <w:webHidden/>
              </w:rPr>
              <w:fldChar w:fldCharType="end"/>
            </w:r>
          </w:hyperlink>
        </w:p>
        <w:p w14:paraId="6012DF35" w14:textId="596383F0"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7" w:history="1">
            <w:r w:rsidRPr="00E45723">
              <w:rPr>
                <w:rStyle w:val="Hyperlink"/>
                <w:rFonts w:asciiTheme="minorHAnsi" w:hAnsiTheme="minorHAnsi" w:cs="Calibri"/>
                <w:noProof/>
              </w:rPr>
              <w:t>E5-3 Az erőforrás-felhasználással és a körforgásos gazdasággal kapcsolatos célok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87</w:t>
            </w:r>
            <w:r w:rsidRPr="00E45723">
              <w:rPr>
                <w:rFonts w:asciiTheme="minorHAnsi" w:hAnsiTheme="minorHAnsi" w:cs="Calibri"/>
                <w:noProof/>
                <w:webHidden/>
              </w:rPr>
              <w:fldChar w:fldCharType="end"/>
            </w:r>
          </w:hyperlink>
        </w:p>
        <w:p w14:paraId="4F09DB48" w14:textId="1F6C1D6C"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38" w:history="1">
            <w:r w:rsidRPr="00E45723">
              <w:rPr>
                <w:rStyle w:val="Hyperlink"/>
                <w:rFonts w:asciiTheme="minorHAnsi" w:hAnsiTheme="minorHAnsi" w:cs="Calibri"/>
                <w:noProof/>
              </w:rPr>
              <w:t>E5-4 Erőforrás-beáramlások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90</w:t>
            </w:r>
            <w:r w:rsidRPr="00E45723">
              <w:rPr>
                <w:rFonts w:asciiTheme="minorHAnsi" w:hAnsiTheme="minorHAnsi" w:cs="Calibri"/>
                <w:noProof/>
                <w:webHidden/>
              </w:rPr>
              <w:fldChar w:fldCharType="end"/>
            </w:r>
          </w:hyperlink>
        </w:p>
        <w:p w14:paraId="482E29A1" w14:textId="626C0986"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4939" w:history="1">
            <w:r w:rsidRPr="00E45723">
              <w:rPr>
                <w:rStyle w:val="Hyperlink"/>
                <w:rFonts w:asciiTheme="minorHAnsi" w:hAnsiTheme="minorHAnsi" w:cs="Calibri"/>
                <w:noProof/>
              </w:rPr>
              <w:t>Társadalom</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_Toc239834939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92</w:t>
            </w:r>
            <w:r w:rsidRPr="00E45723">
              <w:rPr>
                <w:rFonts w:asciiTheme="minorHAnsi" w:hAnsiTheme="minorHAnsi" w:cs="Calibri"/>
                <w:noProof/>
                <w:webHidden/>
              </w:rPr>
              <w:fldChar w:fldCharType="end"/>
            </w:r>
          </w:hyperlink>
        </w:p>
        <w:p w14:paraId="2DFFE27A" w14:textId="1C222D20"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4940" w:history="1">
            <w:r w:rsidRPr="00E45723">
              <w:rPr>
                <w:rStyle w:val="Hyperlink"/>
                <w:rFonts w:asciiTheme="minorHAnsi" w:hAnsiTheme="minorHAnsi" w:cs="Calibri"/>
                <w:noProof/>
              </w:rPr>
              <w:t>S1 - Saját munkaerő</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92</w:t>
            </w:r>
            <w:r w:rsidRPr="00E45723">
              <w:rPr>
                <w:rFonts w:asciiTheme="minorHAnsi" w:hAnsiTheme="minorHAnsi" w:cs="Calibri"/>
                <w:noProof/>
                <w:webHidden/>
              </w:rPr>
              <w:fldChar w:fldCharType="end"/>
            </w:r>
          </w:hyperlink>
        </w:p>
        <w:p w14:paraId="4CA025C1" w14:textId="7139CDC0"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1" w:history="1">
            <w:r w:rsidRPr="00E45723">
              <w:rPr>
                <w:rStyle w:val="Hyperlink"/>
                <w:rFonts w:asciiTheme="minorHAnsi" w:hAnsiTheme="minorHAnsi" w:cs="Calibri"/>
                <w:noProof/>
              </w:rPr>
              <w:t>S1-1 Saját munkaerővel kapcsolatos szabályzatok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92</w:t>
            </w:r>
            <w:r w:rsidRPr="00E45723">
              <w:rPr>
                <w:rFonts w:asciiTheme="minorHAnsi" w:hAnsiTheme="minorHAnsi" w:cs="Calibri"/>
                <w:noProof/>
                <w:webHidden/>
              </w:rPr>
              <w:fldChar w:fldCharType="end"/>
            </w:r>
          </w:hyperlink>
        </w:p>
        <w:p w14:paraId="36D5493C" w14:textId="2E29987F"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2" w:history="1">
            <w:r w:rsidRPr="00E45723">
              <w:rPr>
                <w:rStyle w:val="Hyperlink"/>
                <w:rFonts w:asciiTheme="minorHAnsi" w:hAnsiTheme="minorHAnsi" w:cs="Calibri"/>
                <w:noProof/>
              </w:rPr>
              <w:t>S1-2 A saját munkaerővel és a munkavállalói képviselőkkel való, a hatásokkal kapcsolatos kapcsolattartás folyamatai</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98</w:t>
            </w:r>
            <w:r w:rsidRPr="00E45723">
              <w:rPr>
                <w:rFonts w:asciiTheme="minorHAnsi" w:hAnsiTheme="minorHAnsi" w:cs="Calibri"/>
                <w:noProof/>
                <w:webHidden/>
              </w:rPr>
              <w:fldChar w:fldCharType="end"/>
            </w:r>
          </w:hyperlink>
        </w:p>
        <w:p w14:paraId="2F6760C2" w14:textId="0DCDF4D5"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3" w:history="1">
            <w:r w:rsidRPr="00E45723">
              <w:rPr>
                <w:rStyle w:val="Hyperlink"/>
                <w:rFonts w:asciiTheme="minorHAnsi" w:hAnsiTheme="minorHAnsi" w:cs="Calibri"/>
                <w:noProof/>
              </w:rPr>
              <w:t>S1-3 A negatív hatások orvoslására szolgáló folyamatok és csatornák, amelyeken keresztül a saját munkavállalók jelezhetik aggályaikat</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98</w:t>
            </w:r>
            <w:r w:rsidRPr="00E45723">
              <w:rPr>
                <w:rFonts w:asciiTheme="minorHAnsi" w:hAnsiTheme="minorHAnsi" w:cs="Calibri"/>
                <w:noProof/>
                <w:webHidden/>
              </w:rPr>
              <w:fldChar w:fldCharType="end"/>
            </w:r>
          </w:hyperlink>
        </w:p>
        <w:p w14:paraId="2BF7C3C6" w14:textId="087C0B12"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4" w:history="1">
            <w:r w:rsidRPr="00E45723">
              <w:rPr>
                <w:rStyle w:val="Hyperlink"/>
                <w:rFonts w:asciiTheme="minorHAnsi" w:hAnsiTheme="minorHAnsi" w:cs="Calibri"/>
                <w:noProof/>
              </w:rPr>
              <w:t>S1-4 Intézkedések a saját munkaerőre gyakorolt lényeges hatásokkal kapcsolatban, valamint a lényeges kockázatok és lehetőségek kezelése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101</w:t>
            </w:r>
            <w:r w:rsidRPr="00E45723">
              <w:rPr>
                <w:rFonts w:asciiTheme="minorHAnsi" w:hAnsiTheme="minorHAnsi" w:cs="Calibri"/>
                <w:noProof/>
                <w:webHidden/>
              </w:rPr>
              <w:fldChar w:fldCharType="end"/>
            </w:r>
          </w:hyperlink>
        </w:p>
        <w:p w14:paraId="5B1E5FD7" w14:textId="2E131C2F"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5" w:history="1">
            <w:r w:rsidRPr="00E45723">
              <w:rPr>
                <w:rStyle w:val="Hyperlink"/>
                <w:rFonts w:asciiTheme="minorHAnsi" w:hAnsiTheme="minorHAnsi" w:cs="Calibri"/>
                <w:noProof/>
              </w:rPr>
              <w:t>S1-5 A lényeges negatív hatások kezelésével, a pozitív hatások előmozdításával, valamint a lényeges kockázatok és lehetőségek kezelésével kapcsolatos célok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102</w:t>
            </w:r>
            <w:r w:rsidRPr="00E45723">
              <w:rPr>
                <w:rFonts w:asciiTheme="minorHAnsi" w:hAnsiTheme="minorHAnsi" w:cs="Calibri"/>
                <w:noProof/>
                <w:webHidden/>
              </w:rPr>
              <w:fldChar w:fldCharType="end"/>
            </w:r>
          </w:hyperlink>
        </w:p>
        <w:p w14:paraId="374F9DF0" w14:textId="0ECCB6C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6" w:history="1">
            <w:r w:rsidRPr="00E45723">
              <w:rPr>
                <w:rStyle w:val="Hyperlink"/>
                <w:rFonts w:asciiTheme="minorHAnsi" w:hAnsiTheme="minorHAnsi" w:cs="Calibri"/>
                <w:noProof/>
              </w:rPr>
              <w:t>S1-6 A vállalkozás alkalmazottainak jellemzői</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104</w:t>
            </w:r>
            <w:r w:rsidRPr="00E45723">
              <w:rPr>
                <w:rFonts w:asciiTheme="minorHAnsi" w:hAnsiTheme="minorHAnsi" w:cs="Calibri"/>
                <w:noProof/>
                <w:webHidden/>
              </w:rPr>
              <w:fldChar w:fldCharType="end"/>
            </w:r>
          </w:hyperlink>
        </w:p>
        <w:p w14:paraId="046ACA12" w14:textId="42F7F799"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7" w:history="1">
            <w:r w:rsidRPr="00E45723">
              <w:rPr>
                <w:rStyle w:val="Hyperlink"/>
                <w:rFonts w:asciiTheme="minorHAnsi" w:hAnsiTheme="minorHAnsi" w:cs="Calibri"/>
                <w:noProof/>
              </w:rPr>
              <w:t>S1-9 Sokszínűségi mutatók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107</w:t>
            </w:r>
            <w:r w:rsidRPr="00E45723">
              <w:rPr>
                <w:rFonts w:asciiTheme="minorHAnsi" w:hAnsiTheme="minorHAnsi" w:cs="Calibri"/>
                <w:noProof/>
                <w:webHidden/>
              </w:rPr>
              <w:fldChar w:fldCharType="end"/>
            </w:r>
          </w:hyperlink>
        </w:p>
        <w:p w14:paraId="0FD6CBC4" w14:textId="37198ABE"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8" w:history="1">
            <w:r w:rsidRPr="00E45723">
              <w:rPr>
                <w:rStyle w:val="Hyperlink"/>
                <w:rFonts w:asciiTheme="minorHAnsi" w:hAnsiTheme="minorHAnsi" w:cs="Calibri"/>
                <w:noProof/>
              </w:rPr>
              <w:t>S1-10 Megfelelő bérek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107</w:t>
            </w:r>
            <w:r w:rsidRPr="00E45723">
              <w:rPr>
                <w:rFonts w:asciiTheme="minorHAnsi" w:hAnsiTheme="minorHAnsi" w:cs="Calibri"/>
                <w:noProof/>
                <w:webHidden/>
              </w:rPr>
              <w:fldChar w:fldCharType="end"/>
            </w:r>
          </w:hyperlink>
        </w:p>
        <w:p w14:paraId="3E53CCA9" w14:textId="2CC5510F"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49" w:history="1">
            <w:r w:rsidRPr="00E45723">
              <w:rPr>
                <w:rStyle w:val="Hyperlink"/>
                <w:rFonts w:asciiTheme="minorHAnsi" w:hAnsiTheme="minorHAnsi" w:cs="Calibri"/>
                <w:noProof/>
              </w:rPr>
              <w:t>S1-11 Társadalmi védelem</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_Toc239834949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107</w:t>
            </w:r>
            <w:r w:rsidRPr="00E45723">
              <w:rPr>
                <w:rFonts w:asciiTheme="minorHAnsi" w:hAnsiTheme="minorHAnsi" w:cs="Calibri"/>
                <w:noProof/>
                <w:webHidden/>
              </w:rPr>
              <w:fldChar w:fldCharType="end"/>
            </w:r>
          </w:hyperlink>
        </w:p>
        <w:p w14:paraId="2FDF3A8D" w14:textId="6B2CAE4B"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4950" w:history="1">
            <w:r w:rsidRPr="00E45723">
              <w:rPr>
                <w:rStyle w:val="Hyperlink"/>
                <w:rFonts w:asciiTheme="minorHAnsi" w:hAnsiTheme="minorHAnsi" w:cs="Calibri"/>
                <w:noProof/>
              </w:rPr>
              <w:t>S1-12 Képzési és készségfejlesztési mutatók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_Toc239834950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107</w:t>
            </w:r>
            <w:r w:rsidRPr="00E45723">
              <w:rPr>
                <w:rFonts w:asciiTheme="minorHAnsi" w:hAnsiTheme="minorHAnsi" w:cs="Calibri"/>
                <w:noProof/>
                <w:webHidden/>
              </w:rPr>
              <w:fldChar w:fldCharType="end"/>
            </w:r>
          </w:hyperlink>
        </w:p>
        <w:p w14:paraId="21D5EDD2" w14:textId="7C6BA3CD"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15" w:history="1">
            <w:r w:rsidRPr="00E45723">
              <w:rPr>
                <w:rStyle w:val="Hyperlink"/>
                <w:rFonts w:asciiTheme="minorHAnsi" w:hAnsiTheme="minorHAnsi" w:cs="Calibri"/>
                <w:noProof/>
              </w:rPr>
              <w:t>S1-14 Egészségügyi és biztonsági mutatók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_Toc239835015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109</w:t>
            </w:r>
            <w:r w:rsidRPr="00E45723">
              <w:rPr>
                <w:rFonts w:asciiTheme="minorHAnsi" w:hAnsiTheme="minorHAnsi" w:cs="Calibri"/>
                <w:noProof/>
                <w:webHidden/>
              </w:rPr>
              <w:fldChar w:fldCharType="end"/>
            </w:r>
          </w:hyperlink>
        </w:p>
        <w:p w14:paraId="2711466A" w14:textId="39ABCEC5"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16" w:history="1">
            <w:r w:rsidRPr="00E45723">
              <w:rPr>
                <w:rStyle w:val="Hyperlink"/>
                <w:rFonts w:asciiTheme="minorHAnsi" w:hAnsiTheme="minorHAnsi" w:cs="Calibri"/>
                <w:noProof/>
              </w:rPr>
              <w:t>S1-15 Munka-magánélet egyensúlyának mutatói</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_Toc239835016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111</w:t>
            </w:r>
            <w:r w:rsidRPr="00E45723">
              <w:rPr>
                <w:rFonts w:asciiTheme="minorHAnsi" w:hAnsiTheme="minorHAnsi" w:cs="Calibri"/>
                <w:noProof/>
                <w:webHidden/>
              </w:rPr>
              <w:fldChar w:fldCharType="end"/>
            </w:r>
          </w:hyperlink>
        </w:p>
        <w:p w14:paraId="5CC72207" w14:textId="11D5682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17" w:history="1">
            <w:r w:rsidRPr="00E45723">
              <w:rPr>
                <w:rStyle w:val="Hyperlink"/>
                <w:rFonts w:asciiTheme="minorHAnsi" w:hAnsiTheme="minorHAnsi" w:cs="Calibri"/>
                <w:noProof/>
              </w:rPr>
              <w:t>S1-16 Javadalmazási mutatók (bérkülönbség és teljes javadalmazás)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_Toc239835017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111</w:t>
            </w:r>
            <w:r w:rsidRPr="00E45723">
              <w:rPr>
                <w:rFonts w:asciiTheme="minorHAnsi" w:hAnsiTheme="minorHAnsi" w:cs="Calibri"/>
                <w:noProof/>
                <w:webHidden/>
              </w:rPr>
              <w:fldChar w:fldCharType="end"/>
            </w:r>
          </w:hyperlink>
        </w:p>
        <w:p w14:paraId="5E71585C" w14:textId="485EC4F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18" w:history="1">
            <w:r w:rsidRPr="00E45723">
              <w:rPr>
                <w:rStyle w:val="Hyperlink"/>
                <w:rFonts w:asciiTheme="minorHAnsi" w:hAnsiTheme="minorHAnsi" w:cs="Calibri"/>
                <w:noProof/>
              </w:rPr>
              <w:t>S1-17 Incidensek, panaszok és súlyos emberi jogi hatások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_Toc239835018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111</w:t>
            </w:r>
            <w:r w:rsidRPr="00E45723">
              <w:rPr>
                <w:rFonts w:asciiTheme="minorHAnsi" w:hAnsiTheme="minorHAnsi" w:cs="Calibri"/>
                <w:noProof/>
                <w:webHidden/>
              </w:rPr>
              <w:fldChar w:fldCharType="end"/>
            </w:r>
          </w:hyperlink>
        </w:p>
        <w:p w14:paraId="3D5797E4" w14:textId="579FBE35"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5019" w:history="1">
            <w:r w:rsidRPr="00E45723">
              <w:rPr>
                <w:rStyle w:val="Hyperlink"/>
                <w:rFonts w:asciiTheme="minorHAnsi" w:hAnsiTheme="minorHAnsi" w:cs="Calibri"/>
                <w:noProof/>
              </w:rPr>
              <w:t>S2 Az értékláncban dolgozók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_Toc239835019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113</w:t>
            </w:r>
            <w:r w:rsidRPr="00E45723">
              <w:rPr>
                <w:rFonts w:asciiTheme="minorHAnsi" w:hAnsiTheme="minorHAnsi" w:cs="Calibri"/>
                <w:noProof/>
                <w:webHidden/>
              </w:rPr>
              <w:fldChar w:fldCharType="end"/>
            </w:r>
          </w:hyperlink>
        </w:p>
        <w:p w14:paraId="646AD0D4" w14:textId="06BA08A7"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0" w:history="1">
            <w:r w:rsidRPr="00E45723">
              <w:rPr>
                <w:rStyle w:val="Hyperlink"/>
                <w:rFonts w:asciiTheme="minorHAnsi" w:hAnsiTheme="minorHAnsi" w:cs="Calibri"/>
                <w:noProof/>
              </w:rPr>
              <w:t>S2-1 Az értékláncban dolgozókra vonatkozó szabályzatok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113</w:t>
            </w:r>
            <w:r w:rsidRPr="00E45723">
              <w:rPr>
                <w:rFonts w:asciiTheme="minorHAnsi" w:hAnsiTheme="minorHAnsi" w:cs="Calibri"/>
                <w:noProof/>
                <w:webHidden/>
              </w:rPr>
              <w:fldChar w:fldCharType="end"/>
            </w:r>
          </w:hyperlink>
        </w:p>
        <w:p w14:paraId="70DA4E66" w14:textId="27DFC830"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1" w:history="1">
            <w:r w:rsidRPr="00E45723">
              <w:rPr>
                <w:rStyle w:val="Hyperlink"/>
                <w:rFonts w:asciiTheme="minorHAnsi" w:hAnsiTheme="minorHAnsi" w:cs="Calibri"/>
                <w:noProof/>
              </w:rPr>
              <w:t>S2-2 Az értékláncban dolgozók bevonásának folyamatai a vállalat hatásaival kapcsolatban.</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113</w:t>
            </w:r>
            <w:r w:rsidRPr="00E45723">
              <w:rPr>
                <w:rFonts w:asciiTheme="minorHAnsi" w:hAnsiTheme="minorHAnsi" w:cs="Calibri"/>
                <w:noProof/>
                <w:webHidden/>
              </w:rPr>
              <w:fldChar w:fldCharType="end"/>
            </w:r>
          </w:hyperlink>
        </w:p>
        <w:p w14:paraId="01FE82CA" w14:textId="2394F38F"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2" w:history="1">
            <w:r w:rsidRPr="00E45723">
              <w:rPr>
                <w:rStyle w:val="Hyperlink"/>
                <w:rFonts w:asciiTheme="minorHAnsi" w:hAnsiTheme="minorHAnsi" w:cs="Calibri"/>
                <w:noProof/>
              </w:rPr>
              <w:t>S2-3 Folyamatok a negatív hatások orvoslására és csatornák a beszállítói lánc munkavállalói számára a problémák jelzésére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114</w:t>
            </w:r>
            <w:r w:rsidRPr="00E45723">
              <w:rPr>
                <w:rFonts w:asciiTheme="minorHAnsi" w:hAnsiTheme="minorHAnsi" w:cs="Calibri"/>
                <w:noProof/>
                <w:webHidden/>
              </w:rPr>
              <w:fldChar w:fldCharType="end"/>
            </w:r>
          </w:hyperlink>
        </w:p>
        <w:p w14:paraId="1BEC29DF" w14:textId="4012BD9C"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3" w:history="1">
            <w:r w:rsidRPr="00E45723">
              <w:rPr>
                <w:rStyle w:val="Hyperlink"/>
                <w:rFonts w:asciiTheme="minorHAnsi" w:hAnsiTheme="minorHAnsi" w:cs="Calibri"/>
                <w:noProof/>
              </w:rPr>
              <w:t>S2-4 Az értékláncban dolgozókat érintő lényeges hatásokkal kapcsolatos intézkedések, valamint az értékláncban dolgozókkal kapcsolatos lényeges kockázatok enyhítésére és a lényeges lehetőségek kiaknázására irányuló megközelítések, és ezen intézkedések hatékonysága</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114</w:t>
            </w:r>
            <w:r w:rsidRPr="00E45723">
              <w:rPr>
                <w:rFonts w:asciiTheme="minorHAnsi" w:hAnsiTheme="minorHAnsi" w:cs="Calibri"/>
                <w:noProof/>
                <w:webHidden/>
              </w:rPr>
              <w:fldChar w:fldCharType="end"/>
            </w:r>
          </w:hyperlink>
        </w:p>
        <w:p w14:paraId="4E0F031D" w14:textId="7DA3BB97"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4" w:history="1">
            <w:r w:rsidRPr="00E45723">
              <w:rPr>
                <w:rStyle w:val="Hyperlink"/>
                <w:rFonts w:asciiTheme="minorHAnsi" w:hAnsiTheme="minorHAnsi" w:cs="Calibri"/>
                <w:noProof/>
              </w:rPr>
              <w:t>S2-5 A lényeges negatív hatások kezelésével, a pozitív hatások előmozdításával, valamint a lényeges kockázatok és lehetőségek kezelésével kapcsolatos célok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118</w:t>
            </w:r>
            <w:r w:rsidRPr="00E45723">
              <w:rPr>
                <w:rFonts w:asciiTheme="minorHAnsi" w:hAnsiTheme="minorHAnsi" w:cs="Calibri"/>
                <w:noProof/>
                <w:webHidden/>
              </w:rPr>
              <w:fldChar w:fldCharType="end"/>
            </w:r>
          </w:hyperlink>
        </w:p>
        <w:p w14:paraId="30F75BBC" w14:textId="48F70A10"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5025" w:history="1">
            <w:r w:rsidRPr="00E45723">
              <w:rPr>
                <w:rStyle w:val="Hyperlink"/>
                <w:rFonts w:asciiTheme="minorHAnsi" w:hAnsiTheme="minorHAnsi" w:cs="Calibri"/>
                <w:noProof/>
              </w:rPr>
              <w:t>S4 Fogyasztók és végfelhasználók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_Toc239835025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119</w:t>
            </w:r>
            <w:r w:rsidRPr="00E45723">
              <w:rPr>
                <w:rFonts w:asciiTheme="minorHAnsi" w:hAnsiTheme="minorHAnsi" w:cs="Calibri"/>
                <w:noProof/>
                <w:webHidden/>
              </w:rPr>
              <w:fldChar w:fldCharType="end"/>
            </w:r>
          </w:hyperlink>
        </w:p>
        <w:p w14:paraId="1C86F9DD" w14:textId="560C2DB5"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6" w:history="1">
            <w:r w:rsidRPr="00E45723">
              <w:rPr>
                <w:rStyle w:val="Hyperlink"/>
                <w:rFonts w:asciiTheme="minorHAnsi" w:hAnsiTheme="minorHAnsi" w:cs="Calibri"/>
                <w:noProof/>
              </w:rPr>
              <w:t>S4-1 Fogyasztókra és végfelhasználókra vonatkozó szabályzatok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_Toc239835026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119</w:t>
            </w:r>
            <w:r w:rsidRPr="00E45723">
              <w:rPr>
                <w:rFonts w:asciiTheme="minorHAnsi" w:hAnsiTheme="minorHAnsi" w:cs="Calibri"/>
                <w:noProof/>
                <w:webHidden/>
              </w:rPr>
              <w:fldChar w:fldCharType="end"/>
            </w:r>
          </w:hyperlink>
        </w:p>
        <w:p w14:paraId="012C6077" w14:textId="0B2497D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7" w:history="1">
            <w:r w:rsidRPr="00E45723">
              <w:rPr>
                <w:rStyle w:val="Hyperlink"/>
                <w:rFonts w:asciiTheme="minorHAnsi" w:hAnsiTheme="minorHAnsi" w:cs="Calibri"/>
                <w:noProof/>
              </w:rPr>
              <w:t>S4-2 A fogyasztók és a végfelhasználók bevonásának folyamatai a vállalat hatásaival kapcsolatban.</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_Toc239835027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120</w:t>
            </w:r>
            <w:r w:rsidRPr="00E45723">
              <w:rPr>
                <w:rFonts w:asciiTheme="minorHAnsi" w:hAnsiTheme="minorHAnsi" w:cs="Calibri"/>
                <w:noProof/>
                <w:webHidden/>
              </w:rPr>
              <w:fldChar w:fldCharType="end"/>
            </w:r>
          </w:hyperlink>
        </w:p>
        <w:p w14:paraId="1E7D6C28" w14:textId="018BEC18"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8" w:history="1">
            <w:r w:rsidRPr="00E45723">
              <w:rPr>
                <w:rStyle w:val="Hyperlink"/>
                <w:rFonts w:asciiTheme="minorHAnsi" w:hAnsiTheme="minorHAnsi" w:cs="Calibri"/>
                <w:noProof/>
              </w:rPr>
              <w:t>S4-3 Folyamatok a negatív hatások orvoslására és csatornák a fogyasztók és végfelhasználók számára a problémák jelzésére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_Toc239835028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120</w:t>
            </w:r>
            <w:r w:rsidRPr="00E45723">
              <w:rPr>
                <w:rFonts w:asciiTheme="minorHAnsi" w:hAnsiTheme="minorHAnsi" w:cs="Calibri"/>
                <w:noProof/>
                <w:webHidden/>
              </w:rPr>
              <w:fldChar w:fldCharType="end"/>
            </w:r>
          </w:hyperlink>
        </w:p>
        <w:p w14:paraId="4CAAF37A" w14:textId="73BF1391"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29" w:history="1">
            <w:r w:rsidRPr="00E45723">
              <w:rPr>
                <w:rStyle w:val="Hyperlink"/>
                <w:rFonts w:asciiTheme="minorHAnsi" w:hAnsiTheme="minorHAnsi" w:cs="Calibri"/>
                <w:noProof/>
              </w:rPr>
              <w:t>S egyedi - Kutatás fejlesztési és innovációs tevékenység</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_Toc239835029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120</w:t>
            </w:r>
            <w:r w:rsidRPr="00E45723">
              <w:rPr>
                <w:rFonts w:asciiTheme="minorHAnsi" w:hAnsiTheme="minorHAnsi" w:cs="Calibri"/>
                <w:noProof/>
                <w:webHidden/>
              </w:rPr>
              <w:fldChar w:fldCharType="end"/>
            </w:r>
          </w:hyperlink>
        </w:p>
        <w:p w14:paraId="554B7675" w14:textId="3BFF574C" w:rsidR="004A4D88" w:rsidRPr="00E45723" w:rsidRDefault="004A4D88">
          <w:pPr>
            <w:pStyle w:val="TOC1"/>
            <w:rPr>
              <w:rFonts w:asciiTheme="minorHAnsi" w:eastAsiaTheme="minorEastAsia" w:hAnsiTheme="minorHAnsi" w:cs="Calibri"/>
              <w:bCs w:val="0"/>
              <w:noProof/>
              <w:color w:val="auto"/>
              <w:kern w:val="2"/>
              <w14:ligatures w14:val="standardContextual"/>
            </w:rPr>
          </w:pPr>
          <w:hyperlink w:anchor="_Toc239835030" w:history="1">
            <w:r w:rsidRPr="00E45723">
              <w:rPr>
                <w:rStyle w:val="Hyperlink"/>
                <w:rFonts w:asciiTheme="minorHAnsi" w:hAnsiTheme="minorHAnsi" w:cs="Calibri"/>
                <w:noProof/>
              </w:rPr>
              <w:t>Üzleti magatartás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_Toc239835030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122</w:t>
            </w:r>
            <w:r w:rsidRPr="00E45723">
              <w:rPr>
                <w:rFonts w:asciiTheme="minorHAnsi" w:hAnsiTheme="minorHAnsi" w:cs="Calibri"/>
                <w:noProof/>
                <w:webHidden/>
              </w:rPr>
              <w:fldChar w:fldCharType="end"/>
            </w:r>
          </w:hyperlink>
        </w:p>
        <w:p w14:paraId="4B0C54A6" w14:textId="1476DC87" w:rsidR="004A4D88" w:rsidRPr="00E45723" w:rsidRDefault="004A4D88">
          <w:pPr>
            <w:pStyle w:val="TOC2"/>
            <w:rPr>
              <w:rFonts w:asciiTheme="minorHAnsi" w:eastAsiaTheme="minorEastAsia" w:hAnsiTheme="minorHAnsi" w:cs="Calibri"/>
              <w:noProof/>
              <w:color w:val="auto"/>
              <w:kern w:val="2"/>
              <w:szCs w:val="24"/>
              <w14:ligatures w14:val="standardContextual"/>
            </w:rPr>
          </w:pPr>
          <w:hyperlink w:anchor="_Toc239835031" w:history="1">
            <w:r w:rsidRPr="00E45723">
              <w:rPr>
                <w:rStyle w:val="Hyperlink"/>
                <w:rFonts w:asciiTheme="minorHAnsi" w:hAnsiTheme="minorHAnsi" w:cs="Calibri"/>
                <w:noProof/>
              </w:rPr>
              <w:t>G1 - Üzleti magatartás</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_Toc239835031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122</w:t>
            </w:r>
            <w:r w:rsidRPr="00E45723">
              <w:rPr>
                <w:rFonts w:asciiTheme="minorHAnsi" w:hAnsiTheme="minorHAnsi" w:cs="Calibri"/>
                <w:noProof/>
                <w:webHidden/>
              </w:rPr>
              <w:fldChar w:fldCharType="end"/>
            </w:r>
          </w:hyperlink>
        </w:p>
        <w:p w14:paraId="33183E98" w14:textId="5279EBD6"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32" w:history="1">
            <w:r w:rsidRPr="00E45723">
              <w:rPr>
                <w:rStyle w:val="Hyperlink"/>
                <w:rFonts w:asciiTheme="minorHAnsi" w:hAnsiTheme="minorHAnsi" w:cs="Calibri"/>
                <w:noProof/>
              </w:rPr>
              <w:t>G1-1 Vállalati kultúra és üzleti magatartási irányelvek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_Toc239835032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122</w:t>
            </w:r>
            <w:r w:rsidRPr="00E45723">
              <w:rPr>
                <w:rFonts w:asciiTheme="minorHAnsi" w:hAnsiTheme="minorHAnsi" w:cs="Calibri"/>
                <w:noProof/>
                <w:webHidden/>
              </w:rPr>
              <w:fldChar w:fldCharType="end"/>
            </w:r>
          </w:hyperlink>
        </w:p>
        <w:p w14:paraId="44262256" w14:textId="4046D404"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33" w:history="1">
            <w:r w:rsidRPr="00E45723">
              <w:rPr>
                <w:rStyle w:val="Hyperlink"/>
                <w:rFonts w:asciiTheme="minorHAnsi" w:hAnsiTheme="minorHAnsi" w:cs="Calibri"/>
                <w:noProof/>
              </w:rPr>
              <w:t>G1-3 A korrupció és a vesztegetés megelőzése és felderítése</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_Toc239835033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126</w:t>
            </w:r>
            <w:r w:rsidRPr="00E45723">
              <w:rPr>
                <w:rFonts w:asciiTheme="minorHAnsi" w:hAnsiTheme="minorHAnsi" w:cs="Calibri"/>
                <w:noProof/>
                <w:webHidden/>
              </w:rPr>
              <w:fldChar w:fldCharType="end"/>
            </w:r>
          </w:hyperlink>
        </w:p>
        <w:p w14:paraId="06002446" w14:textId="599B0788" w:rsidR="004A4D88" w:rsidRPr="00E45723" w:rsidRDefault="004A4D88">
          <w:pPr>
            <w:pStyle w:val="TOC3"/>
            <w:tabs>
              <w:tab w:val="right" w:leader="dot" w:pos="9065"/>
            </w:tabs>
            <w:rPr>
              <w:rFonts w:asciiTheme="minorHAnsi" w:eastAsiaTheme="minorEastAsia" w:hAnsiTheme="minorHAnsi" w:cs="Calibri"/>
              <w:noProof/>
              <w:color w:val="auto"/>
              <w:kern w:val="2"/>
              <w:szCs w:val="24"/>
              <w14:ligatures w14:val="standardContextual"/>
            </w:rPr>
          </w:pPr>
          <w:hyperlink w:anchor="_Toc239835034" w:history="1">
            <w:r w:rsidRPr="00E45723">
              <w:rPr>
                <w:rStyle w:val="Hyperlink"/>
                <w:rFonts w:asciiTheme="minorHAnsi" w:hAnsiTheme="minorHAnsi" w:cs="Calibri"/>
                <w:noProof/>
              </w:rPr>
              <w:t>G1-4 Megerősített korrupciós vagy vesztegetési esetek</w:t>
            </w:r>
            <w:r w:rsidRPr="00E45723">
              <w:rPr>
                <w:rFonts w:asciiTheme="minorHAnsi" w:hAnsiTheme="minorHAnsi" w:cs="Calibri"/>
                <w:noProof/>
                <w:webHidden/>
              </w:rPr>
              <w:tab/>
            </w:r>
            <w:r w:rsidRPr="00E45723">
              <w:rPr>
                <w:rFonts w:asciiTheme="minorHAnsi" w:hAnsiTheme="minorHAnsi" w:cs="Calibri"/>
                <w:noProof/>
                <w:webHidden/>
              </w:rPr>
              <w:fldChar w:fldCharType="begin"/>
            </w:r>
            <w:r w:rsidRPr="00E45723">
              <w:rPr>
                <w:rFonts w:asciiTheme="minorHAnsi" w:hAnsiTheme="minorHAnsi" w:cs="Calibri"/>
                <w:noProof/>
                <w:webHidden/>
              </w:rPr>
              <w:instrText xml:space="preserve"> PAGEREF _Toc239835034 \h </w:instrText>
            </w:r>
            <w:r w:rsidRPr="00E45723">
              <w:rPr>
                <w:rFonts w:asciiTheme="minorHAnsi" w:hAnsiTheme="minorHAnsi" w:cs="Calibri"/>
                <w:noProof/>
                <w:webHidden/>
              </w:rPr>
            </w:r>
            <w:r w:rsidRPr="00E45723">
              <w:rPr>
                <w:rFonts w:asciiTheme="minorHAnsi" w:hAnsiTheme="minorHAnsi" w:cs="Calibri"/>
                <w:noProof/>
                <w:webHidden/>
              </w:rPr>
              <w:fldChar w:fldCharType="separate"/>
            </w:r>
            <w:r w:rsidRPr="00E45723">
              <w:rPr>
                <w:rFonts w:asciiTheme="minorHAnsi" w:hAnsiTheme="minorHAnsi" w:cs="Calibri"/>
                <w:noProof/>
                <w:webHidden/>
              </w:rPr>
              <w:t>127</w:t>
            </w:r>
            <w:r w:rsidRPr="00E45723">
              <w:rPr>
                <w:rFonts w:asciiTheme="minorHAnsi" w:hAnsiTheme="minorHAnsi" w:cs="Calibri"/>
                <w:noProof/>
                <w:webHidden/>
              </w:rPr>
              <w:fldChar w:fldCharType="end"/>
            </w:r>
          </w:hyperlink>
        </w:p>
        <w:p w14:paraId="540C373E" w14:textId="4E7C3B8A" w:rsidR="00BD159D" w:rsidRPr="00E45723" w:rsidRDefault="00EA3B06" w:rsidP="00EA3B06">
          <w:pPr>
            <w:pStyle w:val="TOC1"/>
            <w:suppressAutoHyphens/>
            <w:rPr>
              <w:rFonts w:asciiTheme="minorHAnsi" w:hAnsiTheme="minorHAnsi" w:cs="Calibri"/>
            </w:rPr>
          </w:pPr>
          <w:r w:rsidRPr="00E45723">
            <w:rPr>
              <w:rFonts w:asciiTheme="minorHAnsi" w:hAnsiTheme="minorHAnsi" w:cs="Calibri"/>
              <w:bCs w:val="0"/>
              <w:sz w:val="32"/>
            </w:rPr>
            <w:fldChar w:fldCharType="end"/>
          </w:r>
        </w:p>
      </w:sdtContent>
    </w:sdt>
    <w:p w14:paraId="73B0371D" w14:textId="77777777" w:rsidR="00BD159D" w:rsidRPr="00E45723" w:rsidRDefault="00BD159D" w:rsidP="00EA3B06">
      <w:pPr>
        <w:suppressAutoHyphens/>
        <w:spacing w:before="86" w:after="86"/>
        <w:rPr>
          <w:rFonts w:asciiTheme="minorHAnsi" w:hAnsiTheme="minorHAnsi" w:cs="Calibri"/>
          <w:b/>
        </w:rPr>
      </w:pPr>
    </w:p>
    <w:p w14:paraId="4A3F49D9" w14:textId="77777777" w:rsidR="00BD159D" w:rsidRPr="00E45723" w:rsidRDefault="00BD159D" w:rsidP="00EA3B06">
      <w:pPr>
        <w:suppressAutoHyphens/>
        <w:spacing w:before="86" w:after="86"/>
        <w:rPr>
          <w:rFonts w:asciiTheme="minorHAnsi" w:hAnsiTheme="minorHAnsi" w:cs="Calibri"/>
          <w:b/>
        </w:rPr>
      </w:pPr>
    </w:p>
    <w:p w14:paraId="22A5255E" w14:textId="77777777" w:rsidR="006919BD" w:rsidRPr="00E45723" w:rsidRDefault="006919BD" w:rsidP="00EA3B06">
      <w:pPr>
        <w:pStyle w:val="Stlus2"/>
        <w:suppressAutoHyphens/>
        <w:rPr>
          <w:rFonts w:asciiTheme="minorHAnsi" w:hAnsiTheme="minorHAnsi" w:cs="Calibri"/>
        </w:rPr>
      </w:pPr>
      <w:bookmarkStart w:id="1" w:name="_Toc239834895"/>
    </w:p>
    <w:p w14:paraId="31C6D95B" w14:textId="77777777" w:rsidR="006919BD" w:rsidRPr="00E45723" w:rsidRDefault="006919BD">
      <w:pPr>
        <w:spacing w:after="0"/>
        <w:jc w:val="left"/>
        <w:rPr>
          <w:rFonts w:asciiTheme="minorHAnsi" w:hAnsiTheme="minorHAnsi" w:cs="Calibri"/>
          <w:b/>
          <w:color w:val="154949"/>
          <w:sz w:val="36"/>
        </w:rPr>
      </w:pPr>
      <w:r w:rsidRPr="00E45723">
        <w:rPr>
          <w:rFonts w:asciiTheme="minorHAnsi" w:hAnsiTheme="minorHAnsi" w:cs="Calibri"/>
        </w:rPr>
        <w:br w:type="page"/>
      </w:r>
    </w:p>
    <w:p w14:paraId="31171B93" w14:textId="355BFBDD" w:rsidR="00BD159D" w:rsidRPr="00E45723" w:rsidRDefault="00FD7771" w:rsidP="00086AFB">
      <w:pPr>
        <w:pStyle w:val="Stlus2"/>
        <w:suppressAutoHyphens/>
        <w:rPr>
          <w:rFonts w:asciiTheme="minorHAnsi" w:hAnsiTheme="minorHAnsi" w:cs="Calibri"/>
          <w:b w:val="0"/>
        </w:rPr>
      </w:pPr>
      <w:r w:rsidRPr="00E45723">
        <w:rPr>
          <w:rFonts w:asciiTheme="minorHAnsi" w:hAnsiTheme="minorHAnsi" w:cs="Calibri"/>
          <w:b w:val="0"/>
        </w:rPr>
        <w:lastRenderedPageBreak/>
        <w:t>Vezetői köszöntő</w:t>
      </w:r>
      <w:bookmarkEnd w:id="1"/>
    </w:p>
    <w:p w14:paraId="5E899591" w14:textId="77777777" w:rsidR="00BD159D" w:rsidRPr="00E45723" w:rsidRDefault="00FD7771" w:rsidP="00EA3B06">
      <w:pPr>
        <w:suppressAutoHyphens/>
        <w:spacing w:before="240" w:after="240"/>
        <w:rPr>
          <w:rFonts w:asciiTheme="minorHAnsi" w:hAnsiTheme="minorHAnsi" w:cs="Calibri"/>
        </w:rPr>
      </w:pPr>
      <w:bookmarkStart w:id="2" w:name="_Toc230770520"/>
      <w:r w:rsidRPr="00E45723">
        <w:rPr>
          <w:rFonts w:asciiTheme="minorHAnsi" w:hAnsiTheme="minorHAnsi" w:cs="Calibri"/>
        </w:rPr>
        <w:t>A LIWO FM Zrt. Idén tesz közzé először önálló, az Európai Fenntarthatósági Jelentési Standardok (ESRS) követelményei szerint készített fenntarthatósági jelentést.</w:t>
      </w:r>
      <w:bookmarkEnd w:id="2"/>
      <w:r w:rsidRPr="00E45723">
        <w:rPr>
          <w:rFonts w:asciiTheme="minorHAnsi" w:hAnsiTheme="minorHAnsi" w:cs="Calibri"/>
        </w:rPr>
        <w:t xml:space="preserve"> </w:t>
      </w:r>
    </w:p>
    <w:p w14:paraId="5F3BBA3C" w14:textId="77777777" w:rsidR="00BD159D" w:rsidRPr="00E45723" w:rsidRDefault="00FD7771" w:rsidP="00EA3B06">
      <w:pPr>
        <w:spacing w:before="240" w:after="240"/>
        <w:rPr>
          <w:rFonts w:asciiTheme="minorHAnsi" w:hAnsiTheme="minorHAnsi" w:cs="Calibri"/>
        </w:rPr>
      </w:pPr>
      <w:bookmarkStart w:id="3" w:name="_Toc230770521"/>
      <w:r w:rsidRPr="00E45723">
        <w:rPr>
          <w:rFonts w:asciiTheme="minorHAnsi" w:hAnsiTheme="minorHAnsi" w:cs="Calibri"/>
        </w:rPr>
        <w:t>A jelentés elkészítése önkéntes döntés eredménye. Az ESG-elveknek megfelelő, átlátható és fenntartható működés nem opció, hanem elvárás – mind befektetőink, mind partnereink, mind a piac részéről. A szabályozási és piaci követelmények teljesítésén túl a LIWO Csoport Fenntarthatósági Jelentésének célja, hogy aktívan támogassa leányvállalatait ESG-vonatkozású erőfeszítéseikben és a tendereken/pályázatokon való részvételükben. A LIWO Csoport elkötelezett amellett, hogy jelentési keretrendszerét olyan közös erőforrásként fejlessze tovább, amely az egész szervezetet erősíti.</w:t>
      </w:r>
      <w:bookmarkEnd w:id="3"/>
    </w:p>
    <w:p w14:paraId="1164727B" w14:textId="77777777" w:rsidR="00BD159D" w:rsidRPr="00E45723" w:rsidRDefault="00FD7771">
      <w:pPr>
        <w:spacing w:before="240" w:after="240"/>
        <w:rPr>
          <w:rFonts w:asciiTheme="minorHAnsi" w:hAnsiTheme="minorHAnsi" w:cs="Calibri"/>
        </w:rPr>
      </w:pPr>
      <w:r w:rsidRPr="00E45723">
        <w:rPr>
          <w:rFonts w:asciiTheme="minorHAnsi" w:hAnsiTheme="minorHAnsi" w:cs="Calibri"/>
        </w:rPr>
        <w:t>Kilenc országban, több mint harmincezer munkatárssal végezzük munkánkat nap mint nap – takarítunk, üzemeltetünk, gondoskodunk arról, hogy az emberek egészséges, biztonságos és rendezett környezetben dolgozhassanak, gyógyulhassanak, utazhassanak. Ez a küldetés önmagában is már egy sokrétű fenntarthatósági elkötelezettség: munkavállalóink és partnereink jólléte, a felhasznált anyagok és vegyszerek felelős kezelése, flottánk kibocsátása, valamint az alvállalkozói lánc munkakörülményei mind olyan kérdések, amelyeket ebben a jelentésben őszintén mutatunk be – eredményeinkkel és a még fejlesztésre szoruló területeinkkel együtt.</w:t>
      </w:r>
    </w:p>
    <w:p w14:paraId="558894A0" w14:textId="77777777" w:rsidR="00BD159D" w:rsidRPr="00E45723" w:rsidRDefault="00FD7771">
      <w:pPr>
        <w:suppressAutoHyphens/>
        <w:spacing w:before="240" w:after="240"/>
        <w:rPr>
          <w:rFonts w:asciiTheme="minorHAnsi" w:hAnsiTheme="minorHAnsi" w:cs="Calibri"/>
        </w:rPr>
      </w:pPr>
      <w:r w:rsidRPr="00E45723">
        <w:rPr>
          <w:rFonts w:asciiTheme="minorHAnsi" w:hAnsiTheme="minorHAnsi" w:cs="Calibri"/>
        </w:rPr>
        <w:t>ESG stratégiánk jelenleg még formálódik, de céljaink egy része már meghatározott - éppen ezért első jelentésünk nem egy befejezett folyamat lenyomata, hanem egy tudatos kezdeté.</w:t>
      </w:r>
    </w:p>
    <w:p w14:paraId="73BAA3F3" w14:textId="77777777" w:rsidR="00BD159D" w:rsidRPr="00E45723" w:rsidRDefault="00FD7771">
      <w:pPr>
        <w:suppressAutoHyphens/>
        <w:spacing w:before="240" w:after="240"/>
        <w:rPr>
          <w:rFonts w:asciiTheme="minorHAnsi" w:hAnsiTheme="minorHAnsi" w:cs="Calibri"/>
        </w:rPr>
      </w:pPr>
      <w:r w:rsidRPr="00E45723">
        <w:rPr>
          <w:rFonts w:asciiTheme="minorHAnsi" w:hAnsiTheme="minorHAnsi" w:cs="Calibri"/>
        </w:rPr>
        <w:t>Köszönöm minden munkatársunknak, partnerünknek és ügyfelünknek, hogy részesei ennek az útnak.</w:t>
      </w:r>
    </w:p>
    <w:p w14:paraId="5A309BB5" w14:textId="77777777" w:rsidR="00BD159D" w:rsidRPr="00E45723" w:rsidRDefault="00FD7771" w:rsidP="00EA3B06">
      <w:pPr>
        <w:pStyle w:val="Stlus2"/>
        <w:suppressAutoHyphens/>
        <w:rPr>
          <w:rFonts w:asciiTheme="minorHAnsi" w:hAnsiTheme="minorHAnsi" w:cs="Calibri"/>
        </w:rPr>
      </w:pPr>
      <w:bookmarkStart w:id="4" w:name="_Toc230089748"/>
      <w:bookmarkStart w:id="5" w:name="_Toc239834896"/>
      <w:r w:rsidRPr="00E45723">
        <w:rPr>
          <w:rFonts w:asciiTheme="minorHAnsi" w:hAnsiTheme="minorHAnsi" w:cs="Calibri"/>
        </w:rPr>
        <w:t>Küldetésünk és jövőképünk</w:t>
      </w:r>
      <w:bookmarkEnd w:id="4"/>
      <w:bookmarkEnd w:id="5"/>
    </w:p>
    <w:p w14:paraId="15D26777" w14:textId="77777777" w:rsidR="00BD159D" w:rsidRPr="00E45723" w:rsidRDefault="00FD7771" w:rsidP="00EA3B06">
      <w:pPr>
        <w:pStyle w:val="Heading2"/>
        <w:suppressAutoHyphens/>
        <w:rPr>
          <w:rFonts w:asciiTheme="minorHAnsi" w:hAnsiTheme="minorHAnsi" w:cs="Calibri"/>
        </w:rPr>
      </w:pPr>
      <w:bookmarkStart w:id="6" w:name="_Toc239834897"/>
      <w:r w:rsidRPr="00E45723">
        <w:rPr>
          <w:rFonts w:asciiTheme="minorHAnsi" w:hAnsiTheme="minorHAnsi" w:cs="Calibri"/>
        </w:rPr>
        <w:t>Küldetésünk</w:t>
      </w:r>
      <w:bookmarkEnd w:id="6"/>
    </w:p>
    <w:p w14:paraId="43D80B9C"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küldetése, hogy professzionális, megbízható és fenntartható facility management szolgáltatások nyújtásával tiszta, biztonságos és magas minőségű munkakörnyezetet teremtsen partnerei és munkavállalói számára Európa-szerte. A Csoport meggyőződése, hogy a létesítménygazdálkodási szolgáltatások nem csupán operatív támogatási funkciót töltenek be, hanem közvetlen hatással vannak a munkakörnyezet minőségére, az emberek egészségére és biztonságára, valamint a környezeti fenntarthatóságra is.</w:t>
      </w:r>
    </w:p>
    <w:p w14:paraId="52422F2C"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célja, hogy működésével és szolgáltatásaival hozzájáruljon egy élhetőbb, biztonságosabb és fenntarthatóbb környezet kialakításához, miközben aktív szerepet vállal a facility management szektor fejlődésében és a szakmai standardok alakításában. A Társaság stratégiai partnerként tekint szerepére: innovatív, technológia-alapú és átlátható működési megoldásokkal támogatja ügyfelei működési hatékonyságát, üzleti teljesítményét és fenntarthatósági céljainak elérését.</w:t>
      </w:r>
    </w:p>
    <w:p w14:paraId="50187A1C" w14:textId="4054D18F"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Társaság működésének alapját a felelős vállalatirányítás, az etikus üzleti magatartás, valamint a hosszú távú értékteremtés iránti elkötelezettség képezi. A Liwo FM Group olyan fejlesztések megvalósítására törekszik, amelyek hozzájárulnak a természeti erőforrások megőrzéséhez, az energia- és anyagfelhasználás hatékonyságának javításához, valamint a munkavállalók és </w:t>
      </w:r>
      <w:r w:rsidR="00A83773" w:rsidRPr="00E45723">
        <w:rPr>
          <w:rFonts w:asciiTheme="minorHAnsi" w:hAnsiTheme="minorHAnsi" w:cs="Calibri"/>
        </w:rPr>
        <w:br/>
      </w:r>
      <w:r w:rsidRPr="00E45723">
        <w:rPr>
          <w:rFonts w:asciiTheme="minorHAnsi" w:hAnsiTheme="minorHAnsi" w:cs="Calibri"/>
        </w:rPr>
        <w:t>az érintett közösségek életminőségének növeléséhez.</w:t>
      </w:r>
    </w:p>
    <w:p w14:paraId="561156D1" w14:textId="77777777" w:rsidR="00BD159D" w:rsidRPr="00E45723" w:rsidRDefault="00FD7771" w:rsidP="00EA3B06">
      <w:pPr>
        <w:pStyle w:val="Heading2"/>
        <w:suppressAutoHyphens/>
        <w:rPr>
          <w:rFonts w:asciiTheme="minorHAnsi" w:hAnsiTheme="minorHAnsi" w:cs="Calibri"/>
        </w:rPr>
      </w:pPr>
      <w:bookmarkStart w:id="7" w:name="_Toc239834898"/>
      <w:r w:rsidRPr="00E45723">
        <w:rPr>
          <w:rFonts w:asciiTheme="minorHAnsi" w:hAnsiTheme="minorHAnsi" w:cs="Calibri"/>
        </w:rPr>
        <w:lastRenderedPageBreak/>
        <w:t>Jövőképünk</w:t>
      </w:r>
      <w:bookmarkEnd w:id="7"/>
    </w:p>
    <w:p w14:paraId="723C772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FM Group hosszú távú célja, hogy a fenntartható facility management és takarítási szolgáltatások meghatározó szereplőjévé váljon az európai piacon, ahol a környezetbarát és technológia-alapú megoldások jelentik az új szakmai sztenderdet. A Társaság olyan működési modellt kíván kialakítani, amelyben a gazdasági hatékonyság, a környezeti felelősségvállalás és a társadalmi értékteremtés egymást erősítve jelenik meg.</w:t>
      </w:r>
    </w:p>
    <w:p w14:paraId="14B4DEB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stratégiai célkitűzése, hogy 2030-ra árbevételének több mint 50%-a a magánszektorból származzon. Ennek elérése érdekében a Társaság kiemelt hangsúlyt helyez arra, hogy valamennyi üzletága megfeleljen a növekvő ESG-elvárásoknak, valamint a fenntarthatósági és megfelelőségi követelményeknek.</w:t>
      </w:r>
    </w:p>
    <w:p w14:paraId="79D15644"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vállalat fontos stratégiai prioritásként kezeli a PropTech és más technológia-alapú megoldások integrálását a napi működésbe, valamint az innovatív és erőforrás-hatékony szolgáltatások fejlesztését. Ennek keretében törekszik többek között környezetbarát technológiák, EcoLabel minősítésű termékek, koncentrált tisztítószerek és digitalizált működési megoldások alkalmazására.</w:t>
      </w:r>
    </w:p>
    <w:p w14:paraId="6EE76097"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támogatja az országok közötti tudásmegosztást és együttműködést annak érdekében, hogy gyorsan és hatékonyan reagáljon az ügyféligényekre és az iparági kihívásokra. Emellett célzottan fejleszti és bővíti kiegészítő szolgáltatásait – többek között a dokumentumkezelési, munkaruha- és mosodai szolgáltatásokat – az ügyféligények és piaci lehetőségek figyelembevételével.</w:t>
      </w:r>
    </w:p>
    <w:p w14:paraId="3D7184A8" w14:textId="77777777" w:rsidR="00BD159D" w:rsidRPr="00E45723" w:rsidRDefault="00FD7771" w:rsidP="00EA3B06">
      <w:pPr>
        <w:pStyle w:val="Heading2"/>
        <w:suppressAutoHyphens/>
        <w:rPr>
          <w:rFonts w:asciiTheme="minorHAnsi" w:hAnsiTheme="minorHAnsi" w:cs="Calibri"/>
        </w:rPr>
      </w:pPr>
      <w:bookmarkStart w:id="8" w:name="_Toc239834899"/>
      <w:r w:rsidRPr="00E45723">
        <w:rPr>
          <w:rFonts w:asciiTheme="minorHAnsi" w:hAnsiTheme="minorHAnsi" w:cs="Calibri"/>
        </w:rPr>
        <w:t>Értékeink és fenntarthatósági megközelítésünk</w:t>
      </w:r>
      <w:bookmarkEnd w:id="8"/>
    </w:p>
    <w:p w14:paraId="46FAE7F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működését olyan alapvető értékek határozzák meg, amelyek a napi működésben és a stratégiai döntéshozatalban egyaránt megjelennek. A Társaság kiemelt jelentőséget tulajdonít az egészségvédelemnek, a biztonságnak és a higiéniának, amelyek nemcsak a munkavállalók biztonságos foglalkoztatásában és a higiéniai protokollok alkalmazásában jelennek meg, hanem abban is, hogy szolgáltatásain keresztül egészségesebb és biztonságosabb munkakörnyezetet biztosítson ügyfelei számára.</w:t>
      </w:r>
    </w:p>
    <w:p w14:paraId="22A2AF4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működésének meghatározó eleme az etikus működés és az üzleti integritás. A Liwo FM Group tevékenysége során az átláthatóság, a tisztesség és a felelős vállalatirányítás elveit követi, különös figyelmet fordítva a megfelelőségre, a standardizált működésre és a partnerekkel kialakított hosszú távú bizalmi kapcsolatokra.</w:t>
      </w:r>
    </w:p>
    <w:p w14:paraId="562AEC84" w14:textId="24DA2BEC"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FM Group fontos értékének tekinti az innovációt, a nyitottságot és a folyamatos fejlődést. A</w:t>
      </w:r>
      <w:r w:rsidR="004C3B23" w:rsidRPr="00E45723">
        <w:rPr>
          <w:rFonts w:asciiTheme="minorHAnsi" w:hAnsiTheme="minorHAnsi" w:cs="Calibri"/>
        </w:rPr>
        <w:t> </w:t>
      </w:r>
      <w:r w:rsidRPr="00E45723">
        <w:rPr>
          <w:rFonts w:asciiTheme="minorHAnsi" w:hAnsiTheme="minorHAnsi" w:cs="Calibri"/>
        </w:rPr>
        <w:t>Társaság meggyőződése, hogy a technológiai és működési fejlesztések, a digitalizáció és a fenntartható tisztítási megoldások hozzájárulnak a hosszú távú versenyképességhez és a fenn</w:t>
      </w:r>
      <w:r w:rsidR="00A83773" w:rsidRPr="00E45723">
        <w:rPr>
          <w:rFonts w:asciiTheme="minorHAnsi" w:hAnsiTheme="minorHAnsi" w:cs="Calibri"/>
        </w:rPr>
        <w:t>-</w:t>
      </w:r>
      <w:r w:rsidRPr="00E45723">
        <w:rPr>
          <w:rFonts w:asciiTheme="minorHAnsi" w:hAnsiTheme="minorHAnsi" w:cs="Calibri"/>
        </w:rPr>
        <w:t>tartható működéshez.</w:t>
      </w:r>
    </w:p>
    <w:p w14:paraId="47C066D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környezettudatosság és a társadalmi felelősségvállalás szintén meghatározó szerepet tölt be a vállalat értékrendjében. A Társaság célja az ökológiai lábnyom csökkentése, a körforgásos szemlélet erősítése és a fenntartható erőforrás-gazdálkodás támogatása. Emellett elkötelezett az esélyegyenlőség, a sokszínűség és a munkavállalói jóllét támogatása mellett, valamint fontosnak tartja a munkavállalók fejlődésének, hosszú távú megtartásának és társadalmi megbecsülésének elősegítését.</w:t>
      </w:r>
    </w:p>
    <w:p w14:paraId="3B36D6C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Group fenntarthatósági stratégiája a kettős lényegességi elemzés (DMA) eredményeire épül. A stratégia középpontjában a működési hatékonyság növelése, a környezeti terhelés csökkentése, a munkavállalók biztonságának és fejlődésének támogatása, valamint az auditálható és egységes vállalatirányítási és kontrollkörnyezet kialakítása áll.</w:t>
      </w:r>
    </w:p>
    <w:p w14:paraId="41DA1D0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szabályozási követelményeknek való megfelelésen túl a LIWO Csoport Fenntarthatósági Jelentésének célja az is, hogy aktívan támogassa leányvállalatait ESG-vel kapcsolatos törekvéseikben és pályázati részvételeik során.</w:t>
      </w:r>
    </w:p>
    <w:p w14:paraId="67989119" w14:textId="1CFAF653"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Csoport elkötelezett amellett, hogy jelentéstételi keretrendszerét olyan közös erő</w:t>
      </w:r>
      <w:r w:rsidR="00FA46A9" w:rsidRPr="00E45723">
        <w:rPr>
          <w:rFonts w:asciiTheme="minorHAnsi" w:hAnsiTheme="minorHAnsi" w:cs="Calibri"/>
        </w:rPr>
        <w:t>-</w:t>
      </w:r>
      <w:r w:rsidRPr="00E45723">
        <w:rPr>
          <w:rFonts w:asciiTheme="minorHAnsi" w:hAnsiTheme="minorHAnsi" w:cs="Calibri"/>
        </w:rPr>
        <w:t>forrásként fejlessze tovább, amely erősíti a teljes szervezet működését.</w:t>
      </w:r>
    </w:p>
    <w:p w14:paraId="63035A13" w14:textId="77777777" w:rsidR="00BD159D" w:rsidRPr="00E45723" w:rsidRDefault="00BD159D">
      <w:pPr>
        <w:suppressAutoHyphens/>
        <w:spacing w:before="240" w:after="240"/>
        <w:rPr>
          <w:rFonts w:asciiTheme="minorHAnsi" w:hAnsiTheme="minorHAnsi" w:cs="Calibri"/>
        </w:rPr>
      </w:pPr>
    </w:p>
    <w:p w14:paraId="12A37D9F" w14:textId="77777777" w:rsidR="00BD159D" w:rsidRPr="00E45723" w:rsidRDefault="00FD7771" w:rsidP="00EA3B06">
      <w:pPr>
        <w:pStyle w:val="Stlus2"/>
        <w:suppressAutoHyphens/>
        <w:rPr>
          <w:rFonts w:asciiTheme="minorHAnsi" w:hAnsiTheme="minorHAnsi" w:cs="Calibri"/>
        </w:rPr>
      </w:pPr>
      <w:bookmarkStart w:id="9" w:name="_Toc230089749"/>
      <w:bookmarkStart w:id="10" w:name="_Toc239834900"/>
      <w:r w:rsidRPr="00E45723">
        <w:rPr>
          <w:rFonts w:asciiTheme="minorHAnsi" w:hAnsiTheme="minorHAnsi" w:cs="Calibri"/>
        </w:rPr>
        <w:t>A Társaságról</w:t>
      </w:r>
      <w:bookmarkEnd w:id="9"/>
      <w:bookmarkEnd w:id="10"/>
    </w:p>
    <w:p w14:paraId="2516F3C3" w14:textId="77777777" w:rsidR="00BD159D" w:rsidRPr="00E45723" w:rsidRDefault="00FD7771" w:rsidP="00EA3B06">
      <w:pPr>
        <w:pStyle w:val="Heading2"/>
        <w:suppressAutoHyphens/>
        <w:rPr>
          <w:rFonts w:asciiTheme="minorHAnsi" w:hAnsiTheme="minorHAnsi" w:cs="Calibri"/>
        </w:rPr>
      </w:pPr>
      <w:bookmarkStart w:id="11" w:name="_Toc239834901"/>
      <w:r w:rsidRPr="00E45723">
        <w:rPr>
          <w:rFonts w:asciiTheme="minorHAnsi" w:hAnsiTheme="minorHAnsi" w:cs="Calibri"/>
        </w:rPr>
        <w:t>BP-1 A fenntarthatósági nyilatkozatok elkészítésének általános alapjai</w:t>
      </w:r>
      <w:bookmarkEnd w:id="11"/>
    </w:p>
    <w:p w14:paraId="7C923FC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3, ESRS 2 5. bek. a), ESRS 2 5. bek. b) i.] A LIWO FM Zrt és leányvállalatai számára kiemelten fontos a fenntarthatóság, a transzparens működés, ezért is készítette el első fentarthatósági nyilatkozatát a vállalati fenntarthatósági jelentéstételről szóló (EU) 2022/2464 irányelv (CSRD), valamint az Európai Bizottság által elfogadott Európai Fenntarthatósági Jelentési Standardok (ESRS) előírásainak figyelembevételével. A jelentés célja, hogy átlátható módon bemutassa a Társaság irányítási gyakorlatait, fenntarthatósági teljesítményét, valamint a lényeges fenntarthatósági témákhoz kapcsolódó mutatókat és azok alakulását. Az ESG szempontok üzleti jelentésbe és a működésbe való beépítése nemcsak a szabályozási megfelelést támogatja, hanem a hosszú távú stabilitást és a versenyképességet is erősíti. Jelentéstétel célja továbbá a jövőre a cégcsoport számára kötelező, auditált jelentéstételre való felkészülés.</w:t>
      </w:r>
    </w:p>
    <w:p w14:paraId="11A4A6A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jelentés a Társaság teljes működésére, valamennyi üzleti és támogató folyamatára kiterjed, azt a cégcsoport vezérigazgatója hagyja jóvá.</w:t>
      </w:r>
    </w:p>
    <w:tbl>
      <w:tblPr>
        <w:tblStyle w:val="Table"/>
        <w:tblW w:w="9075" w:type="dxa"/>
        <w:tblCellSpacing w:w="15" w:type="dxa"/>
        <w:tblLayout w:type="fixed"/>
        <w:tblLook w:val="0000" w:firstRow="0" w:lastRow="0" w:firstColumn="0" w:lastColumn="0" w:noHBand="0" w:noVBand="0"/>
      </w:tblPr>
      <w:tblGrid>
        <w:gridCol w:w="2358"/>
        <w:gridCol w:w="6717"/>
      </w:tblGrid>
      <w:tr w:rsidR="00BD159D" w:rsidRPr="00E45723" w14:paraId="72C81533" w14:textId="77777777" w:rsidTr="005A4858">
        <w:trPr>
          <w:tblCellSpacing w:w="15" w:type="dxa"/>
        </w:trPr>
        <w:tc>
          <w:tcPr>
            <w:tcW w:w="2335" w:type="dxa"/>
            <w:vAlign w:val="center"/>
          </w:tcPr>
          <w:p w14:paraId="74994E52" w14:textId="3FF7D10C"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Jelentés hatók</w:t>
            </w:r>
            <w:r w:rsidR="00E45723">
              <w:rPr>
                <w:rFonts w:asciiTheme="minorHAnsi" w:hAnsiTheme="minorHAnsi" w:cs="Calibri"/>
                <w:b/>
              </w:rPr>
              <w:t>ö</w:t>
            </w:r>
            <w:r w:rsidRPr="00E45723">
              <w:rPr>
                <w:rFonts w:asciiTheme="minorHAnsi" w:hAnsiTheme="minorHAnsi" w:cs="Calibri"/>
                <w:b/>
              </w:rPr>
              <w:t xml:space="preserve">re </w:t>
            </w:r>
            <w:r w:rsidR="00C43821" w:rsidRPr="00E45723">
              <w:rPr>
                <w:rFonts w:asciiTheme="minorHAnsi" w:hAnsiTheme="minorHAnsi" w:cs="Calibri"/>
                <w:b/>
              </w:rPr>
              <w:br/>
            </w:r>
            <w:r w:rsidRPr="00E45723">
              <w:rPr>
                <w:rFonts w:asciiTheme="minorHAnsi" w:hAnsiTheme="minorHAnsi" w:cs="Calibri"/>
                <w:b/>
              </w:rPr>
              <w:t>és a jelentéstételi időszak</w:t>
            </w:r>
          </w:p>
          <w:p w14:paraId="385E85D8" w14:textId="77777777" w:rsidR="00BD159D" w:rsidRPr="00E45723" w:rsidRDefault="00BD159D" w:rsidP="00EA3B06">
            <w:pPr>
              <w:suppressAutoHyphens/>
              <w:spacing w:before="36" w:after="36"/>
              <w:jc w:val="left"/>
              <w:rPr>
                <w:rFonts w:asciiTheme="minorHAnsi" w:hAnsiTheme="minorHAnsi" w:cs="Calibri"/>
                <w:b/>
              </w:rPr>
            </w:pPr>
          </w:p>
        </w:tc>
        <w:tc>
          <w:tcPr>
            <w:tcW w:w="6740" w:type="dxa"/>
            <w:vAlign w:val="center"/>
          </w:tcPr>
          <w:p w14:paraId="1D41723B" w14:textId="77777777" w:rsidR="00BD159D" w:rsidRPr="00E45723" w:rsidRDefault="00FD7771" w:rsidP="00086AFB">
            <w:pPr>
              <w:suppressAutoHyphens/>
              <w:spacing w:before="36" w:after="36"/>
              <w:rPr>
                <w:rFonts w:asciiTheme="minorHAnsi" w:hAnsiTheme="minorHAnsi" w:cs="Calibri"/>
              </w:rPr>
            </w:pPr>
            <w:r w:rsidRPr="00E45723">
              <w:rPr>
                <w:rFonts w:asciiTheme="minorHAnsi" w:hAnsiTheme="minorHAnsi" w:cs="Calibri"/>
              </w:rPr>
              <w:t xml:space="preserve">A jelentés a 2025. január 1. és 2025. december 31. közötti időszakra vonatkozik, és a társaság pénzügyi beszámolójával azonos konszolidációs körre terjed ki. </w:t>
            </w:r>
          </w:p>
        </w:tc>
      </w:tr>
      <w:tr w:rsidR="00BD159D" w:rsidRPr="00E45723" w14:paraId="20F3F36B" w14:textId="77777777" w:rsidTr="005A4858">
        <w:trPr>
          <w:tblCellSpacing w:w="15" w:type="dxa"/>
        </w:trPr>
        <w:tc>
          <w:tcPr>
            <w:tcW w:w="2335" w:type="dxa"/>
            <w:vAlign w:val="center"/>
          </w:tcPr>
          <w:p w14:paraId="00E24895"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Irányadó standardok</w:t>
            </w:r>
          </w:p>
        </w:tc>
        <w:tc>
          <w:tcPr>
            <w:tcW w:w="6740" w:type="dxa"/>
            <w:vAlign w:val="center"/>
          </w:tcPr>
          <w:p w14:paraId="040723C5" w14:textId="77777777" w:rsidR="00BD159D" w:rsidRPr="00E45723" w:rsidRDefault="00FD7771" w:rsidP="00086AFB">
            <w:pPr>
              <w:suppressAutoHyphens/>
              <w:spacing w:before="36" w:after="36"/>
              <w:rPr>
                <w:rFonts w:asciiTheme="minorHAnsi" w:hAnsiTheme="minorHAnsi" w:cs="Calibri"/>
              </w:rPr>
            </w:pPr>
            <w:r w:rsidRPr="00E45723">
              <w:rPr>
                <w:rFonts w:asciiTheme="minorHAnsi" w:hAnsiTheme="minorHAnsi" w:cs="Calibri"/>
              </w:rPr>
              <w:t>A fenntarthatósági jelentés az Európai Unió által elfogadott Európai Fenntarthatósági Beszámolási Standardok (ESRS Set 1) szerint készült, összhangban az (EU) 2022/2464 számú CSRD irányelvvel, valamint a kapcsolódó magyar szabályozási környezettel (2023. évi CVIII. törvény és Számviteli Törvény)</w:t>
            </w:r>
          </w:p>
        </w:tc>
      </w:tr>
      <w:tr w:rsidR="00BD159D" w:rsidRPr="00E45723" w14:paraId="18482A87" w14:textId="77777777" w:rsidTr="005A4858">
        <w:trPr>
          <w:tblCellSpacing w:w="15" w:type="dxa"/>
        </w:trPr>
        <w:tc>
          <w:tcPr>
            <w:tcW w:w="2335" w:type="dxa"/>
            <w:vAlign w:val="center"/>
          </w:tcPr>
          <w:p w14:paraId="49CE0D58"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Kapcsolat a pénzügyi jelentéssel</w:t>
            </w:r>
          </w:p>
        </w:tc>
        <w:tc>
          <w:tcPr>
            <w:tcW w:w="6740" w:type="dxa"/>
            <w:vAlign w:val="center"/>
          </w:tcPr>
          <w:p w14:paraId="00E2CFBD" w14:textId="77777777" w:rsidR="00BD159D" w:rsidRPr="00E45723" w:rsidRDefault="00FD7771" w:rsidP="00086AFB">
            <w:pPr>
              <w:suppressAutoHyphens/>
              <w:spacing w:before="36" w:after="36"/>
              <w:rPr>
                <w:rFonts w:asciiTheme="minorHAnsi" w:hAnsiTheme="minorHAnsi" w:cs="Calibri"/>
              </w:rPr>
            </w:pPr>
            <w:r w:rsidRPr="00E45723">
              <w:rPr>
                <w:rFonts w:asciiTheme="minorHAnsi" w:hAnsiTheme="minorHAnsi" w:cs="Calibri"/>
              </w:rPr>
              <w:t>A fenntarthatósági információk a pénzügyi beszámolótól elkülönítve, de azzal módszertanilag összhangban kerültek összeállításra. Az adatok forrásai a LIWO belső nyilvántartásai (HR, HSE, üzemeltetési és környezetvédelmi rendszerek) és a csoporthoz tartozó leányvállalatok, valamint beszállítók által szolgáltatott információk.</w:t>
            </w:r>
          </w:p>
        </w:tc>
      </w:tr>
      <w:tr w:rsidR="00BD159D" w:rsidRPr="00E45723" w14:paraId="76AAD5E4" w14:textId="77777777" w:rsidTr="005A4858">
        <w:trPr>
          <w:tblCellSpacing w:w="15" w:type="dxa"/>
        </w:trPr>
        <w:tc>
          <w:tcPr>
            <w:tcW w:w="2335" w:type="dxa"/>
            <w:vAlign w:val="center"/>
          </w:tcPr>
          <w:p w14:paraId="23943E9C"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Legutóbbi jelentés és a jelentés tartalmában történt változások</w:t>
            </w:r>
          </w:p>
        </w:tc>
        <w:tc>
          <w:tcPr>
            <w:tcW w:w="6740" w:type="dxa"/>
            <w:vAlign w:val="center"/>
          </w:tcPr>
          <w:p w14:paraId="0932A32E" w14:textId="77777777" w:rsidR="00BD159D" w:rsidRPr="00E45723" w:rsidRDefault="00FD7771" w:rsidP="00086AFB">
            <w:pPr>
              <w:suppressAutoHyphens/>
              <w:spacing w:before="36" w:after="36"/>
              <w:rPr>
                <w:rFonts w:asciiTheme="minorHAnsi" w:hAnsiTheme="minorHAnsi" w:cs="Calibri"/>
              </w:rPr>
            </w:pPr>
            <w:r w:rsidRPr="00E45723">
              <w:rPr>
                <w:rFonts w:asciiTheme="minorHAnsi" w:hAnsiTheme="minorHAnsi" w:cs="Calibri"/>
              </w:rPr>
              <w:t>Jelen dokumentum a Társaság első fenntarthatósági jelentése, amely az ESRS keretrendszer alkalmazásával került összeállításra.</w:t>
            </w:r>
          </w:p>
        </w:tc>
      </w:tr>
      <w:tr w:rsidR="00BD159D" w:rsidRPr="00E45723" w14:paraId="052041A0" w14:textId="77777777" w:rsidTr="005A4858">
        <w:trPr>
          <w:tblCellSpacing w:w="15" w:type="dxa"/>
        </w:trPr>
        <w:tc>
          <w:tcPr>
            <w:tcW w:w="2335" w:type="dxa"/>
            <w:vAlign w:val="center"/>
          </w:tcPr>
          <w:p w14:paraId="12DC7A8A"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Jelentés tanúsítása külső fél által</w:t>
            </w:r>
          </w:p>
        </w:tc>
        <w:tc>
          <w:tcPr>
            <w:tcW w:w="6740" w:type="dxa"/>
            <w:vAlign w:val="center"/>
          </w:tcPr>
          <w:p w14:paraId="2F55AED1" w14:textId="77777777" w:rsidR="00BD159D" w:rsidRPr="00E45723" w:rsidRDefault="00FD7771" w:rsidP="00086AFB">
            <w:pPr>
              <w:suppressAutoHyphens/>
              <w:spacing w:before="36" w:after="36"/>
              <w:rPr>
                <w:rFonts w:asciiTheme="minorHAnsi" w:hAnsiTheme="minorHAnsi" w:cs="Calibri"/>
              </w:rPr>
            </w:pPr>
            <w:r w:rsidRPr="00E45723">
              <w:rPr>
                <w:rFonts w:asciiTheme="minorHAnsi" w:hAnsiTheme="minorHAnsi" w:cs="Calibri"/>
              </w:rPr>
              <w:t>A jelentés nem került külső fél által tanúsításra. </w:t>
            </w:r>
          </w:p>
        </w:tc>
      </w:tr>
    </w:tbl>
    <w:p w14:paraId="4182455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A LIWO Groupra – a 2025-ös hatályfelmérés eredményei alapján - az anyavállalat és azon leányvállalatai összességét értjük, amelyek teljeskörűen konszolidálásra kerülnek a konszolidált pénzügyi kimutatásokban.</w:t>
      </w:r>
    </w:p>
    <w:tbl>
      <w:tblPr>
        <w:tblStyle w:val="Table"/>
        <w:tblW w:w="9075" w:type="dxa"/>
        <w:tblLayout w:type="fixed"/>
        <w:tblLook w:val="0020" w:firstRow="1" w:lastRow="0" w:firstColumn="0" w:lastColumn="0" w:noHBand="0" w:noVBand="0"/>
      </w:tblPr>
      <w:tblGrid>
        <w:gridCol w:w="5033"/>
        <w:gridCol w:w="1856"/>
        <w:gridCol w:w="2186"/>
      </w:tblGrid>
      <w:tr w:rsidR="00BD159D" w:rsidRPr="00E45723" w14:paraId="47FC48BF" w14:textId="77777777" w:rsidTr="005A4858">
        <w:trPr>
          <w:cnfStyle w:val="100000000000" w:firstRow="1" w:lastRow="0" w:firstColumn="0" w:lastColumn="0" w:oddVBand="0" w:evenVBand="0" w:oddHBand="0" w:evenHBand="0" w:firstRowFirstColumn="0" w:firstRowLastColumn="0" w:lastRowFirstColumn="0" w:lastRowLastColumn="0"/>
          <w:trHeight w:val="360"/>
        </w:trPr>
        <w:tc>
          <w:tcPr>
            <w:tcW w:w="5033" w:type="dxa"/>
            <w:noWrap/>
          </w:tcPr>
          <w:p w14:paraId="3DAB90AC" w14:textId="77777777" w:rsidR="00BD159D" w:rsidRPr="00E45723" w:rsidRDefault="00FD7771" w:rsidP="00EA3B06">
            <w:pPr>
              <w:pStyle w:val="NormalWeb"/>
              <w:suppressAutoHyphens/>
              <w:spacing w:before="36" w:after="36"/>
              <w:jc w:val="left"/>
              <w:rPr>
                <w:rFonts w:asciiTheme="minorHAnsi" w:hAnsiTheme="minorHAnsi" w:cs="Calibri"/>
                <w:b/>
                <w:bCs/>
              </w:rPr>
            </w:pPr>
            <w:r w:rsidRPr="00E45723">
              <w:rPr>
                <w:rFonts w:asciiTheme="minorHAnsi" w:hAnsiTheme="minorHAnsi" w:cs="Calibri"/>
                <w:b/>
                <w:bCs/>
              </w:rPr>
              <w:t>Cég</w:t>
            </w:r>
          </w:p>
        </w:tc>
        <w:tc>
          <w:tcPr>
            <w:tcW w:w="1856" w:type="dxa"/>
            <w:noWrap/>
          </w:tcPr>
          <w:p w14:paraId="79D9DD70" w14:textId="77777777" w:rsidR="00BD159D" w:rsidRPr="00E45723" w:rsidRDefault="00FD7771" w:rsidP="00EA3B06">
            <w:pPr>
              <w:pStyle w:val="NormalWeb"/>
              <w:suppressAutoHyphens/>
              <w:spacing w:before="36" w:after="36"/>
              <w:jc w:val="left"/>
              <w:rPr>
                <w:rFonts w:asciiTheme="minorHAnsi" w:hAnsiTheme="minorHAnsi" w:cs="Calibri"/>
                <w:b/>
                <w:bCs/>
              </w:rPr>
            </w:pPr>
            <w:r w:rsidRPr="00E45723">
              <w:rPr>
                <w:rFonts w:asciiTheme="minorHAnsi" w:hAnsiTheme="minorHAnsi" w:cs="Calibri"/>
                <w:b/>
                <w:bCs/>
              </w:rPr>
              <w:t>Bejegyzés helye</w:t>
            </w:r>
          </w:p>
        </w:tc>
        <w:tc>
          <w:tcPr>
            <w:tcW w:w="2186" w:type="dxa"/>
          </w:tcPr>
          <w:p w14:paraId="3611126A" w14:textId="77777777" w:rsidR="00BD159D" w:rsidRPr="00E45723" w:rsidRDefault="00FD7771" w:rsidP="00EA3B06">
            <w:pPr>
              <w:pStyle w:val="NormalWeb"/>
              <w:suppressAutoHyphens/>
              <w:spacing w:before="36" w:after="36"/>
              <w:jc w:val="left"/>
              <w:rPr>
                <w:rFonts w:asciiTheme="minorHAnsi" w:hAnsiTheme="minorHAnsi" w:cs="Calibri"/>
                <w:b/>
                <w:bCs/>
              </w:rPr>
            </w:pPr>
            <w:r w:rsidRPr="00E45723">
              <w:rPr>
                <w:rFonts w:asciiTheme="minorHAnsi" w:hAnsiTheme="minorHAnsi" w:cs="Calibri"/>
                <w:b/>
                <w:bCs/>
              </w:rPr>
              <w:t>Megnevezés a jelenésben</w:t>
            </w:r>
          </w:p>
        </w:tc>
      </w:tr>
      <w:tr w:rsidR="00BD159D" w:rsidRPr="00E45723" w14:paraId="0952782B" w14:textId="77777777" w:rsidTr="005A4858">
        <w:trPr>
          <w:trHeight w:val="232"/>
        </w:trPr>
        <w:tc>
          <w:tcPr>
            <w:tcW w:w="5033" w:type="dxa"/>
            <w:noWrap/>
          </w:tcPr>
          <w:p w14:paraId="347F91DE" w14:textId="60D3C005"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LIWO FM Zrt. </w:t>
            </w:r>
          </w:p>
        </w:tc>
        <w:tc>
          <w:tcPr>
            <w:tcW w:w="1856" w:type="dxa"/>
          </w:tcPr>
          <w:p w14:paraId="1D0BBA4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65F529D3" w14:textId="55B8A383"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Anyacég, </w:t>
            </w:r>
            <w:r w:rsidR="00AE1EB0" w:rsidRPr="00E45723">
              <w:rPr>
                <w:rFonts w:asciiTheme="minorHAnsi" w:hAnsiTheme="minorHAnsi" w:cs="Calibri"/>
              </w:rPr>
              <w:t xml:space="preserve"> </w:t>
            </w:r>
            <w:r w:rsidRPr="00E45723">
              <w:rPr>
                <w:rFonts w:asciiTheme="minorHAnsi" w:hAnsiTheme="minorHAnsi" w:cs="Calibri"/>
              </w:rPr>
              <w:t>Anyavállalat, Társaság</w:t>
            </w:r>
          </w:p>
        </w:tc>
      </w:tr>
      <w:tr w:rsidR="00BD159D" w:rsidRPr="00E45723" w14:paraId="569BD3ED" w14:textId="77777777" w:rsidTr="005A4858">
        <w:trPr>
          <w:trHeight w:val="50"/>
        </w:trPr>
        <w:tc>
          <w:tcPr>
            <w:tcW w:w="5033" w:type="dxa"/>
            <w:noWrap/>
          </w:tcPr>
          <w:p w14:paraId="3BD8CE6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Magyarország Kft.</w:t>
            </w:r>
          </w:p>
        </w:tc>
        <w:tc>
          <w:tcPr>
            <w:tcW w:w="1856" w:type="dxa"/>
          </w:tcPr>
          <w:p w14:paraId="07733BE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6ACD073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Magyarország</w:t>
            </w:r>
          </w:p>
        </w:tc>
      </w:tr>
      <w:tr w:rsidR="00BD159D" w:rsidRPr="00E45723" w14:paraId="7103C0E5" w14:textId="77777777" w:rsidTr="005A4858">
        <w:trPr>
          <w:trHeight w:val="132"/>
        </w:trPr>
        <w:tc>
          <w:tcPr>
            <w:tcW w:w="5033" w:type="dxa"/>
          </w:tcPr>
          <w:p w14:paraId="331E156C"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RWi Textilservice Zrt. </w:t>
            </w:r>
          </w:p>
        </w:tc>
        <w:tc>
          <w:tcPr>
            <w:tcW w:w="1856" w:type="dxa"/>
          </w:tcPr>
          <w:p w14:paraId="2428A06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459E9D4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RWi</w:t>
            </w:r>
          </w:p>
        </w:tc>
      </w:tr>
      <w:tr w:rsidR="00BD159D" w:rsidRPr="00E45723" w14:paraId="26ABAA12" w14:textId="77777777" w:rsidTr="005A4858">
        <w:trPr>
          <w:trHeight w:val="50"/>
        </w:trPr>
        <w:tc>
          <w:tcPr>
            <w:tcW w:w="5033" w:type="dxa"/>
            <w:noWrap/>
          </w:tcPr>
          <w:p w14:paraId="380BFBD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PFM Zrt.</w:t>
            </w:r>
          </w:p>
        </w:tc>
        <w:tc>
          <w:tcPr>
            <w:tcW w:w="1856" w:type="dxa"/>
          </w:tcPr>
          <w:p w14:paraId="3EC846A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244C858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PFM</w:t>
            </w:r>
          </w:p>
        </w:tc>
      </w:tr>
      <w:tr w:rsidR="00BD159D" w:rsidRPr="00E45723" w14:paraId="153DFBFF" w14:textId="77777777" w:rsidTr="005A4858">
        <w:trPr>
          <w:trHeight w:val="50"/>
        </w:trPr>
        <w:tc>
          <w:tcPr>
            <w:tcW w:w="5033" w:type="dxa"/>
            <w:noWrap/>
          </w:tcPr>
          <w:p w14:paraId="22A82B17"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LTP Group Kft.</w:t>
            </w:r>
          </w:p>
        </w:tc>
        <w:tc>
          <w:tcPr>
            <w:tcW w:w="1856" w:type="dxa"/>
          </w:tcPr>
          <w:p w14:paraId="2889CDD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49A9E18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r>
      <w:tr w:rsidR="00BD159D" w:rsidRPr="00E45723" w14:paraId="41976395" w14:textId="77777777" w:rsidTr="005A4858">
        <w:trPr>
          <w:trHeight w:val="91"/>
        </w:trPr>
        <w:tc>
          <w:tcPr>
            <w:tcW w:w="5033" w:type="dxa"/>
            <w:noWrap/>
          </w:tcPr>
          <w:p w14:paraId="05F9141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Referencia Security Kft.</w:t>
            </w:r>
          </w:p>
        </w:tc>
        <w:tc>
          <w:tcPr>
            <w:tcW w:w="1856" w:type="dxa"/>
          </w:tcPr>
          <w:p w14:paraId="3F84A7D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5F28F6F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r>
      <w:tr w:rsidR="00BD159D" w:rsidRPr="00E45723" w14:paraId="4484EDF0" w14:textId="77777777" w:rsidTr="005A4858">
        <w:trPr>
          <w:trHeight w:val="129"/>
        </w:trPr>
        <w:tc>
          <w:tcPr>
            <w:tcW w:w="5033" w:type="dxa"/>
            <w:noWrap/>
          </w:tcPr>
          <w:p w14:paraId="67D41CA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Airport Service Budapest Zrt.</w:t>
            </w:r>
          </w:p>
        </w:tc>
        <w:tc>
          <w:tcPr>
            <w:tcW w:w="1856" w:type="dxa"/>
          </w:tcPr>
          <w:p w14:paraId="4F5BFE1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Magyarország</w:t>
            </w:r>
          </w:p>
        </w:tc>
        <w:tc>
          <w:tcPr>
            <w:tcW w:w="2186" w:type="dxa"/>
          </w:tcPr>
          <w:p w14:paraId="1730C1B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r>
      <w:tr w:rsidR="00BD159D" w:rsidRPr="00E45723" w14:paraId="7DF3C36E" w14:textId="77777777" w:rsidTr="005A4858">
        <w:trPr>
          <w:trHeight w:val="50"/>
        </w:trPr>
        <w:tc>
          <w:tcPr>
            <w:tcW w:w="5033" w:type="dxa"/>
            <w:noWrap/>
          </w:tcPr>
          <w:p w14:paraId="3AA8E33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Czech Republic Facility services S.r.o.</w:t>
            </w:r>
          </w:p>
        </w:tc>
        <w:tc>
          <w:tcPr>
            <w:tcW w:w="1856" w:type="dxa"/>
          </w:tcPr>
          <w:p w14:paraId="7C214BF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Csehország</w:t>
            </w:r>
          </w:p>
        </w:tc>
        <w:tc>
          <w:tcPr>
            <w:tcW w:w="2186" w:type="dxa"/>
          </w:tcPr>
          <w:p w14:paraId="246CD35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Csehország</w:t>
            </w:r>
          </w:p>
        </w:tc>
      </w:tr>
      <w:tr w:rsidR="00BD159D" w:rsidRPr="00E45723" w14:paraId="27BF9380" w14:textId="77777777" w:rsidTr="005A4858">
        <w:trPr>
          <w:trHeight w:val="50"/>
        </w:trPr>
        <w:tc>
          <w:tcPr>
            <w:tcW w:w="5033" w:type="dxa"/>
            <w:noWrap/>
          </w:tcPr>
          <w:p w14:paraId="0B9D609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Správa Budov S.R.O.</w:t>
            </w:r>
          </w:p>
        </w:tc>
        <w:tc>
          <w:tcPr>
            <w:tcW w:w="1856" w:type="dxa"/>
          </w:tcPr>
          <w:p w14:paraId="2F8ECCE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Csehország</w:t>
            </w:r>
          </w:p>
        </w:tc>
        <w:tc>
          <w:tcPr>
            <w:tcW w:w="2186" w:type="dxa"/>
          </w:tcPr>
          <w:p w14:paraId="1458A50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Csehország</w:t>
            </w:r>
          </w:p>
        </w:tc>
      </w:tr>
      <w:tr w:rsidR="00BD159D" w:rsidRPr="00E45723" w14:paraId="1BA43F45" w14:textId="77777777" w:rsidTr="005A4858">
        <w:trPr>
          <w:trHeight w:val="87"/>
        </w:trPr>
        <w:tc>
          <w:tcPr>
            <w:tcW w:w="5033" w:type="dxa"/>
            <w:noWrap/>
          </w:tcPr>
          <w:p w14:paraId="7B8A517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Tespranet Services</w:t>
            </w:r>
          </w:p>
        </w:tc>
        <w:tc>
          <w:tcPr>
            <w:tcW w:w="1856" w:type="dxa"/>
          </w:tcPr>
          <w:p w14:paraId="046341E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Csehország</w:t>
            </w:r>
          </w:p>
        </w:tc>
        <w:tc>
          <w:tcPr>
            <w:tcW w:w="2186" w:type="dxa"/>
          </w:tcPr>
          <w:p w14:paraId="6EE328E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Csehország</w:t>
            </w:r>
          </w:p>
        </w:tc>
      </w:tr>
      <w:tr w:rsidR="00BD159D" w:rsidRPr="00E45723" w14:paraId="20B7878A" w14:textId="77777777" w:rsidTr="005A4858">
        <w:trPr>
          <w:trHeight w:val="50"/>
        </w:trPr>
        <w:tc>
          <w:tcPr>
            <w:tcW w:w="5033" w:type="dxa"/>
            <w:noWrap/>
          </w:tcPr>
          <w:p w14:paraId="071BF38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Tespranet Landscaping</w:t>
            </w:r>
          </w:p>
        </w:tc>
        <w:tc>
          <w:tcPr>
            <w:tcW w:w="1856" w:type="dxa"/>
          </w:tcPr>
          <w:p w14:paraId="565AB4D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Csehország</w:t>
            </w:r>
          </w:p>
        </w:tc>
        <w:tc>
          <w:tcPr>
            <w:tcW w:w="2186" w:type="dxa"/>
          </w:tcPr>
          <w:p w14:paraId="70D7C54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Csehország</w:t>
            </w:r>
          </w:p>
        </w:tc>
      </w:tr>
      <w:tr w:rsidR="00BD159D" w:rsidRPr="00E45723" w14:paraId="0AEE98A9" w14:textId="77777777" w:rsidTr="005A4858">
        <w:trPr>
          <w:trHeight w:val="50"/>
        </w:trPr>
        <w:tc>
          <w:tcPr>
            <w:tcW w:w="5033" w:type="dxa"/>
          </w:tcPr>
          <w:p w14:paraId="3BD777B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Slovakia Facility Services spol. s.r.o.</w:t>
            </w:r>
          </w:p>
        </w:tc>
        <w:tc>
          <w:tcPr>
            <w:tcW w:w="1856" w:type="dxa"/>
          </w:tcPr>
          <w:p w14:paraId="5417DB3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Szlovákia</w:t>
            </w:r>
          </w:p>
        </w:tc>
        <w:tc>
          <w:tcPr>
            <w:tcW w:w="2186" w:type="dxa"/>
          </w:tcPr>
          <w:p w14:paraId="3241372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Szlovákia</w:t>
            </w:r>
          </w:p>
        </w:tc>
      </w:tr>
      <w:tr w:rsidR="00BD159D" w:rsidRPr="00E45723" w14:paraId="6C35F290" w14:textId="77777777" w:rsidTr="005A4858">
        <w:trPr>
          <w:trHeight w:val="50"/>
        </w:trPr>
        <w:tc>
          <w:tcPr>
            <w:tcW w:w="5033" w:type="dxa"/>
            <w:noWrap/>
          </w:tcPr>
          <w:p w14:paraId="7E6340A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Slovakia Security Services spol. s.r.o.</w:t>
            </w:r>
          </w:p>
        </w:tc>
        <w:tc>
          <w:tcPr>
            <w:tcW w:w="1856" w:type="dxa"/>
          </w:tcPr>
          <w:p w14:paraId="40B4BF9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Szlovákia</w:t>
            </w:r>
          </w:p>
        </w:tc>
        <w:tc>
          <w:tcPr>
            <w:tcW w:w="2186" w:type="dxa"/>
          </w:tcPr>
          <w:p w14:paraId="71267A7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Szlovákia</w:t>
            </w:r>
          </w:p>
        </w:tc>
      </w:tr>
      <w:tr w:rsidR="00BD159D" w:rsidRPr="00E45723" w14:paraId="0E21CCE9" w14:textId="77777777" w:rsidTr="005A4858">
        <w:trPr>
          <w:trHeight w:val="50"/>
        </w:trPr>
        <w:tc>
          <w:tcPr>
            <w:tcW w:w="5033" w:type="dxa"/>
            <w:noWrap/>
          </w:tcPr>
          <w:p w14:paraId="6CA7608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Integrated Facility Services S.R.L.</w:t>
            </w:r>
          </w:p>
        </w:tc>
        <w:tc>
          <w:tcPr>
            <w:tcW w:w="1856" w:type="dxa"/>
          </w:tcPr>
          <w:p w14:paraId="6C2F936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Románia</w:t>
            </w:r>
          </w:p>
        </w:tc>
        <w:tc>
          <w:tcPr>
            <w:tcW w:w="2186" w:type="dxa"/>
          </w:tcPr>
          <w:p w14:paraId="7837C23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Románia</w:t>
            </w:r>
          </w:p>
        </w:tc>
      </w:tr>
      <w:tr w:rsidR="00BD159D" w:rsidRPr="00E45723" w14:paraId="5EA243A0" w14:textId="77777777" w:rsidTr="005A4858">
        <w:trPr>
          <w:trHeight w:val="50"/>
        </w:trPr>
        <w:tc>
          <w:tcPr>
            <w:tcW w:w="5033" w:type="dxa"/>
            <w:noWrap/>
          </w:tcPr>
          <w:p w14:paraId="41BECAE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SL Facility Services, storitve in trgovina, d.o.o.</w:t>
            </w:r>
          </w:p>
        </w:tc>
        <w:tc>
          <w:tcPr>
            <w:tcW w:w="1856" w:type="dxa"/>
          </w:tcPr>
          <w:p w14:paraId="4F7AEBF7"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Szlovénia</w:t>
            </w:r>
          </w:p>
        </w:tc>
        <w:tc>
          <w:tcPr>
            <w:tcW w:w="2186" w:type="dxa"/>
          </w:tcPr>
          <w:p w14:paraId="39BB39B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Szlovénia</w:t>
            </w:r>
          </w:p>
        </w:tc>
      </w:tr>
      <w:tr w:rsidR="00BD159D" w:rsidRPr="00E45723" w14:paraId="4E3C51B9" w14:textId="77777777" w:rsidTr="005A4858">
        <w:trPr>
          <w:trHeight w:val="50"/>
        </w:trPr>
        <w:tc>
          <w:tcPr>
            <w:tcW w:w="5033" w:type="dxa"/>
          </w:tcPr>
          <w:p w14:paraId="12092DA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MAGNETIK, trgovsko podjetje, d- o.o.</w:t>
            </w:r>
          </w:p>
        </w:tc>
        <w:tc>
          <w:tcPr>
            <w:tcW w:w="1856" w:type="dxa"/>
          </w:tcPr>
          <w:p w14:paraId="052992C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Szlovénia</w:t>
            </w:r>
          </w:p>
        </w:tc>
        <w:tc>
          <w:tcPr>
            <w:tcW w:w="2186" w:type="dxa"/>
          </w:tcPr>
          <w:p w14:paraId="26EF87E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Szlovénia</w:t>
            </w:r>
          </w:p>
        </w:tc>
      </w:tr>
      <w:tr w:rsidR="00BD159D" w:rsidRPr="00E45723" w14:paraId="41ACFDA4" w14:textId="77777777" w:rsidTr="005A4858">
        <w:trPr>
          <w:trHeight w:val="78"/>
        </w:trPr>
        <w:tc>
          <w:tcPr>
            <w:tcW w:w="5033" w:type="dxa"/>
            <w:noWrap/>
          </w:tcPr>
          <w:p w14:paraId="7B180CA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INWEMER sp. z o.o. </w:t>
            </w:r>
          </w:p>
        </w:tc>
        <w:tc>
          <w:tcPr>
            <w:tcW w:w="1856" w:type="dxa"/>
          </w:tcPr>
          <w:p w14:paraId="64A9884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Lengyelország</w:t>
            </w:r>
          </w:p>
        </w:tc>
        <w:tc>
          <w:tcPr>
            <w:tcW w:w="2186" w:type="dxa"/>
          </w:tcPr>
          <w:p w14:paraId="56DEF01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Lengyelország</w:t>
            </w:r>
          </w:p>
        </w:tc>
      </w:tr>
      <w:tr w:rsidR="00BD159D" w:rsidRPr="00E45723" w14:paraId="2001E349" w14:textId="77777777" w:rsidTr="005A4858">
        <w:trPr>
          <w:trHeight w:val="167"/>
        </w:trPr>
        <w:tc>
          <w:tcPr>
            <w:tcW w:w="5033" w:type="dxa"/>
            <w:noWrap/>
          </w:tcPr>
          <w:p w14:paraId="248B564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INWEMER Partner sp. z o.o. </w:t>
            </w:r>
          </w:p>
        </w:tc>
        <w:tc>
          <w:tcPr>
            <w:tcW w:w="1856" w:type="dxa"/>
          </w:tcPr>
          <w:p w14:paraId="107958C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Lengyelország</w:t>
            </w:r>
          </w:p>
        </w:tc>
        <w:tc>
          <w:tcPr>
            <w:tcW w:w="2186" w:type="dxa"/>
          </w:tcPr>
          <w:p w14:paraId="1A50921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Lengyelország</w:t>
            </w:r>
          </w:p>
        </w:tc>
      </w:tr>
      <w:tr w:rsidR="00BD159D" w:rsidRPr="00E45723" w14:paraId="1B69EF57" w14:textId="77777777" w:rsidTr="005A4858">
        <w:trPr>
          <w:trHeight w:val="50"/>
        </w:trPr>
        <w:tc>
          <w:tcPr>
            <w:tcW w:w="5033" w:type="dxa"/>
            <w:noWrap/>
          </w:tcPr>
          <w:p w14:paraId="03793A5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INWEMER System sp. z o.o. </w:t>
            </w:r>
          </w:p>
        </w:tc>
        <w:tc>
          <w:tcPr>
            <w:tcW w:w="1856" w:type="dxa"/>
          </w:tcPr>
          <w:p w14:paraId="5CBF044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Lengyelország</w:t>
            </w:r>
          </w:p>
        </w:tc>
        <w:tc>
          <w:tcPr>
            <w:tcW w:w="2186" w:type="dxa"/>
          </w:tcPr>
          <w:p w14:paraId="2712E86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Lengyelország</w:t>
            </w:r>
          </w:p>
        </w:tc>
      </w:tr>
      <w:tr w:rsidR="00BD159D" w:rsidRPr="00E45723" w14:paraId="684C6F2E" w14:textId="77777777" w:rsidTr="005A4858">
        <w:trPr>
          <w:trHeight w:val="50"/>
        </w:trPr>
        <w:tc>
          <w:tcPr>
            <w:tcW w:w="5033" w:type="dxa"/>
          </w:tcPr>
          <w:p w14:paraId="4A0F9A1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 xml:space="preserve">INWEMER Serwis sp. z o.o. </w:t>
            </w:r>
          </w:p>
        </w:tc>
        <w:tc>
          <w:tcPr>
            <w:tcW w:w="1856" w:type="dxa"/>
          </w:tcPr>
          <w:p w14:paraId="539875F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Lengyelország</w:t>
            </w:r>
          </w:p>
        </w:tc>
        <w:tc>
          <w:tcPr>
            <w:tcW w:w="2186" w:type="dxa"/>
          </w:tcPr>
          <w:p w14:paraId="1AF29BB7"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Lengyelország</w:t>
            </w:r>
          </w:p>
        </w:tc>
      </w:tr>
      <w:tr w:rsidR="00BD159D" w:rsidRPr="00E45723" w14:paraId="6C61FDD2" w14:textId="77777777" w:rsidTr="005A4858">
        <w:trPr>
          <w:trHeight w:val="50"/>
        </w:trPr>
        <w:tc>
          <w:tcPr>
            <w:tcW w:w="5033" w:type="dxa"/>
            <w:noWrap/>
          </w:tcPr>
          <w:p w14:paraId="57521E4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B+N Bulgaria EOOD</w:t>
            </w:r>
          </w:p>
        </w:tc>
        <w:tc>
          <w:tcPr>
            <w:tcW w:w="1856" w:type="dxa"/>
          </w:tcPr>
          <w:p w14:paraId="0460C9E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Bulgária</w:t>
            </w:r>
          </w:p>
        </w:tc>
        <w:tc>
          <w:tcPr>
            <w:tcW w:w="2186" w:type="dxa"/>
          </w:tcPr>
          <w:p w14:paraId="102EBEF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Bulgária</w:t>
            </w:r>
          </w:p>
        </w:tc>
      </w:tr>
      <w:tr w:rsidR="00BD159D" w:rsidRPr="00E45723" w14:paraId="79455FCA" w14:textId="77777777" w:rsidTr="005A4858">
        <w:trPr>
          <w:trHeight w:val="50"/>
        </w:trPr>
        <w:tc>
          <w:tcPr>
            <w:tcW w:w="5033" w:type="dxa"/>
            <w:noWrap/>
          </w:tcPr>
          <w:p w14:paraId="0653628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SAGAD srl</w:t>
            </w:r>
          </w:p>
        </w:tc>
        <w:tc>
          <w:tcPr>
            <w:tcW w:w="1856" w:type="dxa"/>
          </w:tcPr>
          <w:p w14:paraId="47F82EB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Olaszország</w:t>
            </w:r>
          </w:p>
        </w:tc>
        <w:tc>
          <w:tcPr>
            <w:tcW w:w="2186" w:type="dxa"/>
          </w:tcPr>
          <w:p w14:paraId="1724C92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Olaszország</w:t>
            </w:r>
          </w:p>
        </w:tc>
      </w:tr>
      <w:tr w:rsidR="00BD159D" w:rsidRPr="00E45723" w14:paraId="795CF778" w14:textId="77777777" w:rsidTr="005A4858">
        <w:trPr>
          <w:trHeight w:val="50"/>
        </w:trPr>
        <w:tc>
          <w:tcPr>
            <w:tcW w:w="5033" w:type="dxa"/>
            <w:noWrap/>
          </w:tcPr>
          <w:p w14:paraId="7578AFE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Köberl Group Holding GmbH.</w:t>
            </w:r>
          </w:p>
        </w:tc>
        <w:tc>
          <w:tcPr>
            <w:tcW w:w="1856" w:type="dxa"/>
          </w:tcPr>
          <w:p w14:paraId="32023ED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Németország</w:t>
            </w:r>
          </w:p>
        </w:tc>
        <w:tc>
          <w:tcPr>
            <w:tcW w:w="2186" w:type="dxa"/>
          </w:tcPr>
          <w:p w14:paraId="1B32727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LIWO Németország</w:t>
            </w:r>
          </w:p>
        </w:tc>
      </w:tr>
    </w:tbl>
    <w:p w14:paraId="7E8EAD0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FM Zrt. (2026.03.01-ével hatályos névváltozás előtt B+N Referencia Zrt.), mint anyacég megnevezése a jelentésben: „Anyacég”, „Anyavállalat”, „Társaság”, „LIWO FM”, „LIWO FM Zrt.”. Amennyiben a jelentés a LIWO FM Zrt. által konszolidált leányvállalatok egységére utal, úgy a „LIWO Group”, „LIWO Csoport”, „Cégcsoport”, „Csoport”, „Vállalatcsoport”, „Holding” megnevezések használata a jellemző.  </w:t>
      </w:r>
    </w:p>
    <w:p w14:paraId="4291D2AB" w14:textId="69A8E8D1"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 az első fenntarthatósági jelentés, amelyet a CSRD irányelvnek megfelelően készít el a Társaság. Mivel a keretrendszer és az adatgyűjtési folyamatok még folyamatosan fejlődnek, előfordulhat, hogy bizonyos mutatók becsléseken alapulnak, illetve az időbeli össze</w:t>
      </w:r>
      <w:r w:rsidR="00C43821" w:rsidRPr="00E45723">
        <w:rPr>
          <w:rFonts w:asciiTheme="minorHAnsi" w:hAnsiTheme="minorHAnsi" w:cs="Calibri"/>
        </w:rPr>
        <w:t>-</w:t>
      </w:r>
      <w:r w:rsidRPr="00E45723">
        <w:rPr>
          <w:rFonts w:asciiTheme="minorHAnsi" w:hAnsiTheme="minorHAnsi" w:cs="Calibri"/>
        </w:rPr>
        <w:t>hasonlíthatóság korlátozott. Ahol nem állt rendelkezésre minden adat a cégcsoport leány</w:t>
      </w:r>
      <w:r w:rsidR="00C43821" w:rsidRPr="00E45723">
        <w:rPr>
          <w:rFonts w:asciiTheme="minorHAnsi" w:hAnsiTheme="minorHAnsi" w:cs="Calibri"/>
        </w:rPr>
        <w:t>-</w:t>
      </w:r>
      <w:r w:rsidRPr="00E45723">
        <w:rPr>
          <w:rFonts w:asciiTheme="minorHAnsi" w:hAnsiTheme="minorHAnsi" w:cs="Calibri"/>
        </w:rPr>
        <w:t xml:space="preserve">vállalatai részéről, az ott külön kiemelésre kerül. A jövőbeni szabályozási változások, piaci körülmények és technológiai fejlődés szintén befolyásolhatják a társaság fenntarthatósági teljesítményét. </w:t>
      </w:r>
    </w:p>
    <w:p w14:paraId="6F4BC93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kulcsüzenetek kiemelése érdekében készítünk egy összefoglaló kivonatot a jelentésből, amely a jelentés legfontosabb megállapításait és üzeneteit tartalmazza.  </w:t>
      </w:r>
    </w:p>
    <w:p w14:paraId="4972BCFC" w14:textId="77777777" w:rsidR="00BD159D" w:rsidRPr="00E45723" w:rsidRDefault="00FD7771" w:rsidP="00EA3B06">
      <w:pPr>
        <w:pStyle w:val="Heading2"/>
        <w:suppressAutoHyphens/>
        <w:rPr>
          <w:rFonts w:asciiTheme="minorHAnsi" w:hAnsiTheme="minorHAnsi" w:cs="Calibri"/>
        </w:rPr>
      </w:pPr>
      <w:bookmarkStart w:id="12" w:name="_Toc239834902"/>
      <w:r w:rsidRPr="00E45723">
        <w:rPr>
          <w:rFonts w:asciiTheme="minorHAnsi" w:hAnsiTheme="minorHAnsi" w:cs="Calibri"/>
        </w:rPr>
        <w:lastRenderedPageBreak/>
        <w:t>Mentesített leányvállalatok</w:t>
      </w:r>
      <w:bookmarkEnd w:id="12"/>
    </w:p>
    <w:p w14:paraId="51C8FB5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5. bek. b) ii.] LIWO Groupban nincs olyan leányvállalat, amely 2025. év vonatkozásában önállóan CSRD jelentés készítésére kötelezett és konszolidált fenntarthatósági nyilatkozat alapján mentesülne az önálló fenntarthatósági jelentéstételi kötelezettség alól. </w:t>
      </w:r>
    </w:p>
    <w:p w14:paraId="26602D9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5. bek. c)] Az értékláncra vonatkozó információk e jelentésben korlátozott mértékűek. Bár a fenntarthatósági jelentés a Csoport teljes értékláncára kiterjed, lefedve mind az upstream (beszállítók, alvállalkozók, logisztikai és üzemeltetési partnerek) mind a downstream (megrendelők, üzemeltetett létesítmények, szolgáltatás</w:t>
      </w:r>
      <w:r w:rsidRPr="00E45723">
        <w:rPr>
          <w:rFonts w:asciiTheme="minorHAnsi" w:hAnsiTheme="minorHAnsi" w:cs="Calibri"/>
        </w:rPr>
        <w:noBreakHyphen/>
        <w:t>átadási folyamatok, végfelhasználói hatások) értéklánc</w:t>
      </w:r>
      <w:r w:rsidRPr="00E45723">
        <w:rPr>
          <w:rFonts w:asciiTheme="minorHAnsi" w:hAnsiTheme="minorHAnsi" w:cs="Calibri"/>
        </w:rPr>
        <w:noBreakHyphen/>
        <w:t xml:space="preserve">szakaszokat, az első jelentéstételi évben a Csoport magyarországi tevékenysége került fókuszba. A jelentés elkészítése során a Cégcsoport figyelembe veszi mindazon kapcsolódó folyamatokat és szereplőket, amelyek érdemben befolyásolhatják a környezeti, társadalmi vagy gazdasági hatásait, kockázatait és lehetőségeit. </w:t>
      </w:r>
    </w:p>
    <w:p w14:paraId="52C2285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értékláncra vonatkozó megközelítés, valamint az azonosított hatások és kockázatok részletes bemutatása az ESRS SBM</w:t>
      </w:r>
      <w:r w:rsidRPr="00E45723">
        <w:rPr>
          <w:rFonts w:asciiTheme="minorHAnsi" w:hAnsiTheme="minorHAnsi" w:cs="Calibri"/>
        </w:rPr>
        <w:noBreakHyphen/>
        <w:t>1 (A vállalat fenntarthatósági stratégiája és működési környezete) szakaszban található, összhangban a Társaság korábbi lényegességi vizsgálataival és a kettős lényegességi értékelés eredményeivel, valamint a vonatkozó egyéb közzétételeknél szerepelnek.</w:t>
      </w:r>
    </w:p>
    <w:p w14:paraId="7D93533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5. bek. d)-e)] A LIWO FM Csoport a fenntarthatósági jelentés összeállítása során nem élt az információ</w:t>
      </w:r>
      <w:r w:rsidRPr="00E45723">
        <w:rPr>
          <w:rFonts w:asciiTheme="minorHAnsi" w:hAnsiTheme="minorHAnsi" w:cs="Calibri"/>
        </w:rPr>
        <w:noBreakHyphen/>
        <w:t>elhagyás lehetőségével, és nem hagyott ki olyan adatokat, amelyek a szellemi tulajdonra, know</w:t>
      </w:r>
      <w:r w:rsidRPr="00E45723">
        <w:rPr>
          <w:rFonts w:asciiTheme="minorHAnsi" w:hAnsiTheme="minorHAnsi" w:cs="Calibri"/>
        </w:rPr>
        <w:noBreakHyphen/>
        <w:t>how</w:t>
      </w:r>
      <w:r w:rsidRPr="00E45723">
        <w:rPr>
          <w:rFonts w:asciiTheme="minorHAnsi" w:hAnsiTheme="minorHAnsi" w:cs="Calibri"/>
        </w:rPr>
        <w:noBreakHyphen/>
        <w:t>ra, innovációs eredményekre vagy más lényeges, a fenntarthatósági teljesítmény megítéléséhez szükséges információkra vonatkoznak. A vállalat elkötelezett az átlátható és hiteles jelentéstétel mellett: minden olyan fejlemény, projekt, partnerség vagy folyamatban lévő tárgyalás, amely érdemben befolyásolhatja a működést vagy a fenntarthatósági megítélést, a hatályos jogszabályokkal és az ESRS követelményeivel összhangban kerül közzétételre.</w:t>
      </w:r>
    </w:p>
    <w:p w14:paraId="17EB9615" w14:textId="77777777" w:rsidR="00BD159D" w:rsidRPr="00E45723" w:rsidRDefault="00FD7771" w:rsidP="00EA3B06">
      <w:pPr>
        <w:pStyle w:val="Heading2"/>
        <w:suppressAutoHyphens/>
        <w:rPr>
          <w:rFonts w:asciiTheme="minorHAnsi" w:hAnsiTheme="minorHAnsi" w:cs="Calibri"/>
        </w:rPr>
      </w:pPr>
      <w:bookmarkStart w:id="13" w:name="_Toc239834903"/>
      <w:r w:rsidRPr="00E45723">
        <w:rPr>
          <w:rFonts w:asciiTheme="minorHAnsi" w:hAnsiTheme="minorHAnsi" w:cs="Calibri"/>
        </w:rPr>
        <w:t>SBM-1 Stratégia, üzleti modell és értéklánc</w:t>
      </w:r>
      <w:bookmarkEnd w:id="13"/>
    </w:p>
    <w:p w14:paraId="43E9734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40.] A LIWO Group csoportszintű üzleti stratégiája több országra kiterjedő szolgáltatási portfóliójára épül, amelynek működését átitatják a fenntarthatósági hatásokhoz, kockázatokhoz és lehetőségekhez (IRO</w:t>
      </w:r>
      <w:r w:rsidRPr="00E45723">
        <w:rPr>
          <w:rFonts w:asciiTheme="minorHAnsi" w:hAnsiTheme="minorHAnsi" w:cs="Calibri"/>
        </w:rPr>
        <w:noBreakHyphen/>
        <w:t>khoz) kapcsolódó stratégiai elemek. A stratégia célja a hosszú távú értékteremtés, a működési megbízhatóság és a felelős vállalatirányítás biztosítása, összhangban a cégcsoport formálódó ESG</w:t>
      </w:r>
      <w:r w:rsidRPr="00E45723">
        <w:rPr>
          <w:rFonts w:asciiTheme="minorHAnsi" w:hAnsiTheme="minorHAnsi" w:cs="Calibri"/>
        </w:rPr>
        <w:noBreakHyphen/>
        <w:t>stratégiájával és a csoportszintű kockázatkezelési keretrendszerrel.</w:t>
      </w:r>
    </w:p>
    <w:p w14:paraId="6DF847DA"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Minőség, szolgáltatásbiztonság és működési kiválóság: </w:t>
      </w:r>
      <w:r w:rsidRPr="00E45723">
        <w:rPr>
          <w:rFonts w:asciiTheme="minorHAnsi" w:hAnsiTheme="minorHAnsi" w:cs="Calibri"/>
        </w:rPr>
        <w:t>A stratégia központi eleme a nagy volumenű, országokon átívelő FM</w:t>
      </w:r>
      <w:r w:rsidRPr="00E45723">
        <w:rPr>
          <w:rFonts w:asciiTheme="minorHAnsi" w:hAnsiTheme="minorHAnsi" w:cs="Calibri"/>
        </w:rPr>
        <w:noBreakHyphen/>
        <w:t xml:space="preserve"> és takarítási tevékenységek magas minőségi és rendelkezésre állási szintjének fenntartása. A szolgáltatásbiztonság mint kritikus üzleti tényező szorosan kapcsolódik a kockázatkezelési rendszerben alkalmazott hatás</w:t>
      </w:r>
      <w:r w:rsidRPr="00E45723">
        <w:rPr>
          <w:rFonts w:asciiTheme="minorHAnsi" w:hAnsiTheme="minorHAnsi" w:cs="Calibri"/>
        </w:rPr>
        <w:noBreakHyphen/>
        <w:t xml:space="preserve"> és valószínűség</w:t>
      </w:r>
      <w:r w:rsidRPr="00E45723">
        <w:rPr>
          <w:rFonts w:asciiTheme="minorHAnsi" w:hAnsiTheme="minorHAnsi" w:cs="Calibri"/>
        </w:rPr>
        <w:noBreakHyphen/>
        <w:t>alapú kockázatelemzéshez. A működési kockázatok kezelését az OKM – Operatív Kockázatmenedzsment fórum támogatja, amely a kritikus és fokozott kockázatokhoz kapcsolódó akciótervek véglegesítésének helye.</w:t>
      </w:r>
    </w:p>
    <w:p w14:paraId="68E966F6"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Fenntarthatósági és ESG</w:t>
      </w:r>
      <w:r w:rsidRPr="00E45723">
        <w:rPr>
          <w:rStyle w:val="Strong"/>
          <w:rFonts w:asciiTheme="minorHAnsi" w:hAnsiTheme="minorHAnsi" w:cs="Calibri"/>
        </w:rPr>
        <w:noBreakHyphen/>
        <w:t>célok integrációja:</w:t>
      </w:r>
      <w:r w:rsidRPr="00E45723">
        <w:rPr>
          <w:rFonts w:asciiTheme="minorHAnsi" w:hAnsiTheme="minorHAnsi" w:cs="Calibri"/>
        </w:rPr>
        <w:t xml:space="preserve"> A Cégcsoport ESG</w:t>
      </w:r>
      <w:r w:rsidRPr="00E45723">
        <w:rPr>
          <w:rFonts w:asciiTheme="minorHAnsi" w:hAnsiTheme="minorHAnsi" w:cs="Calibri"/>
        </w:rPr>
        <w:noBreakHyphen/>
        <w:t>stratégiája a vállalat fenntarthatósági ambíciószintjét négy fejlődési fokozat mentén határozza meg (reaktív → proaktív → kezdeményező → forradalmi), hangsúlyozva a megfelelésről az értéklánc</w:t>
      </w:r>
      <w:r w:rsidRPr="00E45723">
        <w:rPr>
          <w:rFonts w:asciiTheme="minorHAnsi" w:hAnsiTheme="minorHAnsi" w:cs="Calibri"/>
        </w:rPr>
        <w:noBreakHyphen/>
        <w:t>alapú, innovatív működés felé történő elmozdulást. A stratégia kiemelt IRO</w:t>
      </w:r>
      <w:r w:rsidRPr="00E45723">
        <w:rPr>
          <w:rFonts w:asciiTheme="minorHAnsi" w:hAnsiTheme="minorHAnsi" w:cs="Calibri"/>
        </w:rPr>
        <w:noBreakHyphen/>
        <w:t>területei: energiafelhasználás és ÜHG</w:t>
      </w:r>
      <w:r w:rsidRPr="00E45723">
        <w:rPr>
          <w:rFonts w:asciiTheme="minorHAnsi" w:hAnsiTheme="minorHAnsi" w:cs="Calibri"/>
        </w:rPr>
        <w:noBreakHyphen/>
        <w:t>kibocsátás, hulladékgazdálkodás, veszélyes anyagok kezelése, logisztika és flotta, valamint a vállalati kultúra és etikus működés fejlesztése. A vállalat ÜHG</w:t>
      </w:r>
      <w:r w:rsidRPr="00E45723">
        <w:rPr>
          <w:rFonts w:asciiTheme="minorHAnsi" w:hAnsiTheme="minorHAnsi" w:cs="Calibri"/>
        </w:rPr>
        <w:noBreakHyphen/>
        <w:t>számításai a GHG Protocol szerint történnek, és a klímahatások kezelése a lényegességi vizsgálatban is megerősítést nyert (DMA).</w:t>
      </w:r>
    </w:p>
    <w:p w14:paraId="5D1FD371" w14:textId="02C96A6B"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lastRenderedPageBreak/>
        <w:t>Ellátási lánc és felelős működés: </w:t>
      </w:r>
      <w:r w:rsidRPr="00E45723">
        <w:rPr>
          <w:rFonts w:asciiTheme="minorHAnsi" w:hAnsiTheme="minorHAnsi" w:cs="Calibri"/>
        </w:rPr>
        <w:t>A Társaság több országon átívelő tevékenysége kifinomult beszállítói és alvállalkozói hálózatot érint, amelyhez kapcsolódóan a felelős beszerzés, a szolgáltatásminőség és a jogi</w:t>
      </w:r>
      <w:r w:rsidRPr="00E45723">
        <w:rPr>
          <w:rFonts w:asciiTheme="minorHAnsi" w:hAnsiTheme="minorHAnsi" w:cs="Calibri"/>
        </w:rPr>
        <w:noBreakHyphen/>
        <w:t>megfelelési kockázatok kiemelt stratégiai jelentőségűek. A</w:t>
      </w:r>
      <w:r w:rsidR="00A83773" w:rsidRPr="00E45723">
        <w:rPr>
          <w:rFonts w:asciiTheme="minorHAnsi" w:hAnsiTheme="minorHAnsi" w:cs="Calibri"/>
        </w:rPr>
        <w:t xml:space="preserve"> </w:t>
      </w:r>
      <w:r w:rsidRPr="00E45723">
        <w:rPr>
          <w:rFonts w:asciiTheme="minorHAnsi" w:hAnsiTheme="minorHAnsi" w:cs="Calibri"/>
        </w:rPr>
        <w:t xml:space="preserve">vállalat kockázatkezelési szabályzata a pénzügyi, működési és jogi kockázatokat egységes módszertan szerint értékeli, beleértve a partneri teljesítésből eredő kitettségeket. 2025-ben elfogadásra került a Partneri Etikai és magatartási kódex, első körben LIWO Magyarország szintjén, amelynek csoportszintű kiterjesztése 2026-ra tervezett, a felelős beszerzési irányelvekkel együtt. </w:t>
      </w:r>
    </w:p>
    <w:p w14:paraId="28FF7B5B"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Munkavállalói jólét, biztonság és kompetenciafejlesztés:</w:t>
      </w:r>
      <w:r w:rsidRPr="00E45723">
        <w:rPr>
          <w:rFonts w:asciiTheme="minorHAnsi" w:hAnsiTheme="minorHAnsi" w:cs="Calibri"/>
        </w:rPr>
        <w:t xml:space="preserve"> A LIWO Group több mint harmincezer főt foglalkoztató szervezetként stratégiájának részeként kezeli a munkaerő</w:t>
      </w:r>
      <w:r w:rsidRPr="00E45723">
        <w:rPr>
          <w:rFonts w:asciiTheme="minorHAnsi" w:hAnsiTheme="minorHAnsi" w:cs="Calibri"/>
        </w:rPr>
        <w:noBreakHyphen/>
        <w:t>megtartást, a biztonságos munkavégzés feltételeit, valamint a képzést és a standardizált működést. A lényegességi értékelés (DMA) megerősítette a munkaerőhiány, fluktuáció és egészségvédelem relevanciáját. Fenntarthatósági javadalmazási ösztönzők jelenleg nincsenek bevezetve.</w:t>
      </w:r>
    </w:p>
    <w:p w14:paraId="6C2C1BB6"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Etikus vállalatirányítás és kontrollkörnyezet:</w:t>
      </w:r>
      <w:r w:rsidRPr="00E45723">
        <w:rPr>
          <w:rFonts w:asciiTheme="minorHAnsi" w:hAnsiTheme="minorHAnsi" w:cs="Calibri"/>
        </w:rPr>
        <w:t xml:space="preserve"> A stratégia része az átlátható, szabálykövető működés megerősítése, amelyet a belső kontrollok, a visszaélést bejelentő rendszer és a kockázatkezelési folyamatok folyamatos fejlesztése támogat. A LIWO kockázatkezelési szabályzata formalizált eljárásokat, rendszeres felülvizsgálatot és társasági szintű jelentést ír elő.</w:t>
      </w:r>
    </w:p>
    <w:p w14:paraId="73300428" w14:textId="24739DDB"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Társadalmi felelősségvállalás és közösségi hatások:</w:t>
      </w:r>
      <w:r w:rsidR="00FA46A9" w:rsidRPr="00E45723">
        <w:rPr>
          <w:rStyle w:val="Strong"/>
          <w:rFonts w:asciiTheme="minorHAnsi" w:hAnsiTheme="minorHAnsi" w:cs="Calibri"/>
        </w:rPr>
        <w:t xml:space="preserve"> </w:t>
      </w:r>
      <w:r w:rsidRPr="00E45723">
        <w:rPr>
          <w:rFonts w:asciiTheme="minorHAnsi" w:hAnsiTheme="minorHAnsi" w:cs="Calibri"/>
        </w:rPr>
        <w:t>A cégcsoport társadalmi szerepvállalása elsősorban a foglalkoztatás, a helyi közösségekkel való együttműködés és a tisztességes munkafeltételek biztosítása mentén jelenik meg. A „Social engagement” a külső szakértői felülvizsgálat során a lényeges témák között is azonosításra került.</w:t>
      </w:r>
    </w:p>
    <w:p w14:paraId="141C7A3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w:t>
      </w:r>
      <w:r w:rsidRPr="00E45723">
        <w:rPr>
          <w:rFonts w:asciiTheme="minorHAnsi" w:hAnsiTheme="minorHAnsi" w:cs="Calibri"/>
          <w:color w:val="494465"/>
          <w:shd w:val="clear" w:color="auto" w:fill="FFFFFF"/>
        </w:rPr>
        <w:t xml:space="preserve">ESRS 2 bek. 40. a) i.] </w:t>
      </w:r>
      <w:r w:rsidRPr="00E45723">
        <w:rPr>
          <w:rFonts w:asciiTheme="minorHAnsi" w:hAnsiTheme="minorHAnsi" w:cs="Calibri"/>
        </w:rPr>
        <w:t>A LIWO Group a közép</w:t>
      </w:r>
      <w:r w:rsidRPr="00E45723">
        <w:rPr>
          <w:rFonts w:asciiTheme="minorHAnsi" w:hAnsiTheme="minorHAnsi" w:cs="Calibri"/>
        </w:rPr>
        <w:noBreakHyphen/>
        <w:t>kelet</w:t>
      </w:r>
      <w:r w:rsidRPr="00E45723">
        <w:rPr>
          <w:rFonts w:asciiTheme="minorHAnsi" w:hAnsiTheme="minorHAnsi" w:cs="Calibri"/>
        </w:rPr>
        <w:noBreakHyphen/>
        <w:t>európai régió egyik vezető létesítményüzemeltetési (FM) szolgáltatója, amely Magyarország mellett nyolc további országban van jelen. A vállalat tevékenysége lefedi az FM</w:t>
      </w:r>
      <w:r w:rsidRPr="00E45723">
        <w:rPr>
          <w:rFonts w:asciiTheme="minorHAnsi" w:hAnsiTheme="minorHAnsi" w:cs="Calibri"/>
        </w:rPr>
        <w:noBreakHyphen/>
        <w:t>szolgáltatási értéklánc teljes körét, jelentős humánerőforrás</w:t>
      </w:r>
      <w:r w:rsidRPr="00E45723">
        <w:rPr>
          <w:rFonts w:asciiTheme="minorHAnsi" w:hAnsiTheme="minorHAnsi" w:cs="Calibri"/>
        </w:rPr>
        <w:noBreakHyphen/>
        <w:t>állománnyal és kiterjedt operációs hálózattal. A szolgáltatási portfólió kialakítása a higiéniai, műszaki és ingatlankezelési funkciók egykapus, hatékony és átlátható biztosítására épül.</w:t>
      </w:r>
    </w:p>
    <w:p w14:paraId="2389DB1D"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Takarítás és higiéniai szolgáltatások:</w:t>
      </w:r>
      <w:r w:rsidRPr="00E45723">
        <w:rPr>
          <w:rFonts w:asciiTheme="minorHAnsi" w:hAnsiTheme="minorHAnsi" w:cs="Calibri"/>
        </w:rPr>
        <w:t xml:space="preserve"> A professzionális takarítás a vállalat egyik meghatározó szolgáltatási területe, amely általános, ipari, iroda</w:t>
      </w:r>
      <w:r w:rsidRPr="00E45723">
        <w:rPr>
          <w:rFonts w:asciiTheme="minorHAnsi" w:hAnsiTheme="minorHAnsi" w:cs="Calibri"/>
        </w:rPr>
        <w:noBreakHyphen/>
        <w:t xml:space="preserve"> és egészségügyi környezetekben egyaránt elérhető. A LIWO a magyar létesítményüzemeltetési piacon egyedüliként saját fejlesztésű robotizált eszközöket (pl. autonóm takarítórobotok, UVC</w:t>
      </w:r>
      <w:r w:rsidRPr="00E45723">
        <w:rPr>
          <w:rFonts w:asciiTheme="minorHAnsi" w:hAnsiTheme="minorHAnsi" w:cs="Calibri"/>
        </w:rPr>
        <w:noBreakHyphen/>
        <w:t>fertőtlenítő rendszerek) alkalmaz, amelyek növelik a szolgáltatások energia</w:t>
      </w:r>
      <w:r w:rsidRPr="00E45723">
        <w:rPr>
          <w:rFonts w:asciiTheme="minorHAnsi" w:hAnsiTheme="minorHAnsi" w:cs="Calibri"/>
        </w:rPr>
        <w:noBreakHyphen/>
        <w:t xml:space="preserve"> és anyaghatékonyságát. A higiéniai szolgáltatások kiemelt jelentőségűek egészségügyi intézményekben.</w:t>
      </w:r>
    </w:p>
    <w:p w14:paraId="7AA7AB6B"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Egészségügyi takarítás: </w:t>
      </w:r>
      <w:r w:rsidRPr="00E45723">
        <w:rPr>
          <w:rFonts w:asciiTheme="minorHAnsi" w:hAnsiTheme="minorHAnsi" w:cs="Calibri"/>
        </w:rPr>
        <w:t>Specializált, kórházi és klinikai környezetre tervezett higiéniai takarítási szolgáltatás, amely megfelel a magas fertőtlenítési, minőségbiztosítási és betegbiztonsági követelményeknek. A vállalat hosszú távú tapasztalattal rendelkezik kórházak, egészségügyi intézmények takarításában és higiéniai eszközökkel való ellátásában.</w:t>
      </w:r>
    </w:p>
    <w:p w14:paraId="0D681771"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Műszaki üzemeltetés: </w:t>
      </w:r>
      <w:r w:rsidRPr="00E45723">
        <w:rPr>
          <w:rFonts w:asciiTheme="minorHAnsi" w:hAnsiTheme="minorHAnsi" w:cs="Calibri"/>
        </w:rPr>
        <w:t>A létesítmények működőképességének biztosítása és a műszaki rendszerek folyamatos karbantartása a vállalat második fő pillére. A szolgáltatások közé tartozik:</w:t>
      </w:r>
    </w:p>
    <w:p w14:paraId="6D580F5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épületgépészeti rendszerek üzemeltetése,</w:t>
      </w:r>
    </w:p>
    <w:p w14:paraId="665216E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karbantartási feladatok ellátása,</w:t>
      </w:r>
    </w:p>
    <w:p w14:paraId="7646B8D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műszaki hibaelhárítás,</w:t>
      </w:r>
    </w:p>
    <w:p w14:paraId="122E378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energetikai és működtetési optimalizáció. </w:t>
      </w:r>
    </w:p>
    <w:p w14:paraId="1213D4E3" w14:textId="77777777" w:rsidR="00BD159D" w:rsidRPr="00E45723" w:rsidRDefault="00FD7771" w:rsidP="00EA3B06">
      <w:pPr>
        <w:pStyle w:val="BodyText"/>
        <w:suppressAutoHyphens/>
        <w:rPr>
          <w:rStyle w:val="Strong"/>
          <w:rFonts w:asciiTheme="minorHAnsi" w:hAnsiTheme="minorHAnsi" w:cs="Calibri"/>
        </w:rPr>
      </w:pPr>
      <w:r w:rsidRPr="00E45723">
        <w:rPr>
          <w:rStyle w:val="Strong"/>
          <w:rFonts w:asciiTheme="minorHAnsi" w:hAnsiTheme="minorHAnsi" w:cs="Calibri"/>
        </w:rPr>
        <w:t xml:space="preserve">Egészségügyi takarítás: </w:t>
      </w:r>
      <w:r w:rsidRPr="00E45723">
        <w:rPr>
          <w:rStyle w:val="Strong"/>
          <w:rFonts w:asciiTheme="minorHAnsi" w:hAnsiTheme="minorHAnsi" w:cs="Calibri"/>
          <w:b w:val="0"/>
          <w:bCs w:val="0"/>
        </w:rPr>
        <w:t>a cégcsoport FM operatív vállalata</w:t>
      </w:r>
      <w:r w:rsidRPr="00E45723">
        <w:rPr>
          <w:rFonts w:asciiTheme="minorHAnsi" w:hAnsiTheme="minorHAnsi" w:cs="Calibri"/>
        </w:rPr>
        <w:t xml:space="preserve"> 2025. óta a kórházak országos szintű üzemeltetését is végzi. </w:t>
      </w:r>
    </w:p>
    <w:p w14:paraId="1DDAC276"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lastRenderedPageBreak/>
        <w:t>Fit</w:t>
      </w:r>
      <w:r w:rsidRPr="00E45723">
        <w:rPr>
          <w:rStyle w:val="Strong"/>
          <w:rFonts w:asciiTheme="minorHAnsi" w:hAnsiTheme="minorHAnsi" w:cs="Calibri"/>
        </w:rPr>
        <w:noBreakHyphen/>
        <w:t>out és irodakialakítás: </w:t>
      </w:r>
      <w:r w:rsidRPr="00E45723">
        <w:rPr>
          <w:rFonts w:asciiTheme="minorHAnsi" w:hAnsiTheme="minorHAnsi" w:cs="Calibri"/>
        </w:rPr>
        <w:t>A Társaság a létesítmények felújítási és kivitelezési munkáit is végzi. A fit</w:t>
      </w:r>
      <w:r w:rsidRPr="00E45723">
        <w:rPr>
          <w:rFonts w:asciiTheme="minorHAnsi" w:hAnsiTheme="minorHAnsi" w:cs="Calibri"/>
        </w:rPr>
        <w:noBreakHyphen/>
        <w:t>out szolgáltatások a tervezéstől a kivitelezésig terjednek, beleértve a belső terek átépítését és a bérlői igényekre szabott irodakialakítást, valamint adott esetben egy épület teljes vagy részleges rekonstrukcióját, felújítását.</w:t>
      </w:r>
    </w:p>
    <w:p w14:paraId="6C62F2F8"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Kertészeti és parkfenntartási szolgáltatások:</w:t>
      </w:r>
      <w:r w:rsidRPr="00E45723">
        <w:rPr>
          <w:rFonts w:asciiTheme="minorHAnsi" w:hAnsiTheme="minorHAnsi" w:cs="Calibri"/>
        </w:rPr>
        <w:t xml:space="preserve"> A vállalat nagy kiterjedésű kültéri területek gondozását, parkfenntartást, zöldfelület</w:t>
      </w:r>
      <w:r w:rsidRPr="00E45723">
        <w:rPr>
          <w:rFonts w:asciiTheme="minorHAnsi" w:hAnsiTheme="minorHAnsi" w:cs="Calibri"/>
        </w:rPr>
        <w:noBreakHyphen/>
        <w:t>kezelést lát el, hozzájárulva az ügyfelek ingatlanjainak fenntartható és biztonságos működéséhez.</w:t>
      </w:r>
    </w:p>
    <w:p w14:paraId="2B100696"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Mosodai szolgáltatások és bértextília</w:t>
      </w:r>
      <w:r w:rsidRPr="00E45723">
        <w:rPr>
          <w:rStyle w:val="Strong"/>
          <w:rFonts w:asciiTheme="minorHAnsi" w:hAnsiTheme="minorHAnsi" w:cs="Calibri"/>
        </w:rPr>
        <w:noBreakHyphen/>
        <w:t>ellátás: </w:t>
      </w:r>
      <w:r w:rsidRPr="00E45723">
        <w:rPr>
          <w:rFonts w:asciiTheme="minorHAnsi" w:hAnsiTheme="minorHAnsi" w:cs="Calibri"/>
        </w:rPr>
        <w:t>A LIWO FM textilkezelési és mosodai szolgáltatásokat nyújt, amelyek különösen egészségügyi intézmények és nagy ügyfélszervezetek ellátásában bírnak jelentőséggel. A bértextília</w:t>
      </w:r>
      <w:r w:rsidRPr="00E45723">
        <w:rPr>
          <w:rFonts w:asciiTheme="minorHAnsi" w:hAnsiTheme="minorHAnsi" w:cs="Calibri"/>
        </w:rPr>
        <w:noBreakHyphen/>
        <w:t>szolgáltatás a teljes textil életciklus</w:t>
      </w:r>
      <w:r w:rsidRPr="00E45723">
        <w:rPr>
          <w:rFonts w:asciiTheme="minorHAnsi" w:hAnsiTheme="minorHAnsi" w:cs="Calibri"/>
        </w:rPr>
        <w:noBreakHyphen/>
        <w:t>kezelését biztosítja, modern RFID nyomon követési megoldásokkal.</w:t>
      </w:r>
    </w:p>
    <w:p w14:paraId="20D970F3"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K+F és technológiai innováció: </w:t>
      </w:r>
      <w:r w:rsidRPr="00E45723">
        <w:rPr>
          <w:rFonts w:asciiTheme="minorHAnsi" w:hAnsiTheme="minorHAnsi" w:cs="Calibri"/>
        </w:rPr>
        <w:t>A Társaság a magyar FM</w:t>
      </w:r>
      <w:r w:rsidRPr="00E45723">
        <w:rPr>
          <w:rFonts w:asciiTheme="minorHAnsi" w:hAnsiTheme="minorHAnsi" w:cs="Calibri"/>
        </w:rPr>
        <w:noBreakHyphen/>
        <w:t>szektor egyetlen szolgáltatója, amely külön kutatás</w:t>
      </w:r>
      <w:r w:rsidRPr="00E45723">
        <w:rPr>
          <w:rFonts w:asciiTheme="minorHAnsi" w:hAnsiTheme="minorHAnsi" w:cs="Calibri"/>
        </w:rPr>
        <w:noBreakHyphen/>
        <w:t>fejlesztési részleget működtet. A fejlesztések fókusza: – robotizált tisztítási technológiák, – UVC</w:t>
      </w:r>
      <w:r w:rsidRPr="00E45723">
        <w:rPr>
          <w:rFonts w:asciiTheme="minorHAnsi" w:hAnsiTheme="minorHAnsi" w:cs="Calibri"/>
        </w:rPr>
        <w:noBreakHyphen/>
        <w:t>fertőtlenítési rendszerek, – metagenomikai felület</w:t>
      </w:r>
      <w:r w:rsidRPr="00E45723">
        <w:rPr>
          <w:rFonts w:asciiTheme="minorHAnsi" w:hAnsiTheme="minorHAnsi" w:cs="Calibri"/>
        </w:rPr>
        <w:noBreakHyphen/>
        <w:t xml:space="preserve">vizsgálati és előrejelző rendszerek (fejlesztés alatt). Ezek a technológiák a szolgáltatások hatékonyságát és fenntarthatósági teljesítményét javítják. A Tásaság saját fejlesztésű autonóm takarító robottal (Robin) és UV-C fertőtlenítő robottal biztosítja a magas színvonalú takarítási szolgáltatásait.    </w:t>
      </w:r>
    </w:p>
    <w:p w14:paraId="50CEE68E" w14:textId="77777777" w:rsidR="00BD159D" w:rsidRPr="00E45723" w:rsidRDefault="00FD7771" w:rsidP="00EA3B06">
      <w:pPr>
        <w:pStyle w:val="BodyText"/>
        <w:suppressAutoHyphens/>
        <w:rPr>
          <w:rStyle w:val="Strong"/>
          <w:rFonts w:asciiTheme="minorHAnsi" w:hAnsiTheme="minorHAnsi" w:cs="Calibri"/>
          <w:b w:val="0"/>
          <w:bCs w:val="0"/>
        </w:rPr>
      </w:pPr>
      <w:r w:rsidRPr="00E45723">
        <w:rPr>
          <w:rStyle w:val="Strong"/>
          <w:rFonts w:asciiTheme="minorHAnsi" w:hAnsiTheme="minorHAnsi" w:cs="Calibri"/>
        </w:rPr>
        <w:t xml:space="preserve">Földrajzi jelenlét és fő piacok </w:t>
      </w:r>
      <w:r w:rsidRPr="00E45723">
        <w:rPr>
          <w:rStyle w:val="Strong"/>
          <w:rFonts w:asciiTheme="minorHAnsi" w:hAnsiTheme="minorHAnsi" w:cs="Calibri"/>
          <w:b w:val="0"/>
          <w:bCs w:val="0"/>
        </w:rPr>
        <w:t>[ESRS 2 bek. 40. a) ii.]</w:t>
      </w:r>
    </w:p>
    <w:p w14:paraId="2C6FABF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Cécsoport működése kilenc közép</w:t>
      </w:r>
      <w:r w:rsidRPr="00E45723">
        <w:rPr>
          <w:rFonts w:asciiTheme="minorHAnsi" w:hAnsiTheme="minorHAnsi" w:cs="Calibri"/>
        </w:rPr>
        <w:noBreakHyphen/>
        <w:t xml:space="preserve"> és kelet</w:t>
      </w:r>
      <w:r w:rsidRPr="00E45723">
        <w:rPr>
          <w:rFonts w:asciiTheme="minorHAnsi" w:hAnsiTheme="minorHAnsi" w:cs="Calibri"/>
        </w:rPr>
        <w:noBreakHyphen/>
        <w:t>európai országra terjed ki. Szolgáltatásait több mint 6</w:t>
      </w:r>
      <w:r w:rsidRPr="00E45723">
        <w:rPr>
          <w:rFonts w:ascii="Arial" w:hAnsi="Arial" w:cs="Arial"/>
        </w:rPr>
        <w:t> </w:t>
      </w:r>
      <w:r w:rsidRPr="00E45723">
        <w:rPr>
          <w:rFonts w:asciiTheme="minorHAnsi" w:hAnsiTheme="minorHAnsi" w:cs="Calibri"/>
        </w:rPr>
        <w:t>500 helysz</w:t>
      </w:r>
      <w:r w:rsidRPr="00E45723">
        <w:rPr>
          <w:rFonts w:cs="Aptos"/>
        </w:rPr>
        <w:t>í</w:t>
      </w:r>
      <w:r w:rsidRPr="00E45723">
        <w:rPr>
          <w:rFonts w:asciiTheme="minorHAnsi" w:hAnsiTheme="minorHAnsi" w:cs="Calibri"/>
        </w:rPr>
        <w:t>nen v</w:t>
      </w:r>
      <w:r w:rsidRPr="00E45723">
        <w:rPr>
          <w:rFonts w:cs="Aptos"/>
        </w:rPr>
        <w:t>é</w:t>
      </w:r>
      <w:r w:rsidRPr="00E45723">
        <w:rPr>
          <w:rFonts w:asciiTheme="minorHAnsi" w:hAnsiTheme="minorHAnsi" w:cs="Calibri"/>
        </w:rPr>
        <w:t>gzi, jelent</w:t>
      </w:r>
      <w:r w:rsidRPr="00E45723">
        <w:rPr>
          <w:rFonts w:cs="Aptos"/>
        </w:rPr>
        <w:t>ő</w:t>
      </w:r>
      <w:r w:rsidRPr="00E45723">
        <w:rPr>
          <w:rFonts w:asciiTheme="minorHAnsi" w:hAnsiTheme="minorHAnsi" w:cs="Calibri"/>
        </w:rPr>
        <w:t>s nagyv</w:t>
      </w:r>
      <w:r w:rsidRPr="00E45723">
        <w:rPr>
          <w:rFonts w:cs="Aptos"/>
        </w:rPr>
        <w:t>á</w:t>
      </w:r>
      <w:r w:rsidRPr="00E45723">
        <w:rPr>
          <w:rFonts w:asciiTheme="minorHAnsi" w:hAnsiTheme="minorHAnsi" w:cs="Calibri"/>
        </w:rPr>
        <w:t>llalati megrendel</w:t>
      </w:r>
      <w:r w:rsidRPr="00E45723">
        <w:rPr>
          <w:rFonts w:cs="Aptos"/>
        </w:rPr>
        <w:t>ő</w:t>
      </w:r>
      <w:r w:rsidRPr="00E45723">
        <w:rPr>
          <w:rFonts w:asciiTheme="minorHAnsi" w:hAnsiTheme="minorHAnsi" w:cs="Calibri"/>
        </w:rPr>
        <w:t>i b</w:t>
      </w:r>
      <w:r w:rsidRPr="00E45723">
        <w:rPr>
          <w:rFonts w:cs="Aptos"/>
        </w:rPr>
        <w:t>á</w:t>
      </w:r>
      <w:r w:rsidRPr="00E45723">
        <w:rPr>
          <w:rFonts w:asciiTheme="minorHAnsi" w:hAnsiTheme="minorHAnsi" w:cs="Calibri"/>
        </w:rPr>
        <w:t xml:space="preserve">zissal </w:t>
      </w:r>
      <w:r w:rsidRPr="00E45723">
        <w:rPr>
          <w:rFonts w:cs="Aptos"/>
        </w:rPr>
        <w:t>é</w:t>
      </w:r>
      <w:r w:rsidRPr="00E45723">
        <w:rPr>
          <w:rFonts w:asciiTheme="minorHAnsi" w:hAnsiTheme="minorHAnsi" w:cs="Calibri"/>
        </w:rPr>
        <w:t xml:space="preserve">s kiterjedt </w:t>
      </w:r>
      <w:r w:rsidRPr="00E45723">
        <w:rPr>
          <w:rFonts w:cs="Aptos"/>
        </w:rPr>
        <w:t>á</w:t>
      </w:r>
      <w:r w:rsidRPr="00E45723">
        <w:rPr>
          <w:rFonts w:asciiTheme="minorHAnsi" w:hAnsiTheme="minorHAnsi" w:cs="Calibri"/>
        </w:rPr>
        <w:t>llami</w:t>
      </w:r>
      <w:r w:rsidRPr="00E45723">
        <w:rPr>
          <w:rFonts w:asciiTheme="minorHAnsi" w:hAnsiTheme="minorHAnsi" w:cs="Calibri"/>
        </w:rPr>
        <w:noBreakHyphen/>
        <w:t>int</w:t>
      </w:r>
      <w:r w:rsidRPr="00E45723">
        <w:rPr>
          <w:rFonts w:cs="Aptos"/>
        </w:rPr>
        <w:t>é</w:t>
      </w:r>
      <w:r w:rsidRPr="00E45723">
        <w:rPr>
          <w:rFonts w:asciiTheme="minorHAnsi" w:hAnsiTheme="minorHAnsi" w:cs="Calibri"/>
        </w:rPr>
        <w:t>zm</w:t>
      </w:r>
      <w:r w:rsidRPr="00E45723">
        <w:rPr>
          <w:rFonts w:cs="Aptos"/>
        </w:rPr>
        <w:t>é</w:t>
      </w:r>
      <w:r w:rsidRPr="00E45723">
        <w:rPr>
          <w:rFonts w:asciiTheme="minorHAnsi" w:hAnsiTheme="minorHAnsi" w:cs="Calibri"/>
        </w:rPr>
        <w:t xml:space="preserve">nyi </w:t>
      </w:r>
      <w:r w:rsidRPr="00E45723">
        <w:rPr>
          <w:rFonts w:cs="Aptos"/>
        </w:rPr>
        <w:t>ü</w:t>
      </w:r>
      <w:r w:rsidRPr="00E45723">
        <w:rPr>
          <w:rFonts w:asciiTheme="minorHAnsi" w:hAnsiTheme="minorHAnsi" w:cs="Calibri"/>
        </w:rPr>
        <w:t>gyf</w:t>
      </w:r>
      <w:r w:rsidRPr="00E45723">
        <w:rPr>
          <w:rFonts w:cs="Aptos"/>
        </w:rPr>
        <w:t>é</w:t>
      </w:r>
      <w:r w:rsidRPr="00E45723">
        <w:rPr>
          <w:rFonts w:asciiTheme="minorHAnsi" w:hAnsiTheme="minorHAnsi" w:cs="Calibri"/>
        </w:rPr>
        <w:t>lk</w:t>
      </w:r>
      <w:r w:rsidRPr="00E45723">
        <w:rPr>
          <w:rFonts w:cs="Aptos"/>
        </w:rPr>
        <w:t>ö</w:t>
      </w:r>
      <w:r w:rsidRPr="00E45723">
        <w:rPr>
          <w:rFonts w:asciiTheme="minorHAnsi" w:hAnsiTheme="minorHAnsi" w:cs="Calibri"/>
        </w:rPr>
        <w:t>rrel. A v</w:t>
      </w:r>
      <w:r w:rsidRPr="00E45723">
        <w:rPr>
          <w:rFonts w:cs="Aptos"/>
        </w:rPr>
        <w:t>á</w:t>
      </w:r>
      <w:r w:rsidRPr="00E45723">
        <w:rPr>
          <w:rFonts w:asciiTheme="minorHAnsi" w:hAnsiTheme="minorHAnsi" w:cs="Calibri"/>
        </w:rPr>
        <w:t>llalat region</w:t>
      </w:r>
      <w:r w:rsidRPr="00E45723">
        <w:rPr>
          <w:rFonts w:cs="Aptos"/>
        </w:rPr>
        <w:t>á</w:t>
      </w:r>
      <w:r w:rsidRPr="00E45723">
        <w:rPr>
          <w:rFonts w:asciiTheme="minorHAnsi" w:hAnsiTheme="minorHAnsi" w:cs="Calibri"/>
        </w:rPr>
        <w:t>lis jelenl</w:t>
      </w:r>
      <w:r w:rsidRPr="00E45723">
        <w:rPr>
          <w:rFonts w:cs="Aptos"/>
        </w:rPr>
        <w:t>é</w:t>
      </w:r>
      <w:r w:rsidRPr="00E45723">
        <w:rPr>
          <w:rFonts w:asciiTheme="minorHAnsi" w:hAnsiTheme="minorHAnsi" w:cs="Calibri"/>
        </w:rPr>
        <w:t>te els</w:t>
      </w:r>
      <w:r w:rsidRPr="00E45723">
        <w:rPr>
          <w:rFonts w:cs="Aptos"/>
        </w:rPr>
        <w:t>ő</w:t>
      </w:r>
      <w:r w:rsidRPr="00E45723">
        <w:rPr>
          <w:rFonts w:asciiTheme="minorHAnsi" w:hAnsiTheme="minorHAnsi" w:cs="Calibri"/>
        </w:rPr>
        <w:t>sorban l</w:t>
      </w:r>
      <w:r w:rsidRPr="00E45723">
        <w:rPr>
          <w:rFonts w:cs="Aptos"/>
        </w:rPr>
        <w:t>é</w:t>
      </w:r>
      <w:r w:rsidRPr="00E45723">
        <w:rPr>
          <w:rFonts w:asciiTheme="minorHAnsi" w:hAnsiTheme="minorHAnsi" w:cs="Calibri"/>
        </w:rPr>
        <w:t>tes</w:t>
      </w:r>
      <w:r w:rsidRPr="00E45723">
        <w:rPr>
          <w:rFonts w:cs="Aptos"/>
        </w:rPr>
        <w:t>í</w:t>
      </w:r>
      <w:r w:rsidRPr="00E45723">
        <w:rPr>
          <w:rFonts w:asciiTheme="minorHAnsi" w:hAnsiTheme="minorHAnsi" w:cs="Calibri"/>
        </w:rPr>
        <w:t>tm</w:t>
      </w:r>
      <w:r w:rsidRPr="00E45723">
        <w:rPr>
          <w:rFonts w:cs="Aptos"/>
        </w:rPr>
        <w:t>é</w:t>
      </w:r>
      <w:r w:rsidRPr="00E45723">
        <w:rPr>
          <w:rFonts w:asciiTheme="minorHAnsi" w:hAnsiTheme="minorHAnsi" w:cs="Calibri"/>
        </w:rPr>
        <w:t>ny</w:t>
      </w:r>
      <w:r w:rsidRPr="00E45723">
        <w:rPr>
          <w:rFonts w:cs="Aptos"/>
        </w:rPr>
        <w:t>ü</w:t>
      </w:r>
      <w:r w:rsidRPr="00E45723">
        <w:rPr>
          <w:rFonts w:asciiTheme="minorHAnsi" w:hAnsiTheme="minorHAnsi" w:cs="Calibri"/>
        </w:rPr>
        <w:t>zemeltet</w:t>
      </w:r>
      <w:r w:rsidRPr="00E45723">
        <w:rPr>
          <w:rFonts w:cs="Aptos"/>
        </w:rPr>
        <w:t>é</w:t>
      </w:r>
      <w:r w:rsidRPr="00E45723">
        <w:rPr>
          <w:rFonts w:asciiTheme="minorHAnsi" w:hAnsiTheme="minorHAnsi" w:cs="Calibri"/>
        </w:rPr>
        <w:t>si (FM), takar</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 xml:space="preserve">si </w:t>
      </w:r>
      <w:r w:rsidRPr="00E45723">
        <w:rPr>
          <w:rFonts w:cs="Aptos"/>
        </w:rPr>
        <w:t>é</w:t>
      </w:r>
      <w:r w:rsidRPr="00E45723">
        <w:rPr>
          <w:rFonts w:asciiTheme="minorHAnsi" w:hAnsiTheme="minorHAnsi" w:cs="Calibri"/>
        </w:rPr>
        <w:t>s higi</w:t>
      </w:r>
      <w:r w:rsidRPr="00E45723">
        <w:rPr>
          <w:rFonts w:cs="Aptos"/>
        </w:rPr>
        <w:t>é</w:t>
      </w:r>
      <w:r w:rsidRPr="00E45723">
        <w:rPr>
          <w:rFonts w:asciiTheme="minorHAnsi" w:hAnsiTheme="minorHAnsi" w:cs="Calibri"/>
        </w:rPr>
        <w:t>niai szolg</w:t>
      </w:r>
      <w:r w:rsidRPr="00E45723">
        <w:rPr>
          <w:rFonts w:cs="Aptos"/>
        </w:rPr>
        <w:t>á</w:t>
      </w:r>
      <w:r w:rsidRPr="00E45723">
        <w:rPr>
          <w:rFonts w:asciiTheme="minorHAnsi" w:hAnsiTheme="minorHAnsi" w:cs="Calibri"/>
        </w:rPr>
        <w:t>ltat</w:t>
      </w:r>
      <w:r w:rsidRPr="00E45723">
        <w:rPr>
          <w:rFonts w:cs="Aptos"/>
        </w:rPr>
        <w:t>á</w:t>
      </w:r>
      <w:r w:rsidRPr="00E45723">
        <w:rPr>
          <w:rFonts w:asciiTheme="minorHAnsi" w:hAnsiTheme="minorHAnsi" w:cs="Calibri"/>
        </w:rPr>
        <w:t xml:space="preserve">sokra </w:t>
      </w:r>
      <w:r w:rsidRPr="00E45723">
        <w:rPr>
          <w:rFonts w:cs="Aptos"/>
        </w:rPr>
        <w:t>é</w:t>
      </w:r>
      <w:r w:rsidRPr="00E45723">
        <w:rPr>
          <w:rFonts w:asciiTheme="minorHAnsi" w:hAnsiTheme="minorHAnsi" w:cs="Calibri"/>
        </w:rPr>
        <w:t>p</w:t>
      </w:r>
      <w:r w:rsidRPr="00E45723">
        <w:rPr>
          <w:rFonts w:cs="Aptos"/>
        </w:rPr>
        <w:t>ü</w:t>
      </w:r>
      <w:r w:rsidRPr="00E45723">
        <w:rPr>
          <w:rFonts w:asciiTheme="minorHAnsi" w:hAnsiTheme="minorHAnsi" w:cs="Calibri"/>
        </w:rPr>
        <w:t>l, amelyeket egykapus, integr</w:t>
      </w:r>
      <w:r w:rsidRPr="00E45723">
        <w:rPr>
          <w:rFonts w:cs="Aptos"/>
        </w:rPr>
        <w:t>á</w:t>
      </w:r>
      <w:r w:rsidRPr="00E45723">
        <w:rPr>
          <w:rFonts w:asciiTheme="minorHAnsi" w:hAnsiTheme="minorHAnsi" w:cs="Calibri"/>
        </w:rPr>
        <w:t>lt m</w:t>
      </w:r>
      <w:r w:rsidRPr="00E45723">
        <w:rPr>
          <w:rFonts w:cs="Aptos"/>
        </w:rPr>
        <w:t>ű</w:t>
      </w:r>
      <w:r w:rsidRPr="00E45723">
        <w:rPr>
          <w:rFonts w:asciiTheme="minorHAnsi" w:hAnsiTheme="minorHAnsi" w:cs="Calibri"/>
        </w:rPr>
        <w:t>k</w:t>
      </w:r>
      <w:r w:rsidRPr="00E45723">
        <w:rPr>
          <w:rFonts w:cs="Aptos"/>
        </w:rPr>
        <w:t>ö</w:t>
      </w:r>
      <w:r w:rsidRPr="00E45723">
        <w:rPr>
          <w:rFonts w:asciiTheme="minorHAnsi" w:hAnsiTheme="minorHAnsi" w:cs="Calibri"/>
        </w:rPr>
        <w:t>d</w:t>
      </w:r>
      <w:r w:rsidRPr="00E45723">
        <w:rPr>
          <w:rFonts w:cs="Aptos"/>
        </w:rPr>
        <w:t>é</w:t>
      </w:r>
      <w:r w:rsidRPr="00E45723">
        <w:rPr>
          <w:rFonts w:asciiTheme="minorHAnsi" w:hAnsiTheme="minorHAnsi" w:cs="Calibri"/>
        </w:rPr>
        <w:t>si modellben ny</w:t>
      </w:r>
      <w:r w:rsidRPr="00E45723">
        <w:rPr>
          <w:rFonts w:cs="Aptos"/>
        </w:rPr>
        <w:t>ú</w:t>
      </w:r>
      <w:r w:rsidRPr="00E45723">
        <w:rPr>
          <w:rFonts w:asciiTheme="minorHAnsi" w:hAnsiTheme="minorHAnsi" w:cs="Calibri"/>
        </w:rPr>
        <w:t>jt.</w:t>
      </w:r>
    </w:p>
    <w:p w14:paraId="53258038" w14:textId="77777777" w:rsidR="00BD159D" w:rsidRPr="00E45723" w:rsidRDefault="00FD7771" w:rsidP="00EA3B06">
      <w:pPr>
        <w:pStyle w:val="BodyText"/>
        <w:rPr>
          <w:rFonts w:asciiTheme="minorHAnsi" w:hAnsiTheme="minorHAnsi" w:cs="Calibri"/>
        </w:rPr>
      </w:pPr>
      <w:r w:rsidRPr="00E45723">
        <w:rPr>
          <w:rStyle w:val="Emphasis"/>
          <w:rFonts w:asciiTheme="minorHAnsi" w:hAnsiTheme="minorHAnsi" w:cs="Calibri"/>
          <w:b/>
          <w:bCs/>
          <w:i w:val="0"/>
          <w:iCs w:val="0"/>
        </w:rPr>
        <w:t>Közép</w:t>
      </w:r>
      <w:r w:rsidRPr="00E45723">
        <w:rPr>
          <w:rStyle w:val="Emphasis"/>
          <w:rFonts w:asciiTheme="minorHAnsi" w:hAnsiTheme="minorHAnsi" w:cs="Calibri"/>
          <w:b/>
          <w:bCs/>
          <w:i w:val="0"/>
          <w:iCs w:val="0"/>
        </w:rPr>
        <w:noBreakHyphen/>
        <w:t xml:space="preserve"> és Kelet</w:t>
      </w:r>
      <w:r w:rsidRPr="00E45723">
        <w:rPr>
          <w:rStyle w:val="Emphasis"/>
          <w:rFonts w:asciiTheme="minorHAnsi" w:hAnsiTheme="minorHAnsi" w:cs="Calibri"/>
          <w:b/>
          <w:bCs/>
          <w:i w:val="0"/>
          <w:iCs w:val="0"/>
        </w:rPr>
        <w:noBreakHyphen/>
        <w:t>Európa (magas szolgáltatási intenzitás)</w:t>
      </w:r>
      <w:r w:rsidRPr="00E45723">
        <w:rPr>
          <w:rFonts w:asciiTheme="minorHAnsi" w:hAnsiTheme="minorHAnsi" w:cs="Calibri"/>
          <w:b/>
          <w:bCs/>
        </w:rPr>
        <w:t>:</w:t>
      </w:r>
      <w:r w:rsidRPr="00E45723">
        <w:rPr>
          <w:rFonts w:asciiTheme="minorHAnsi" w:hAnsiTheme="minorHAnsi" w:cs="Calibri"/>
        </w:rPr>
        <w:t xml:space="preserve"> A Cégcsoport legnagyobb piaca a közép</w:t>
      </w:r>
      <w:r w:rsidRPr="00E45723">
        <w:rPr>
          <w:rFonts w:asciiTheme="minorHAnsi" w:hAnsiTheme="minorHAnsi" w:cs="Calibri"/>
        </w:rPr>
        <w:noBreakHyphen/>
        <w:t xml:space="preserve"> és kelet</w:t>
      </w:r>
      <w:r w:rsidRPr="00E45723">
        <w:rPr>
          <w:rFonts w:asciiTheme="minorHAnsi" w:hAnsiTheme="minorHAnsi" w:cs="Calibri"/>
        </w:rPr>
        <w:noBreakHyphen/>
        <w:t>európai régió, ahol Magyarország mellett Csehországban, Szlovákiában, Szlovéniában, Romániában, Bulgáriában, Lengyelországban, Olaszországban és Németországban is aktív. A regionális terjeszkedést az ISS</w:t>
      </w:r>
      <w:r w:rsidRPr="00E45723">
        <w:rPr>
          <w:rFonts w:asciiTheme="minorHAnsi" w:hAnsiTheme="minorHAnsi" w:cs="Calibri"/>
        </w:rPr>
        <w:noBreakHyphen/>
        <w:t>leányvállalatok, az INWEMER cégcsoport, a SAGAD, a Köberl cégcsoport és más kisebb FM</w:t>
      </w:r>
      <w:r w:rsidRPr="00E45723">
        <w:rPr>
          <w:rFonts w:asciiTheme="minorHAnsi" w:hAnsiTheme="minorHAnsi" w:cs="Calibri"/>
        </w:rPr>
        <w:noBreakHyphen/>
        <w:t>cégek felvásárlása alapozta meg. A régió a csoport bevételeinek döntő részét biztosítja, széles ügyfélkörrel és nagy volumenű szerződésállománnyal.</w:t>
      </w:r>
    </w:p>
    <w:p w14:paraId="60B4BB7C" w14:textId="77777777" w:rsidR="00BD159D" w:rsidRPr="00E45723" w:rsidRDefault="00FD7771" w:rsidP="00EA3B06">
      <w:pPr>
        <w:pStyle w:val="BodyText"/>
        <w:rPr>
          <w:rFonts w:asciiTheme="minorHAnsi" w:hAnsiTheme="minorHAnsi" w:cs="Calibri"/>
        </w:rPr>
      </w:pPr>
      <w:r w:rsidRPr="00E45723">
        <w:rPr>
          <w:rStyle w:val="Emphasis"/>
          <w:rFonts w:asciiTheme="minorHAnsi" w:hAnsiTheme="minorHAnsi" w:cs="Calibri"/>
          <w:b/>
          <w:bCs/>
          <w:i w:val="0"/>
          <w:iCs w:val="0"/>
        </w:rPr>
        <w:t>Magyarország (piacvezető pozíció):</w:t>
      </w:r>
      <w:r w:rsidRPr="00E45723">
        <w:rPr>
          <w:rStyle w:val="Strong"/>
          <w:rFonts w:asciiTheme="minorHAnsi" w:hAnsiTheme="minorHAnsi" w:cs="Calibri"/>
          <w:i/>
          <w:iCs/>
        </w:rPr>
        <w:t> </w:t>
      </w:r>
      <w:r w:rsidRPr="00E45723">
        <w:rPr>
          <w:rFonts w:asciiTheme="minorHAnsi" w:hAnsiTheme="minorHAnsi" w:cs="Calibri"/>
        </w:rPr>
        <w:t xml:space="preserve">A Társaság Magyarország piacvezető létesítményüzemeltetője, amely a hazai üzleti és közszféra egyik legnagyobb szolgáltatója. Jelentős szerepet tölt be a közintézményi, közlekedési és egészségügyi infrastruktúra takarításában és üzemeltetésében, valamint jelentős piaci, többek között ipari (telco, autóipar) és hálózati (bank) ügyfelekkel rendelkezik. </w:t>
      </w:r>
    </w:p>
    <w:p w14:paraId="10896768"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Jelentős ügyfélcsoportok és iparági szegmensek</w:t>
      </w:r>
    </w:p>
    <w:p w14:paraId="0250AEB7" w14:textId="77777777" w:rsidR="00BD159D" w:rsidRPr="00E45723" w:rsidRDefault="00FD7771" w:rsidP="00EA3B06">
      <w:pPr>
        <w:pStyle w:val="BodyText"/>
        <w:suppressAutoHyphens/>
        <w:rPr>
          <w:rStyle w:val="Emphasis"/>
          <w:rFonts w:asciiTheme="minorHAnsi" w:hAnsiTheme="minorHAnsi" w:cs="Calibri"/>
        </w:rPr>
      </w:pPr>
      <w:r w:rsidRPr="00E45723">
        <w:rPr>
          <w:rStyle w:val="Emphasis"/>
          <w:rFonts w:asciiTheme="minorHAnsi" w:hAnsiTheme="minorHAnsi" w:cs="Calibri"/>
        </w:rPr>
        <w:t>1. Nagyvállalati ügyfelek és multinacionális szolgáltatók</w:t>
      </w:r>
    </w:p>
    <w:p w14:paraId="6C4B633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kiemelt ügyfélszegmense a nagy alapterületű ingatlanokat üzemeltető nagyvállalati kör:</w:t>
      </w:r>
    </w:p>
    <w:p w14:paraId="232A32C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bankok és pénzügyi szolgáltatók,</w:t>
      </w:r>
    </w:p>
    <w:p w14:paraId="24EB38E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telekommunikációs társaságok,</w:t>
      </w:r>
    </w:p>
    <w:p w14:paraId="6EF23D92"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logisztikai, ipari és termelő vállalatok,</w:t>
      </w:r>
    </w:p>
    <w:p w14:paraId="5E30F37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irodaház</w:t>
      </w:r>
      <w:r w:rsidRPr="00E45723">
        <w:rPr>
          <w:rFonts w:asciiTheme="minorHAnsi" w:hAnsiTheme="minorHAnsi" w:cs="Calibri"/>
        </w:rPr>
        <w:noBreakHyphen/>
        <w:t>üzemeltetők és üzleti központok. </w:t>
      </w:r>
    </w:p>
    <w:p w14:paraId="16F8E597"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szerződéses együttműködések alapja a nagy léptékű, egykapus és auditálható szolgáltatásnyújtás.</w:t>
      </w:r>
    </w:p>
    <w:p w14:paraId="658C7EA9" w14:textId="77777777" w:rsidR="00BD159D" w:rsidRPr="00E45723" w:rsidRDefault="00FD7771" w:rsidP="00EA3B06">
      <w:pPr>
        <w:pStyle w:val="BodyText"/>
        <w:suppressAutoHyphens/>
        <w:rPr>
          <w:rFonts w:asciiTheme="minorHAnsi" w:hAnsiTheme="minorHAnsi" w:cs="Calibri"/>
        </w:rPr>
      </w:pPr>
      <w:r w:rsidRPr="00E45723">
        <w:rPr>
          <w:rStyle w:val="Emphasis"/>
          <w:rFonts w:asciiTheme="minorHAnsi" w:hAnsiTheme="minorHAnsi" w:cs="Calibri"/>
        </w:rPr>
        <w:t>2. Állami és közszolgáltatási intézmények</w:t>
      </w:r>
    </w:p>
    <w:p w14:paraId="59E40B0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 közintézményi szegmens több országban meghatározó: </w:t>
      </w:r>
    </w:p>
    <w:p w14:paraId="1C892D5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közösségi közlekedési vállalatok (pl. MÁV, BKV),</w:t>
      </w:r>
    </w:p>
    <w:p w14:paraId="559D5C3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államigazgatási és oktatási intézmények,</w:t>
      </w:r>
    </w:p>
    <w:p w14:paraId="10E77C4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központi költségvetési szervek infrastruktúrái. </w:t>
      </w:r>
    </w:p>
    <w:p w14:paraId="1B968E0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szolgáltatások jellemzően központosított, nagy volumenű üzemeltetést és higiéniai feladatokat fednek le.</w:t>
      </w:r>
    </w:p>
    <w:p w14:paraId="79D34FCC" w14:textId="77777777" w:rsidR="00BD159D" w:rsidRPr="00E45723" w:rsidRDefault="00FD7771" w:rsidP="00EA3B06">
      <w:pPr>
        <w:pStyle w:val="BodyText"/>
        <w:suppressAutoHyphens/>
        <w:rPr>
          <w:rStyle w:val="Emphasis"/>
          <w:rFonts w:asciiTheme="minorHAnsi" w:hAnsiTheme="minorHAnsi" w:cs="Calibri"/>
        </w:rPr>
      </w:pPr>
      <w:r w:rsidRPr="00E45723">
        <w:rPr>
          <w:rStyle w:val="Emphasis"/>
          <w:rFonts w:asciiTheme="minorHAnsi" w:hAnsiTheme="minorHAnsi" w:cs="Calibri"/>
        </w:rPr>
        <w:t>3. Egészségügyi szektor (specializált higiéniai piac)</w:t>
      </w:r>
    </w:p>
    <w:p w14:paraId="3AA93A3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Ez a szegmens a LIWO egyik stratégiai ügyfélcsoportja, amely több országban jelentős szerződésállománnyal rendelkezik. A vállalat kórházakat, rendelőintézeteket és klinikákat lát el:</w:t>
      </w:r>
    </w:p>
    <w:p w14:paraId="092B72F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szakosított higiéniai takarítással,</w:t>
      </w:r>
    </w:p>
    <w:p w14:paraId="62E5B0B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fertőtlenítési és sterilizációs támogatással,</w:t>
      </w:r>
    </w:p>
    <w:p w14:paraId="20BA220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magas szabályozási követelményekhez igazodó minőségbiztosítással.</w:t>
      </w:r>
    </w:p>
    <w:p w14:paraId="1FB8E29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COVID</w:t>
      </w:r>
      <w:r w:rsidRPr="00E45723">
        <w:rPr>
          <w:rFonts w:asciiTheme="minorHAnsi" w:hAnsiTheme="minorHAnsi" w:cs="Calibri"/>
        </w:rPr>
        <w:noBreakHyphen/>
        <w:t>járvány alatt végzett feladatai tovább erősítették ezt a piaci pozíciót, és a specializált egészségügyi higiéniai szolgáltatások mára a vállalat egyik legnagyobb értékű szegmensévé váltak.</w:t>
      </w:r>
    </w:p>
    <w:p w14:paraId="12DA0949" w14:textId="77777777" w:rsidR="00BD159D" w:rsidRPr="00E45723" w:rsidRDefault="00FD7771" w:rsidP="00EA3B06">
      <w:pPr>
        <w:pStyle w:val="BodyText"/>
        <w:suppressAutoHyphens/>
        <w:rPr>
          <w:rStyle w:val="Emphasis"/>
          <w:rFonts w:asciiTheme="minorHAnsi" w:hAnsiTheme="minorHAnsi" w:cs="Calibri"/>
        </w:rPr>
      </w:pPr>
      <w:r w:rsidRPr="00E45723">
        <w:rPr>
          <w:rStyle w:val="Emphasis"/>
          <w:rFonts w:asciiTheme="minorHAnsi" w:hAnsiTheme="minorHAnsi" w:cs="Calibri"/>
        </w:rPr>
        <w:t>4. Ingatlanüzemeltetők és FM</w:t>
      </w:r>
      <w:r w:rsidRPr="00E45723">
        <w:rPr>
          <w:rStyle w:val="Emphasis"/>
          <w:rFonts w:asciiTheme="minorHAnsi" w:hAnsiTheme="minorHAnsi" w:cs="Calibri"/>
        </w:rPr>
        <w:noBreakHyphen/>
        <w:t>szolgáltatók</w:t>
      </w:r>
    </w:p>
    <w:p w14:paraId="51A2F91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Cégcsoport több nagy ingatlankezelő és létesítményüzemeltető vállalat szerződéses partnere, műszaki üzemeltetést, takarítást és fit</w:t>
      </w:r>
      <w:r w:rsidRPr="00E45723">
        <w:rPr>
          <w:rFonts w:asciiTheme="minorHAnsi" w:hAnsiTheme="minorHAnsi" w:cs="Calibri"/>
        </w:rPr>
        <w:noBreakHyphen/>
        <w:t>out szolgáltatásokat biztosítva.</w:t>
      </w:r>
    </w:p>
    <w:p w14:paraId="743B548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ESRS 2 bek. 40. a) iii. </w:t>
      </w:r>
    </w:p>
    <w:p w14:paraId="2325AE95"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Alkalmazottak teljes száma (fő): 100,00 </w:t>
      </w:r>
    </w:p>
    <w:p w14:paraId="77A75C2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Európa, Közel-Kelet, Afrika (EMEA): 100,00 </w:t>
      </w:r>
    </w:p>
    <w:p w14:paraId="6A88003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Ázsia és Csendes-óceán (APAC): 0,00 </w:t>
      </w:r>
    </w:p>
    <w:p w14:paraId="7E7D1E1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Latin-Amerika (LATAM): 0,00 </w:t>
      </w:r>
    </w:p>
    <w:p w14:paraId="20F91A1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Észak-Amerika (NA): 0,00 </w:t>
      </w:r>
    </w:p>
    <w:p w14:paraId="0F6B09BA" w14:textId="77777777" w:rsidR="00BD159D" w:rsidRPr="00E45723" w:rsidRDefault="00FD7771" w:rsidP="00FD7771">
      <w:pPr>
        <w:pStyle w:val="ListParagraph"/>
        <w:numPr>
          <w:ilvl w:val="0"/>
          <w:numId w:val="8"/>
        </w:numPr>
        <w:suppressAutoHyphens/>
        <w:rPr>
          <w:rFonts w:asciiTheme="minorHAnsi" w:hAnsiTheme="minorHAnsi" w:cs="Calibri"/>
          <w:bCs/>
        </w:rPr>
      </w:pPr>
      <w:r w:rsidRPr="00E45723">
        <w:rPr>
          <w:rFonts w:asciiTheme="minorHAnsi" w:hAnsiTheme="minorHAnsi" w:cs="Calibri"/>
          <w:bCs/>
        </w:rPr>
        <w:t>[ESRS 2 bek. 40 b)] A LIWO Cégcsoport teljes konszolidált árbevétele a 2025. üzleti évben 368 505 millió HUF volt. Az árbevétel fő üzleti tevékenységek szerinti bontását az alábbi táblázat mutatja be.</w:t>
      </w:r>
    </w:p>
    <w:tbl>
      <w:tblPr>
        <w:tblW w:w="7234" w:type="dxa"/>
        <w:tblCellSpacing w:w="15" w:type="dxa"/>
        <w:tblLayout w:type="fixed"/>
        <w:tblLook w:val="0020" w:firstRow="1" w:lastRow="0" w:firstColumn="0" w:lastColumn="0" w:noHBand="0" w:noVBand="0"/>
      </w:tblPr>
      <w:tblGrid>
        <w:gridCol w:w="4742"/>
        <w:gridCol w:w="2492"/>
      </w:tblGrid>
      <w:tr w:rsidR="00BD159D" w:rsidRPr="00E45723" w14:paraId="1F8BCEF8" w14:textId="77777777" w:rsidTr="005A4858">
        <w:trPr>
          <w:trHeight w:val="198"/>
          <w:tblHeader/>
          <w:tblCellSpacing w:w="15" w:type="dxa"/>
        </w:trPr>
        <w:tc>
          <w:tcPr>
            <w:tcW w:w="4757" w:type="dxa"/>
            <w:vAlign w:val="center"/>
          </w:tcPr>
          <w:p w14:paraId="1860D37A"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Tevékenység</w:t>
            </w:r>
          </w:p>
        </w:tc>
        <w:tc>
          <w:tcPr>
            <w:tcW w:w="2477" w:type="dxa"/>
            <w:vAlign w:val="center"/>
          </w:tcPr>
          <w:p w14:paraId="559DBDEB" w14:textId="77777777" w:rsidR="00BD159D" w:rsidRPr="00E45723" w:rsidRDefault="00FD7771" w:rsidP="00EA3B06">
            <w:pPr>
              <w:suppressAutoHyphens/>
              <w:spacing w:before="36" w:after="36"/>
              <w:jc w:val="left"/>
              <w:rPr>
                <w:rFonts w:asciiTheme="minorHAnsi" w:hAnsiTheme="minorHAnsi" w:cs="Calibri"/>
                <w:b/>
              </w:rPr>
            </w:pPr>
            <w:r w:rsidRPr="00E45723">
              <w:rPr>
                <w:rFonts w:asciiTheme="minorHAnsi" w:hAnsiTheme="minorHAnsi" w:cs="Calibri"/>
                <w:b/>
              </w:rPr>
              <w:t>Árbevétel (millió HUF)</w:t>
            </w:r>
          </w:p>
        </w:tc>
      </w:tr>
      <w:tr w:rsidR="00BD159D" w:rsidRPr="00E45723" w14:paraId="3176D6D3" w14:textId="77777777" w:rsidTr="005A4858">
        <w:trPr>
          <w:trHeight w:val="198"/>
          <w:tblCellSpacing w:w="15" w:type="dxa"/>
        </w:trPr>
        <w:tc>
          <w:tcPr>
            <w:tcW w:w="4757" w:type="dxa"/>
            <w:vAlign w:val="center"/>
          </w:tcPr>
          <w:p w14:paraId="518FB777"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Takarítási szolgáltatások (Cleaning)</w:t>
            </w:r>
          </w:p>
        </w:tc>
        <w:tc>
          <w:tcPr>
            <w:tcW w:w="2477" w:type="dxa"/>
            <w:vAlign w:val="center"/>
          </w:tcPr>
          <w:p w14:paraId="117E32FD"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160 521</w:t>
            </w:r>
          </w:p>
        </w:tc>
      </w:tr>
      <w:tr w:rsidR="00BD159D" w:rsidRPr="00E45723" w14:paraId="3B46024E" w14:textId="77777777" w:rsidTr="005A4858">
        <w:trPr>
          <w:trHeight w:val="187"/>
          <w:tblCellSpacing w:w="15" w:type="dxa"/>
        </w:trPr>
        <w:tc>
          <w:tcPr>
            <w:tcW w:w="4757" w:type="dxa"/>
            <w:vAlign w:val="center"/>
          </w:tcPr>
          <w:p w14:paraId="371C17FF"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Létesítményüzemeltetés (Facility Management)</w:t>
            </w:r>
          </w:p>
        </w:tc>
        <w:tc>
          <w:tcPr>
            <w:tcW w:w="2477" w:type="dxa"/>
            <w:vAlign w:val="center"/>
          </w:tcPr>
          <w:p w14:paraId="4BD16615"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148 977</w:t>
            </w:r>
          </w:p>
        </w:tc>
      </w:tr>
      <w:tr w:rsidR="00BD159D" w:rsidRPr="00E45723" w14:paraId="078E90BC" w14:textId="77777777" w:rsidTr="005A4858">
        <w:trPr>
          <w:trHeight w:val="198"/>
          <w:tblCellSpacing w:w="15" w:type="dxa"/>
        </w:trPr>
        <w:tc>
          <w:tcPr>
            <w:tcW w:w="4757" w:type="dxa"/>
            <w:vAlign w:val="center"/>
          </w:tcPr>
          <w:p w14:paraId="07D3398A"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lastRenderedPageBreak/>
              <w:t>Fit-out szolgáltatások</w:t>
            </w:r>
          </w:p>
        </w:tc>
        <w:tc>
          <w:tcPr>
            <w:tcW w:w="2477" w:type="dxa"/>
            <w:vAlign w:val="center"/>
          </w:tcPr>
          <w:p w14:paraId="4D531662"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19 864</w:t>
            </w:r>
          </w:p>
        </w:tc>
      </w:tr>
      <w:tr w:rsidR="00BD159D" w:rsidRPr="00E45723" w14:paraId="5CE001F3" w14:textId="77777777" w:rsidTr="005A4858">
        <w:trPr>
          <w:trHeight w:val="187"/>
          <w:tblCellSpacing w:w="15" w:type="dxa"/>
        </w:trPr>
        <w:tc>
          <w:tcPr>
            <w:tcW w:w="4757" w:type="dxa"/>
            <w:vAlign w:val="center"/>
          </w:tcPr>
          <w:p w14:paraId="03533BB1"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Mosodai és textilszolgáltatások (Laundry and textile rentout)</w:t>
            </w:r>
          </w:p>
        </w:tc>
        <w:tc>
          <w:tcPr>
            <w:tcW w:w="2477" w:type="dxa"/>
            <w:vAlign w:val="center"/>
          </w:tcPr>
          <w:p w14:paraId="2B259C0A"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18 021</w:t>
            </w:r>
          </w:p>
        </w:tc>
      </w:tr>
      <w:tr w:rsidR="00BD159D" w:rsidRPr="00E45723" w14:paraId="7CFD21DD" w14:textId="77777777" w:rsidTr="005A4858">
        <w:trPr>
          <w:trHeight w:val="198"/>
          <w:tblCellSpacing w:w="15" w:type="dxa"/>
        </w:trPr>
        <w:tc>
          <w:tcPr>
            <w:tcW w:w="4757" w:type="dxa"/>
            <w:vAlign w:val="center"/>
          </w:tcPr>
          <w:p w14:paraId="18B7C1B7"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Mosodai szolgáltatások (Laundry)</w:t>
            </w:r>
          </w:p>
        </w:tc>
        <w:tc>
          <w:tcPr>
            <w:tcW w:w="2477" w:type="dxa"/>
            <w:vAlign w:val="center"/>
          </w:tcPr>
          <w:p w14:paraId="5C8F3550"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15 084</w:t>
            </w:r>
          </w:p>
        </w:tc>
      </w:tr>
      <w:tr w:rsidR="00BD159D" w:rsidRPr="00E45723" w14:paraId="3FD8B5F3" w14:textId="77777777" w:rsidTr="005A4858">
        <w:trPr>
          <w:trHeight w:val="187"/>
          <w:tblCellSpacing w:w="15" w:type="dxa"/>
        </w:trPr>
        <w:tc>
          <w:tcPr>
            <w:tcW w:w="4757" w:type="dxa"/>
            <w:vAlign w:val="center"/>
          </w:tcPr>
          <w:p w14:paraId="16091964"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Textilbérbeadás (Textile rentout)</w:t>
            </w:r>
          </w:p>
        </w:tc>
        <w:tc>
          <w:tcPr>
            <w:tcW w:w="2477" w:type="dxa"/>
            <w:vAlign w:val="center"/>
          </w:tcPr>
          <w:p w14:paraId="761FDFC6"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2 937</w:t>
            </w:r>
          </w:p>
        </w:tc>
      </w:tr>
      <w:tr w:rsidR="00BD159D" w:rsidRPr="00E45723" w14:paraId="57EE8DA5" w14:textId="77777777" w:rsidTr="005A4858">
        <w:trPr>
          <w:trHeight w:val="198"/>
          <w:tblCellSpacing w:w="15" w:type="dxa"/>
        </w:trPr>
        <w:tc>
          <w:tcPr>
            <w:tcW w:w="4757" w:type="dxa"/>
            <w:vAlign w:val="center"/>
          </w:tcPr>
          <w:p w14:paraId="77C91167"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Egyéb szolgáltatások (Non-core services)</w:t>
            </w:r>
          </w:p>
        </w:tc>
        <w:tc>
          <w:tcPr>
            <w:tcW w:w="2477" w:type="dxa"/>
            <w:vAlign w:val="center"/>
          </w:tcPr>
          <w:p w14:paraId="77AD8C5C"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13 873</w:t>
            </w:r>
          </w:p>
        </w:tc>
      </w:tr>
      <w:tr w:rsidR="00BD159D" w:rsidRPr="00E45723" w14:paraId="50FDA0E1" w14:textId="77777777" w:rsidTr="005A4858">
        <w:trPr>
          <w:trHeight w:val="187"/>
          <w:tblCellSpacing w:w="15" w:type="dxa"/>
        </w:trPr>
        <w:tc>
          <w:tcPr>
            <w:tcW w:w="4757" w:type="dxa"/>
            <w:vAlign w:val="center"/>
          </w:tcPr>
          <w:p w14:paraId="75BCE641"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Biztonsági szolgáltatások (Security)</w:t>
            </w:r>
          </w:p>
        </w:tc>
        <w:tc>
          <w:tcPr>
            <w:tcW w:w="2477" w:type="dxa"/>
            <w:vAlign w:val="center"/>
          </w:tcPr>
          <w:p w14:paraId="6ADA3A5B"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3 823</w:t>
            </w:r>
          </w:p>
        </w:tc>
      </w:tr>
      <w:tr w:rsidR="00BD159D" w:rsidRPr="00E45723" w14:paraId="182850A6" w14:textId="77777777" w:rsidTr="005A4858">
        <w:trPr>
          <w:trHeight w:val="198"/>
          <w:tblCellSpacing w:w="15" w:type="dxa"/>
        </w:trPr>
        <w:tc>
          <w:tcPr>
            <w:tcW w:w="4757" w:type="dxa"/>
            <w:vAlign w:val="center"/>
          </w:tcPr>
          <w:p w14:paraId="2D11C044"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Catering szolgáltatások</w:t>
            </w:r>
          </w:p>
        </w:tc>
        <w:tc>
          <w:tcPr>
            <w:tcW w:w="2477" w:type="dxa"/>
            <w:vAlign w:val="center"/>
          </w:tcPr>
          <w:p w14:paraId="1D09B318"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7 422</w:t>
            </w:r>
          </w:p>
        </w:tc>
      </w:tr>
      <w:tr w:rsidR="00BD159D" w:rsidRPr="00E45723" w14:paraId="4A0944AF" w14:textId="77777777" w:rsidTr="005A4858">
        <w:trPr>
          <w:trHeight w:val="187"/>
          <w:tblCellSpacing w:w="15" w:type="dxa"/>
        </w:trPr>
        <w:tc>
          <w:tcPr>
            <w:tcW w:w="4757" w:type="dxa"/>
            <w:vAlign w:val="center"/>
          </w:tcPr>
          <w:p w14:paraId="5DAABB3B"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Archiválási szolgáltatások</w:t>
            </w:r>
          </w:p>
        </w:tc>
        <w:tc>
          <w:tcPr>
            <w:tcW w:w="2477" w:type="dxa"/>
            <w:vAlign w:val="center"/>
          </w:tcPr>
          <w:p w14:paraId="79DDB8D9"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512</w:t>
            </w:r>
          </w:p>
        </w:tc>
      </w:tr>
      <w:tr w:rsidR="00BD159D" w:rsidRPr="00E45723" w14:paraId="602116A8" w14:textId="77777777" w:rsidTr="005A4858">
        <w:trPr>
          <w:trHeight w:val="198"/>
          <w:tblCellSpacing w:w="15" w:type="dxa"/>
        </w:trPr>
        <w:tc>
          <w:tcPr>
            <w:tcW w:w="4757" w:type="dxa"/>
            <w:vAlign w:val="center"/>
          </w:tcPr>
          <w:p w14:paraId="609CBE1F"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Kertészeti szolgáltatások</w:t>
            </w:r>
          </w:p>
        </w:tc>
        <w:tc>
          <w:tcPr>
            <w:tcW w:w="2477" w:type="dxa"/>
            <w:vAlign w:val="center"/>
          </w:tcPr>
          <w:p w14:paraId="78368F37"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1 902</w:t>
            </w:r>
          </w:p>
        </w:tc>
      </w:tr>
      <w:tr w:rsidR="00BD159D" w:rsidRPr="00E45723" w14:paraId="41BC6BA1" w14:textId="77777777" w:rsidTr="005A4858">
        <w:trPr>
          <w:trHeight w:val="198"/>
          <w:tblCellSpacing w:w="15" w:type="dxa"/>
        </w:trPr>
        <w:tc>
          <w:tcPr>
            <w:tcW w:w="4757" w:type="dxa"/>
            <w:vAlign w:val="center"/>
          </w:tcPr>
          <w:p w14:paraId="706F179A"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Webshop</w:t>
            </w:r>
          </w:p>
        </w:tc>
        <w:tc>
          <w:tcPr>
            <w:tcW w:w="2477" w:type="dxa"/>
            <w:vAlign w:val="center"/>
          </w:tcPr>
          <w:p w14:paraId="70E95059"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214</w:t>
            </w:r>
          </w:p>
        </w:tc>
      </w:tr>
      <w:tr w:rsidR="00BD159D" w:rsidRPr="00E45723" w14:paraId="0C6CFC1C" w14:textId="77777777" w:rsidTr="005A4858">
        <w:trPr>
          <w:trHeight w:val="187"/>
          <w:tblCellSpacing w:w="15" w:type="dxa"/>
        </w:trPr>
        <w:tc>
          <w:tcPr>
            <w:tcW w:w="4757" w:type="dxa"/>
            <w:vAlign w:val="center"/>
          </w:tcPr>
          <w:p w14:paraId="7479DEB8"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Központi tevékenységek (Headquarters)</w:t>
            </w:r>
          </w:p>
        </w:tc>
        <w:tc>
          <w:tcPr>
            <w:tcW w:w="2477" w:type="dxa"/>
            <w:vAlign w:val="center"/>
          </w:tcPr>
          <w:p w14:paraId="026233E1"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7 249</w:t>
            </w:r>
          </w:p>
        </w:tc>
      </w:tr>
      <w:tr w:rsidR="00BD159D" w:rsidRPr="00E45723" w14:paraId="1FA965BA" w14:textId="77777777" w:rsidTr="005A4858">
        <w:trPr>
          <w:trHeight w:val="198"/>
          <w:tblCellSpacing w:w="15" w:type="dxa"/>
        </w:trPr>
        <w:tc>
          <w:tcPr>
            <w:tcW w:w="4757" w:type="dxa"/>
            <w:vAlign w:val="center"/>
          </w:tcPr>
          <w:p w14:paraId="4C106895"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Összesen</w:t>
            </w:r>
          </w:p>
        </w:tc>
        <w:tc>
          <w:tcPr>
            <w:tcW w:w="2477" w:type="dxa"/>
            <w:vAlign w:val="center"/>
          </w:tcPr>
          <w:p w14:paraId="2C89059F" w14:textId="77777777" w:rsidR="00BD159D" w:rsidRPr="00E45723" w:rsidRDefault="00FD7771" w:rsidP="00EA3B06">
            <w:pPr>
              <w:suppressAutoHyphens/>
              <w:spacing w:before="36" w:after="36"/>
              <w:jc w:val="left"/>
              <w:rPr>
                <w:rFonts w:asciiTheme="minorHAnsi" w:hAnsiTheme="minorHAnsi" w:cs="Calibri"/>
                <w:bCs/>
              </w:rPr>
            </w:pPr>
            <w:r w:rsidRPr="00E45723">
              <w:rPr>
                <w:rFonts w:asciiTheme="minorHAnsi" w:hAnsiTheme="minorHAnsi" w:cs="Calibri"/>
                <w:bCs/>
              </w:rPr>
              <w:t>368 505</w:t>
            </w:r>
          </w:p>
        </w:tc>
      </w:tr>
    </w:tbl>
    <w:p w14:paraId="40B0568E" w14:textId="77777777" w:rsidR="00BD159D" w:rsidRPr="00E45723" w:rsidRDefault="00BD159D">
      <w:pPr>
        <w:suppressAutoHyphens/>
        <w:rPr>
          <w:rFonts w:asciiTheme="minorHAnsi" w:hAnsiTheme="minorHAnsi" w:cs="Calibri"/>
        </w:rPr>
      </w:pPr>
    </w:p>
    <w:p w14:paraId="47F55216"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 xml:space="preserve">[ESRS 2 bek. 40. d) i.,ii.,iii.,iv.] A Társaság működése során nem végez tevékenységet a fosszilis tüzelőanyag-szektorban (szén, olaj, gáz), a vegyipari termelésben, a vitatott fegyverek előállításában vagy forgalmazásában, illetve dohánytermesztés és -termelés területén sem. Emellett a Társaság kínálatában nem szerepelnek olyan termékek vagy szolgáltatások, amelyeket egyes piacokon betiltottak. </w:t>
      </w:r>
    </w:p>
    <w:p w14:paraId="295B014B" w14:textId="77777777" w:rsidR="00BD159D" w:rsidRPr="00E45723" w:rsidRDefault="00FD7771" w:rsidP="00EA3B06">
      <w:pPr>
        <w:pStyle w:val="BodyText"/>
        <w:suppressAutoHyphens/>
        <w:rPr>
          <w:rStyle w:val="Strong"/>
          <w:rFonts w:asciiTheme="minorHAnsi" w:hAnsiTheme="minorHAnsi" w:cs="Calibri"/>
        </w:rPr>
      </w:pPr>
      <w:r w:rsidRPr="00E45723">
        <w:rPr>
          <w:rStyle w:val="Heading5Char1"/>
          <w:rFonts w:asciiTheme="minorHAnsi" w:hAnsiTheme="minorHAnsi" w:cs="Calibri"/>
        </w:rPr>
        <w:t>A Társaság fenntarthatósági céljai a jelentős termék- és szolgáltatáscsoportok, ügyfélkategóriák, földrajzi területek és az érdekelt felekkel való kapcsolatok tekintetében</w:t>
      </w:r>
      <w:r w:rsidRPr="00E45723">
        <w:rPr>
          <w:rStyle w:val="Strong"/>
          <w:rFonts w:asciiTheme="minorHAnsi" w:hAnsiTheme="minorHAnsi" w:cs="Calibri"/>
        </w:rPr>
        <w:t xml:space="preserve"> </w:t>
      </w:r>
      <w:r w:rsidRPr="00E45723">
        <w:rPr>
          <w:rStyle w:val="Strong"/>
          <w:rFonts w:asciiTheme="minorHAnsi" w:hAnsiTheme="minorHAnsi" w:cs="Calibri"/>
          <w:b w:val="0"/>
          <w:bCs w:val="0"/>
        </w:rPr>
        <w:t>[ESRS 2 bek. 40. e)–g)]</w:t>
      </w:r>
    </w:p>
    <w:p w14:paraId="234D51E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Társaság fenntarthatósági céljai a vállalat küldetéséhez („egészséges környezet”, „élhetőbb világ”) és a kettős lényegességértékelésben azonosított fő hatásokhoz/kockázatokhoz/lehetőségekhez illeszkednek, különös tekintettel a szolgáltatói működés anyag-, víz- és energiaigényére, a vegyszerhasználatra, a flottaműködésre, valamint a munkavállalói és értékláncbeli munkakörülményekre. A szolgáltatási portfólió és a célok összekapcsolását a kettős lényegességi (DMA) eredményekre építve célszerű értelmezni: a két fő, profilt meghatározó terület a takarítás/rovar- és rágcsálóirtás, illetve a létesítményüzemeltetés, amelyekhez a leginkább kapcsolódnak a környezeti (vegyszer-, víz-, energia-, hulladék), társadalmi (munkavédelem, képzés) és irányítási (megfelelés, beszállítói/alvállalkozói kontroll) fenntarthatósági célkitűzések.</w:t>
      </w:r>
    </w:p>
    <w:p w14:paraId="684C7CA2"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Jelentős termék- és szolgáltatáscsoportok szerint</w:t>
      </w:r>
    </w:p>
    <w:p w14:paraId="59565201"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b w:val="0"/>
          <w:bCs w:val="0"/>
        </w:rPr>
        <w:t>Takarítás, rovar- és rágcsálóirtás</w:t>
      </w:r>
      <w:r w:rsidRPr="00E45723">
        <w:rPr>
          <w:rStyle w:val="Strong"/>
          <w:rFonts w:asciiTheme="minorHAnsi" w:hAnsiTheme="minorHAnsi" w:cs="Calibri"/>
        </w:rPr>
        <w:t>:</w:t>
      </w:r>
      <w:r w:rsidRPr="00E45723">
        <w:rPr>
          <w:rFonts w:asciiTheme="minorHAnsi" w:hAnsiTheme="minorHAnsi" w:cs="Calibri"/>
        </w:rPr>
        <w:t xml:space="preserve"> cél a környezeti terhelés csökkentése a vegyszerhasználat és a kapcsolódó kibocsátások (pl. VOC), a víz- és energiafelhasználás, valamint a keletkező hulladék mérséklésén keresztül, miközben a higiéniai és biztonsági elvárások teljesülnek (pl. protokollok, színkód-rendszer).</w:t>
      </w:r>
    </w:p>
    <w:p w14:paraId="5F94D391"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b w:val="0"/>
          <w:bCs w:val="0"/>
        </w:rPr>
        <w:t>Létesítményüzemeltetés (műszaki üzemeltetés, karbantartás, fit-out, kertészet stb.):</w:t>
      </w:r>
      <w:r w:rsidRPr="00E45723">
        <w:rPr>
          <w:rFonts w:asciiTheme="minorHAnsi" w:hAnsiTheme="minorHAnsi" w:cs="Calibri"/>
        </w:rPr>
        <w:t xml:space="preserve"> cél az üzemeltetett létesítmények hatékonyabb és fenntarthatóbb működtetésének támogatása (energiahatékonysági megoldások, épületkorszerűsítés, megújuló energia alkalmazási lehetőségei, körforgásos megoldások alkalmazása), valamint a szolgáltatásminőség és teljesítmény átlátható mérésének erősítésével.</w:t>
      </w:r>
    </w:p>
    <w:p w14:paraId="6B854E65"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b w:val="0"/>
          <w:bCs w:val="0"/>
        </w:rPr>
        <w:lastRenderedPageBreak/>
        <w:t>Mosodai szolgáltatás (és kapcsolódó textiltevékenységek):</w:t>
      </w:r>
      <w:r w:rsidRPr="00E45723">
        <w:rPr>
          <w:rFonts w:asciiTheme="minorHAnsi" w:hAnsiTheme="minorHAnsi" w:cs="Calibri"/>
        </w:rPr>
        <w:t xml:space="preserve"> cél a magas vízfelhasználás és a kapcsolódó környezeti hatások csökkentése (pl. vízvisszaforgatási megoldások, hatékonyabb működés), különösen a nagy volumenű ipari textilkezelésnél.</w:t>
      </w:r>
    </w:p>
    <w:p w14:paraId="741D6808"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b w:val="0"/>
          <w:bCs w:val="0"/>
        </w:rPr>
        <w:t>Innováció és K+F:</w:t>
      </w:r>
      <w:r w:rsidRPr="00E45723">
        <w:rPr>
          <w:rFonts w:asciiTheme="minorHAnsi" w:hAnsiTheme="minorHAnsi" w:cs="Calibri"/>
        </w:rPr>
        <w:t xml:space="preserve"> cél a szolgáltatások hatékonyságának és fenntarthatósági teljesítményének javítása (automatizált/robotizált megoldások, pl. tisztítórobotok és mobil UVC eszközök), a minőség és erőforrás-hatékonyság együttes erősítésével.</w:t>
      </w:r>
    </w:p>
    <w:p w14:paraId="272CF81D"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Ügyfélkategóriák szerint</w:t>
      </w:r>
    </w:p>
    <w:p w14:paraId="03373819" w14:textId="692F160B" w:rsidR="00BD159D" w:rsidRPr="00E45723" w:rsidRDefault="00FD7771" w:rsidP="00FD7771">
      <w:pPr>
        <w:numPr>
          <w:ilvl w:val="0"/>
          <w:numId w:val="8"/>
        </w:numPr>
        <w:suppressAutoHyphens/>
        <w:rPr>
          <w:rStyle w:val="Strong"/>
          <w:rFonts w:asciiTheme="minorHAnsi" w:hAnsiTheme="minorHAnsi" w:cs="Calibri"/>
          <w:b w:val="0"/>
          <w:bCs w:val="0"/>
        </w:rPr>
      </w:pPr>
      <w:r w:rsidRPr="00E45723">
        <w:rPr>
          <w:rStyle w:val="Strong"/>
          <w:rFonts w:asciiTheme="minorHAnsi" w:hAnsiTheme="minorHAnsi" w:cs="Calibri"/>
          <w:b w:val="0"/>
          <w:bCs w:val="0"/>
        </w:rPr>
        <w:t>Az ügyfélkategóriák tekintetében a LIWO célja, hogy a nagyvállalati és közintézményi ügyfelek, valamint kiemelten az egészségügyi intézmények esetében olyan fenntart</w:t>
      </w:r>
      <w:r w:rsidR="00A83773" w:rsidRPr="00E45723">
        <w:rPr>
          <w:rStyle w:val="Strong"/>
          <w:rFonts w:asciiTheme="minorHAnsi" w:hAnsiTheme="minorHAnsi" w:cs="Calibri"/>
          <w:b w:val="0"/>
          <w:bCs w:val="0"/>
        </w:rPr>
        <w:t>-</w:t>
      </w:r>
      <w:r w:rsidRPr="00E45723">
        <w:rPr>
          <w:rStyle w:val="Strong"/>
          <w:rFonts w:asciiTheme="minorHAnsi" w:hAnsiTheme="minorHAnsi" w:cs="Calibri"/>
          <w:b w:val="0"/>
          <w:bCs w:val="0"/>
        </w:rPr>
        <w:t xml:space="preserve">hatósági eredményeket érjen el, amelyek mérséklik a működési kockázatokat és támogatják a szolgáltatásbiztonságot. A Vállalat különös figyelmet fordít a kritikus infrastruktúrák – például kórházak, közlekedési létesítmények és nagy irodaüzemeltetési helyszínek – fenntarthatósági elvárásaira, és a szolgáltatásminőség fejlesztésével, az energia- és anyaghatékonyság növelésével, valamint az ellátási láncban részt vevő partnerek gondos kiválasztásával. A LIWO Group tervezi energiahatékonysági javaslatok szolgáltatás szintű nyújtását partnerei felé, hogy a közvetetten is hozzájáruljon a közös célhoz. </w:t>
      </w:r>
    </w:p>
    <w:p w14:paraId="786FB619" w14:textId="77777777" w:rsidR="00BD159D" w:rsidRPr="00E45723" w:rsidRDefault="00FD7771" w:rsidP="00FD7771">
      <w:pPr>
        <w:numPr>
          <w:ilvl w:val="0"/>
          <w:numId w:val="8"/>
        </w:numPr>
        <w:rPr>
          <w:rStyle w:val="Strong"/>
          <w:rFonts w:asciiTheme="minorHAnsi" w:hAnsiTheme="minorHAnsi" w:cs="Calibri"/>
          <w:b w:val="0"/>
          <w:bCs w:val="0"/>
        </w:rPr>
      </w:pPr>
      <w:r w:rsidRPr="00E45723">
        <w:rPr>
          <w:rStyle w:val="Strong"/>
          <w:rFonts w:asciiTheme="minorHAnsi" w:hAnsiTheme="minorHAnsi" w:cs="Calibri"/>
          <w:b w:val="0"/>
          <w:bCs w:val="0"/>
        </w:rPr>
        <w:t>A mosodai szolgáltatásoknál cél az ügyfél-elvárásokhoz igazodó erőforrás-hatékonyság és higiéniai megfelelés erősítése, különösen egészségügyi és szállodai partnerek kiszolgálásában.</w:t>
      </w:r>
    </w:p>
    <w:p w14:paraId="70A9E4ED"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Földrajzi területek szerint</w:t>
      </w:r>
    </w:p>
    <w:p w14:paraId="40C05501" w14:textId="4E6D9D01"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 xml:space="preserve">A célok csoportszinten, több országos működésre értelmezettek: a Cégcsoport </w:t>
      </w:r>
      <w:r w:rsidRPr="00E45723">
        <w:rPr>
          <w:rStyle w:val="Strong"/>
          <w:rFonts w:asciiTheme="minorHAnsi" w:hAnsiTheme="minorHAnsi" w:cs="Calibri"/>
          <w:b w:val="0"/>
          <w:bCs w:val="0"/>
        </w:rPr>
        <w:t>Magyarország mellett 9 közép- és kelet-európai országban</w:t>
      </w:r>
      <w:r w:rsidRPr="00E45723">
        <w:rPr>
          <w:rFonts w:asciiTheme="minorHAnsi" w:hAnsiTheme="minorHAnsi" w:cs="Calibri"/>
        </w:rPr>
        <w:t xml:space="preserve"> van jelen (többek között Csehország, Szlovákia, Románia, Szlovénia, Bulgária, Lengyelország, Olaszország, Németország). </w:t>
      </w:r>
      <w:r w:rsidR="00A83773" w:rsidRPr="00E45723">
        <w:rPr>
          <w:rFonts w:asciiTheme="minorHAnsi" w:hAnsiTheme="minorHAnsi" w:cs="Calibri"/>
        </w:rPr>
        <w:br/>
      </w:r>
      <w:r w:rsidRPr="00E45723">
        <w:rPr>
          <w:rFonts w:asciiTheme="minorHAnsi" w:hAnsiTheme="minorHAnsi" w:cs="Calibri"/>
        </w:rPr>
        <w:t>A cél a sztenderdizált, összehasonlítható irányítási és működési minimumok biztosítása a helyi sajátosságok figyelembevételével.</w:t>
      </w:r>
    </w:p>
    <w:p w14:paraId="2D89D969"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Érdekelt felekkel való kapcsolatok szerint</w:t>
      </w:r>
    </w:p>
    <w:p w14:paraId="1C666704"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b w:val="0"/>
          <w:bCs w:val="0"/>
        </w:rPr>
        <w:t>Munkavállalók:</w:t>
      </w:r>
      <w:r w:rsidRPr="00E45723">
        <w:rPr>
          <w:rFonts w:asciiTheme="minorHAnsi" w:hAnsiTheme="minorHAnsi" w:cs="Calibri"/>
          <w:b/>
          <w:bCs/>
        </w:rPr>
        <w:t xml:space="preserve"> </w:t>
      </w:r>
      <w:r w:rsidRPr="00E45723">
        <w:rPr>
          <w:rFonts w:asciiTheme="minorHAnsi" w:hAnsiTheme="minorHAnsi" w:cs="Calibri"/>
        </w:rPr>
        <w:t>cél a biztonságos és egészséges munkakörnyezet, a képzés és tudatosság növelése (különösen a vegyszerhasználat kockázatai és a megfelelőségi témák mentén), valamint a munkavállalói bizalom erősítése a transzparens működésen keresztül.</w:t>
      </w:r>
    </w:p>
    <w:p w14:paraId="1F8ABE13"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b w:val="0"/>
          <w:bCs w:val="0"/>
        </w:rPr>
        <w:t>Beszállítók és alvállalkozók:</w:t>
      </w:r>
      <w:r w:rsidRPr="00E45723">
        <w:rPr>
          <w:rFonts w:asciiTheme="minorHAnsi" w:hAnsiTheme="minorHAnsi" w:cs="Calibri"/>
          <w:b/>
          <w:bCs/>
        </w:rPr>
        <w:t xml:space="preserve"> </w:t>
      </w:r>
      <w:r w:rsidRPr="00E45723">
        <w:rPr>
          <w:rFonts w:asciiTheme="minorHAnsi" w:hAnsiTheme="minorHAnsi" w:cs="Calibri"/>
        </w:rPr>
        <w:t>cél a kiszámítható, tisztességes és átlátható együttműködés; a lényeges témák alapján a beszerzési döntéseknél fókusz a környezeti teljesítményt javító megoldásokra (pl. „zöld beszerzés”, Ecolabel), illetve az alvállalkozói jogkövetés és auditálhatóság erősítésére.</w:t>
      </w:r>
    </w:p>
    <w:p w14:paraId="28AAAC88"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b w:val="0"/>
          <w:bCs w:val="0"/>
        </w:rPr>
        <w:t>Tulajdonosok és felső vezetés:</w:t>
      </w:r>
      <w:r w:rsidRPr="00E45723">
        <w:rPr>
          <w:rFonts w:asciiTheme="minorHAnsi" w:hAnsiTheme="minorHAnsi" w:cs="Calibri"/>
        </w:rPr>
        <w:t xml:space="preserve"> cél a hosszú távú értékteremtés és reputáció megőrzése, a fenntarthatósági szempontok stratégiai integrálása, valamint az ESG kockázatok beemelése a vállalati kockázatkezelési keretrendszerbe (felelős vállalatirányítás és fenntarthatóság, jogi megfelelőség).</w:t>
      </w:r>
    </w:p>
    <w:p w14:paraId="36A997C7"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b w:val="0"/>
          <w:bCs w:val="0"/>
        </w:rPr>
        <w:t>Tágabb társadalmi/közösségi érintettek és végfelhasználók:</w:t>
      </w:r>
      <w:r w:rsidRPr="00E45723">
        <w:rPr>
          <w:rFonts w:asciiTheme="minorHAnsi" w:hAnsiTheme="minorHAnsi" w:cs="Calibri"/>
        </w:rPr>
        <w:t xml:space="preserve"> cél a közösségi terek és munkakörnyezetek higiéniai színvonalának fenntartása és fejlesztése, miközben a szolgáltatásokból eredő potenciális környezeti terhelések (pl. vegyszerek, vízhasználat, hulladék) csökkennek.</w:t>
      </w:r>
    </w:p>
    <w:p w14:paraId="233073E1" w14:textId="55473B8B"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 xml:space="preserve">Ügyfelek/partnerek: LIWO Group célja a partnerek ökológiai lábnyomának csökkentése érdekében a szolgáltatás körében rendelkezésére álló adatok alapján </w:t>
      </w:r>
      <w:r w:rsidRPr="00E45723">
        <w:rPr>
          <w:rStyle w:val="Strong"/>
          <w:rFonts w:asciiTheme="minorHAnsi" w:hAnsiTheme="minorHAnsi" w:cs="Calibri"/>
          <w:b w:val="0"/>
          <w:bCs w:val="0"/>
        </w:rPr>
        <w:t>energiahaté</w:t>
      </w:r>
      <w:r w:rsidR="00FA46A9" w:rsidRPr="00E45723">
        <w:rPr>
          <w:rStyle w:val="Strong"/>
          <w:rFonts w:asciiTheme="minorHAnsi" w:hAnsiTheme="minorHAnsi" w:cs="Calibri"/>
          <w:b w:val="0"/>
          <w:bCs w:val="0"/>
        </w:rPr>
        <w:t>-</w:t>
      </w:r>
      <w:r w:rsidRPr="00E45723">
        <w:rPr>
          <w:rStyle w:val="Strong"/>
          <w:rFonts w:asciiTheme="minorHAnsi" w:hAnsiTheme="minorHAnsi" w:cs="Calibri"/>
          <w:b w:val="0"/>
          <w:bCs w:val="0"/>
        </w:rPr>
        <w:t>konysági javaslatok nyújtása.</w:t>
      </w:r>
    </w:p>
    <w:p w14:paraId="14DA3643" w14:textId="28C42C2C"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jelenlegi jelentős termékek és/vagy szolgáltatások, valamint a jelentős piacok és ügyfél</w:t>
      </w:r>
      <w:r w:rsidR="00FA46A9" w:rsidRPr="00E45723">
        <w:rPr>
          <w:rFonts w:asciiTheme="minorHAnsi" w:hAnsiTheme="minorHAnsi" w:cs="Calibri"/>
          <w:b/>
        </w:rPr>
        <w:t>-</w:t>
      </w:r>
      <w:r w:rsidRPr="00E45723">
        <w:rPr>
          <w:rFonts w:asciiTheme="minorHAnsi" w:hAnsiTheme="minorHAnsi" w:cs="Calibri"/>
          <w:b/>
        </w:rPr>
        <w:t xml:space="preserve">csoportok értékelése a fenntarthatósággal kapcsolatos céljainkkal összefüggésben </w:t>
      </w:r>
      <w:r w:rsidRPr="00E45723">
        <w:rPr>
          <w:rFonts w:asciiTheme="minorHAnsi" w:hAnsiTheme="minorHAnsi" w:cs="Calibri"/>
          <w:b/>
          <w:bCs/>
        </w:rPr>
        <w:t>[ESRS 2 bek. 40. f)]</w:t>
      </w:r>
    </w:p>
    <w:p w14:paraId="126072AC"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Csoport fő szolgáltatásai elsősorban integrált létesítményüzemeltetési (műszaki karbantartási és kapcsolódó üzemeltetési), valamint takarítási megoldásokat foglalnak magukban. A szolgáltatási portfólió fenntarthatósági szempontból kiemelt jelentőségű, mivel közvetlen hatással van az energiafelhasználásra, az erőforrás-hatékonyságra, a felhasznált anyagokra és vegyszerekre, valamint a működési környezet állapotára, a szolgáltatás jellegére tekintettel ugyan korlátozott körben, de a LIWO csoport rendelkezésére álló adatok alapján javaslatokkal élhet partnerei felé és így közvetett ráhatással is tud lenni a fent említett körben. </w:t>
      </w:r>
    </w:p>
    <w:p w14:paraId="191BEB2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Group jelentős piacai elsősorban intézményi, ipari és kereskedelmi létesítményekhez kapcsolódnak. Ezeken a piacokon a megrendelői elvárások egyre nagyobb mértékben tartalmaznak fenntarthatósági és megfelelési szempontokat, ideértve az energiahatékonyságot, a környezetkímélő technológiák alkalmazását, az átlátható működést és a munkavállalói feltételek minőségét. </w:t>
      </w:r>
    </w:p>
    <w:p w14:paraId="5F19199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fő ügyfélcsoportok – különösen a nagyvállalati és közintézményi megrendelők – részéről növekvő igény tapasztalható a fenntarthatósági teljesítmény mérhetőségére és dokumentálására. Ennek megfelelően a Csoport fenntarthatósági céljai és programjai kiterjednek: </w:t>
      </w:r>
    </w:p>
    <w:p w14:paraId="60F8DC8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az energia- és anyagfelhasználás csökkentésére, </w:t>
      </w:r>
    </w:p>
    <w:p w14:paraId="4630F2D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 környezetbarát technológiák és tisztítószerek alkalmazására, </w:t>
      </w:r>
    </w:p>
    <w:p w14:paraId="5EE227F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 munkavállalói biztonság és képzés erősítésére, valamint a felelős beszállítói gyakorlat ösztönzésére, valamint</w:t>
      </w:r>
    </w:p>
    <w:p w14:paraId="2523BEC4"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 xml:space="preserve">e körben, a szolgáltatás jellegéből adódóan, megrendelők részére javaslatok megfogalmazására. </w:t>
      </w:r>
    </w:p>
    <w:p w14:paraId="675A3A1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Csoport rendszeresen értékeli, hogy fő szolgáltatásai és ügyfélkapcsolatai milyen mértékben járulnak hozzá a fenntarthatósági célok eléréséhez, és ennek eredményeit figyelembe veszi a szolgáltatásfejlesztési és működési döntések során.</w:t>
      </w:r>
    </w:p>
    <w:p w14:paraId="0B73A335"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rPr>
        <w:t xml:space="preserve">Az üzleti modell és az értéklánc leírása </w:t>
      </w:r>
      <w:r w:rsidRPr="00E45723">
        <w:rPr>
          <w:rFonts w:asciiTheme="minorHAnsi" w:hAnsiTheme="minorHAnsi" w:cs="Calibri"/>
          <w:b/>
          <w:bCs/>
        </w:rPr>
        <w:t xml:space="preserve">[ESRS 2 bek. 42.] </w:t>
      </w:r>
    </w:p>
    <w:p w14:paraId="6E48DEB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Group integrált létesítményüzemeltetési és professzionális takarítási szolgáltatásokat nyújtó vállalatcsoport, amely több mint harmincéves szakmai tapasztalattal rendelkezik több közép- és kelet-európai országban van jelen, szolgáltatásait több ezer helyszínen nyújtja, és tevékenysége jelentős munkaerő-intenzitással működik. A Cégcsoport üzleti modellje szolgáltatásalapú, hosszú távú ügyfélkapcsolatokra és szerződéses üzemeltetési konstrukciókra épül. A működés középpontjában az épített környezet folyamatos, biztonságos és hatékony működésének biztosítása áll. A Társaság nem termékgyártó, hanem helyszíni szolgáltatásokat nyújtó vállalatcsoport, amely az épített környezet működtetéséhez, fenntartásához és higiéniai állapotának biztosításához kapcsolódó tevékenységeket lát el.</w:t>
      </w:r>
    </w:p>
    <w:p w14:paraId="7C95616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Csoport teljes körű szolgáltatási portfóliója magában foglalja különösen:</w:t>
      </w:r>
    </w:p>
    <w:p w14:paraId="09C7AD7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 létesítményüzemeltetési és műszaki karbantartási szolgáltatásokat,</w:t>
      </w:r>
    </w:p>
    <w:p w14:paraId="4C56E62E"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az általános és speciális (ideértve az egészségügyi, higiéniai) takarítási szolgáltatásokat,</w:t>
      </w:r>
    </w:p>
    <w:p w14:paraId="3CC949C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rovar- és rágcsálóirtási tevékenységet,</w:t>
      </w:r>
    </w:p>
    <w:p w14:paraId="112033A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kertészeti és parkfenntartási feladatokat,</w:t>
      </w:r>
    </w:p>
    <w:p w14:paraId="1B6B72A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fit-out és kivitelezési munkákat,</w:t>
      </w:r>
    </w:p>
    <w:p w14:paraId="04194AD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mosodai és textilkezelési szolgáltatásokat.</w:t>
      </w:r>
    </w:p>
    <w:p w14:paraId="5959682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Társaság az értékláncban integrátor és operatív szolgáltató szerepet tölt be: a beszállítóktól és alvállalkozóktól származó inputokra építve, helyszíni jelenléttel és munkaerő-intenzív működéssel biztosít komplex üzemeltetési és higiéniai szolgáltatásokat az ügyfelek számára. A kettős lényegességi elemzés során a Társaság az értéklánc azon szakaszaira fókuszált, ahol érdemi környezeti és társadalmi hatások, valamint pénzügyi kockázatok és lehetőségek azonosíthatók. </w:t>
      </w:r>
    </w:p>
    <w:p w14:paraId="55FDB400" w14:textId="5A07E1AF"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LIWO Csoport értékláncát a szolgáltatási jelleg határozza meg. Az </w:t>
      </w:r>
      <w:r w:rsidRPr="00E45723">
        <w:rPr>
          <w:rStyle w:val="Strong"/>
          <w:rFonts w:asciiTheme="minorHAnsi" w:hAnsiTheme="minorHAnsi" w:cs="Calibri"/>
        </w:rPr>
        <w:t>upstream</w:t>
      </w:r>
      <w:r w:rsidR="00C07505">
        <w:rPr>
          <w:rStyle w:val="Strong"/>
          <w:rFonts w:asciiTheme="minorHAnsi" w:hAnsiTheme="minorHAnsi" w:cs="Calibri"/>
        </w:rPr>
        <w:t xml:space="preserve"> </w:t>
      </w:r>
      <w:r w:rsidRPr="00E45723">
        <w:rPr>
          <w:rFonts w:asciiTheme="minorHAnsi" w:hAnsiTheme="minorHAnsi" w:cs="Calibri"/>
        </w:rPr>
        <w:t>szakaszban kiemelt szerepet játszanak az eszköz-, gép- és vegyszerbeszállítók, az alvállalkozók, valamint szakmai szolgáltatók.</w:t>
      </w:r>
    </w:p>
    <w:p w14:paraId="00EF4C4E" w14:textId="79BC8813"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upstream szakaszban a működéshez szükséges inputok és erőforrások biztosítása történik. Ide tartoznak különösen:</w:t>
      </w:r>
    </w:p>
    <w:p w14:paraId="774EF9D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takarítási és higiéniai vegyszerek, tisztítószerek és fertőtlenítő anyagok beszállítói,</w:t>
      </w:r>
    </w:p>
    <w:p w14:paraId="2BD2AA9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gépek, eszközök, karbantartási anyagok és műszaki berendezések szállítói,</w:t>
      </w:r>
    </w:p>
    <w:p w14:paraId="4BE6EB7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munkaruházat és védőeszköz beszállítók,</w:t>
      </w:r>
    </w:p>
    <w:p w14:paraId="74E4568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alvállalkozók és szakipari partnerek, és</w:t>
      </w:r>
    </w:p>
    <w:p w14:paraId="76D83D2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egyéb szakmai szolgáltatók.</w:t>
      </w:r>
    </w:p>
    <w:p w14:paraId="60AEDF5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fő bemenetek különösen: anyag- és segédanyag-felhasználás (pl. tisztítószerek/vegyszerek, csomagoló- és fogyóanyagok), víz- és energiaigény (különösen takarítási és kapcsolódó tevékenységekben), a nagy méretű gépjárműflotta működése, valamint a szolgáltatás teljesítéséhez szükséges saját és értékláncbeli munkaerő (beleértve az alvállalkozói kapacitásokat is).</w:t>
      </w:r>
    </w:p>
    <w:p w14:paraId="2FBB65F9" w14:textId="08DF6450"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Ezt egészíti ki a holdingműködéshez szükséges erőforrások és szolgáltatók (pl. pénzügyi/</w:t>
      </w:r>
      <w:r w:rsidR="00FA46A9" w:rsidRPr="00E45723">
        <w:rPr>
          <w:rFonts w:asciiTheme="minorHAnsi" w:hAnsiTheme="minorHAnsi" w:cs="Calibri"/>
        </w:rPr>
        <w:br/>
      </w:r>
      <w:r w:rsidRPr="00E45723">
        <w:rPr>
          <w:rFonts w:asciiTheme="minorHAnsi" w:hAnsiTheme="minorHAnsi" w:cs="Calibri"/>
        </w:rPr>
        <w:t xml:space="preserve">finanszírozási partnerek, jogi–adó–audit jellegű külső szakértők, IT és információbiztonsági megoldások, adminisztratív/üzemeltetési beszerzések) biztosítása. </w:t>
      </w:r>
    </w:p>
    <w:p w14:paraId="4343D8F9" w14:textId="24F7697C"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w:t>
      </w:r>
      <w:r w:rsidRPr="00E45723">
        <w:rPr>
          <w:rStyle w:val="Strong"/>
          <w:rFonts w:asciiTheme="minorHAnsi" w:hAnsiTheme="minorHAnsi" w:cs="Calibri"/>
        </w:rPr>
        <w:t>downstream</w:t>
      </w:r>
      <w:r w:rsidR="00C07505">
        <w:rPr>
          <w:rStyle w:val="Strong"/>
          <w:rFonts w:asciiTheme="minorHAnsi" w:hAnsiTheme="minorHAnsi" w:cs="Calibri"/>
        </w:rPr>
        <w:t xml:space="preserve"> </w:t>
      </w:r>
      <w:r w:rsidRPr="00E45723">
        <w:rPr>
          <w:rFonts w:asciiTheme="minorHAnsi" w:hAnsiTheme="minorHAnsi" w:cs="Calibri"/>
        </w:rPr>
        <w:t>szakaszban a szolgáltatások közvetlenül az ügyfél által üzemeltetett létesítményekben jelennek meg. A szolgáltatások eredménye közvetlen hatással van az ingatlanok higiéniai, műszaki és működési állapotára, az ott dolgozók és felhasználók egészségére és biztonságára, valamint az épületek erőforrás-hatékonysági jellemzőire. A downstream oldalon a fő ügyfélcsoportok közé tartoznak az intézményi, ipari, kereskedelmi és egészségügyi létesítmények üzemeltetői és tulajdonosai. A szolgáltatások hatása közvetlenül érinti az ingatlanhasználókat, a munkavállalókat és a látogatókat is.</w:t>
      </w:r>
    </w:p>
    <w:p w14:paraId="1CE7A84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értéklánc-elemzés során a Társaság két fő, meghatározó hatású szolgáltatási területet azonosított:</w:t>
      </w:r>
    </w:p>
    <w:p w14:paraId="7E3004EF" w14:textId="77777777" w:rsidR="00BD159D" w:rsidRPr="00E45723" w:rsidRDefault="00FD7771" w:rsidP="00FA46A9">
      <w:pPr>
        <w:numPr>
          <w:ilvl w:val="0"/>
          <w:numId w:val="12"/>
        </w:numPr>
        <w:suppressAutoHyphens/>
        <w:rPr>
          <w:rFonts w:asciiTheme="minorHAnsi" w:hAnsiTheme="minorHAnsi" w:cs="Calibri"/>
        </w:rPr>
      </w:pPr>
      <w:r w:rsidRPr="00E45723">
        <w:rPr>
          <w:rFonts w:asciiTheme="minorHAnsi" w:hAnsiTheme="minorHAnsi" w:cs="Calibri"/>
        </w:rPr>
        <w:t>takarítási és higiéniai szolgáltatások,</w:t>
      </w:r>
    </w:p>
    <w:p w14:paraId="133A2DCD" w14:textId="77777777" w:rsidR="00BD159D" w:rsidRPr="00E45723" w:rsidRDefault="00FD7771" w:rsidP="00FA46A9">
      <w:pPr>
        <w:numPr>
          <w:ilvl w:val="0"/>
          <w:numId w:val="12"/>
        </w:numPr>
        <w:suppressAutoHyphens/>
        <w:rPr>
          <w:rFonts w:asciiTheme="minorHAnsi" w:hAnsiTheme="minorHAnsi" w:cs="Calibri"/>
        </w:rPr>
      </w:pPr>
      <w:r w:rsidRPr="00E45723">
        <w:rPr>
          <w:rFonts w:asciiTheme="minorHAnsi" w:hAnsiTheme="minorHAnsi" w:cs="Calibri"/>
        </w:rPr>
        <w:t>létesítményüzemeltetés és műszaki üzemeltetés.</w:t>
      </w:r>
    </w:p>
    <w:p w14:paraId="39FBD762" w14:textId="77777777" w:rsidR="00BD159D" w:rsidRPr="00E45723" w:rsidRDefault="00FD7771">
      <w:pPr>
        <w:spacing w:before="100" w:beforeAutospacing="1" w:afterAutospacing="1"/>
        <w:rPr>
          <w:rFonts w:asciiTheme="minorHAnsi" w:hAnsiTheme="minorHAnsi" w:cs="Calibri"/>
        </w:rPr>
      </w:pPr>
      <w:r w:rsidRPr="00E45723">
        <w:rPr>
          <w:rFonts w:asciiTheme="minorHAnsi" w:hAnsiTheme="minorHAnsi" w:cs="Calibri"/>
        </w:rPr>
        <w:lastRenderedPageBreak/>
        <w:t>Downstream (értékesítési/hatásoldal): a holding közvetlen “üzleti partnerei” a leányvállalatok, amelyek részére a holding stratégiai irányelveket, elvárásokat és – a kialakított jelentéstételi rend szerint – felügyeleti/monitoring keretet biztosít; a végső ügyfélkapcsolat és operatív értékteremtés a leányvállalatok értékláncában realizálódik.</w:t>
      </w:r>
    </w:p>
    <w:p w14:paraId="0D829023" w14:textId="77777777" w:rsidR="00BD159D" w:rsidRPr="00E45723" w:rsidRDefault="00FD7771" w:rsidP="003D4C37">
      <w:pPr>
        <w:pStyle w:val="Heading2"/>
        <w:suppressAutoHyphens/>
        <w:spacing w:after="240"/>
        <w:rPr>
          <w:rFonts w:asciiTheme="minorHAnsi" w:hAnsiTheme="minorHAnsi" w:cs="Calibri"/>
        </w:rPr>
      </w:pPr>
      <w:bookmarkStart w:id="14" w:name="_Toc239834904"/>
      <w:r w:rsidRPr="00E45723">
        <w:rPr>
          <w:rFonts w:asciiTheme="minorHAnsi" w:hAnsiTheme="minorHAnsi" w:cs="Calibri"/>
        </w:rPr>
        <w:t>BP-2 Közzétételek konkrét körülményekkel kapcsolatban</w:t>
      </w:r>
      <w:bookmarkEnd w:id="14"/>
    </w:p>
    <w:p w14:paraId="64E057C5" w14:textId="77777777" w:rsidR="00BD159D" w:rsidRPr="00E45723" w:rsidRDefault="00FD7771">
      <w:pPr>
        <w:rPr>
          <w:rFonts w:asciiTheme="minorHAnsi" w:hAnsiTheme="minorHAnsi" w:cs="Calibri"/>
        </w:rPr>
      </w:pPr>
      <w:r w:rsidRPr="00E45723">
        <w:rPr>
          <w:rFonts w:asciiTheme="minorHAnsi" w:hAnsiTheme="minorHAnsi" w:cs="Calibri"/>
        </w:rPr>
        <w:t xml:space="preserve">[ESRS 2 bek. 6.] A Vállalatcsoport az egyedi körülményekre, kivételes eseményekre vagy speciális működési feltételekre vonatkozó információkat mindig az adott közzétételi témához kapcsolódóan, annak szakmai és működési kontextusába ágyazva mutatja be. Ez különösen releváns egy olyan több országban működő, komplex értéklánccal rendelkező szolgáltató vállalat esetében, mint a LIWO Group, ahol a működés jellegéből adódóan az egyedi kockázati helyzetek (pl. üzemeltetési rendkívüli események, ellátási problémák, partneri teljesítési eltérések) több országot vagy leányvállalatot is érinthetnek.  </w:t>
      </w:r>
    </w:p>
    <w:p w14:paraId="0D93FE3B" w14:textId="77777777" w:rsidR="00BD159D" w:rsidRPr="00E45723" w:rsidRDefault="00FD7771">
      <w:pPr>
        <w:rPr>
          <w:rFonts w:asciiTheme="minorHAnsi" w:hAnsiTheme="minorHAnsi" w:cs="Calibri"/>
        </w:rPr>
      </w:pPr>
      <w:r w:rsidRPr="00E45723">
        <w:rPr>
          <w:rFonts w:asciiTheme="minorHAnsi" w:hAnsiTheme="minorHAnsi" w:cs="Calibri"/>
        </w:rPr>
        <w:t xml:space="preserve">Amennyiben a fenntarthatósági nyilatkozat elkészítése során becsléseket, adatközelítéseket vagy szakmai megítélésen alapuló módszereket alkalmaz a vállalat, azok részleteit a jelentéstételi elvek ismertetésénél átlátható módon feltünteti. Ide tartoznak többek között: </w:t>
      </w:r>
    </w:p>
    <w:p w14:paraId="018CD2DD" w14:textId="3FB5BE52" w:rsidR="00BD159D" w:rsidRPr="00E45723" w:rsidRDefault="00FD7771" w:rsidP="003D4C37">
      <w:pPr>
        <w:pStyle w:val="ListParagraph"/>
        <w:numPr>
          <w:ilvl w:val="0"/>
          <w:numId w:val="11"/>
        </w:numPr>
        <w:suppressAutoHyphens/>
        <w:rPr>
          <w:rFonts w:asciiTheme="minorHAnsi" w:hAnsiTheme="minorHAnsi" w:cs="Calibri"/>
        </w:rPr>
      </w:pPr>
      <w:r w:rsidRPr="00E45723">
        <w:rPr>
          <w:rFonts w:asciiTheme="minorHAnsi" w:hAnsiTheme="minorHAnsi" w:cs="Calibri"/>
        </w:rPr>
        <w:t>a mérési vagy adatminőségi korlátok,</w:t>
      </w:r>
    </w:p>
    <w:p w14:paraId="128208F5" w14:textId="4CE70B90" w:rsidR="00BD159D" w:rsidRPr="00E45723" w:rsidRDefault="00FD7771" w:rsidP="003D4C37">
      <w:pPr>
        <w:pStyle w:val="ListParagraph"/>
        <w:numPr>
          <w:ilvl w:val="0"/>
          <w:numId w:val="11"/>
        </w:numPr>
        <w:suppressAutoHyphens/>
        <w:rPr>
          <w:rFonts w:asciiTheme="minorHAnsi" w:hAnsiTheme="minorHAnsi" w:cs="Calibri"/>
        </w:rPr>
      </w:pPr>
      <w:r w:rsidRPr="00E45723">
        <w:rPr>
          <w:rFonts w:asciiTheme="minorHAnsi" w:hAnsiTheme="minorHAnsi" w:cs="Calibri"/>
        </w:rPr>
        <w:t>az egyes országok vagy leányvállalatok eltérő adatérési sajátosságai,</w:t>
      </w:r>
    </w:p>
    <w:p w14:paraId="219E59FA" w14:textId="01DBCF01" w:rsidR="00BD159D" w:rsidRPr="00E45723" w:rsidRDefault="00FD7771" w:rsidP="003D4C37">
      <w:pPr>
        <w:pStyle w:val="ListParagraph"/>
        <w:numPr>
          <w:ilvl w:val="0"/>
          <w:numId w:val="11"/>
        </w:numPr>
        <w:suppressAutoHyphens/>
        <w:rPr>
          <w:rFonts w:asciiTheme="minorHAnsi" w:hAnsiTheme="minorHAnsi" w:cs="Calibri"/>
        </w:rPr>
      </w:pPr>
      <w:r w:rsidRPr="00E45723">
        <w:rPr>
          <w:rFonts w:asciiTheme="minorHAnsi" w:hAnsiTheme="minorHAnsi" w:cs="Calibri"/>
        </w:rPr>
        <w:t>az adatgyűjtésben részt vevő partnerek és alvállalkozók rendszereiből adódó eltérések,</w:t>
      </w:r>
    </w:p>
    <w:p w14:paraId="52EE88EC" w14:textId="0D21BEF8" w:rsidR="00BD159D" w:rsidRPr="00E45723" w:rsidRDefault="00FD7771" w:rsidP="003D4C37">
      <w:pPr>
        <w:pStyle w:val="ListParagraph"/>
        <w:numPr>
          <w:ilvl w:val="0"/>
          <w:numId w:val="11"/>
        </w:numPr>
        <w:rPr>
          <w:rFonts w:asciiTheme="minorHAnsi" w:hAnsiTheme="minorHAnsi" w:cs="Calibri"/>
        </w:rPr>
      </w:pPr>
      <w:r w:rsidRPr="00E45723">
        <w:rPr>
          <w:rFonts w:asciiTheme="minorHAnsi" w:hAnsiTheme="minorHAnsi" w:cs="Calibri"/>
        </w:rPr>
        <w:t>valamint azok a tényezők, amelyek a becslések pontosságát vagy megbízhatóságát befolyásolhatják.</w:t>
      </w:r>
    </w:p>
    <w:p w14:paraId="571DC288" w14:textId="77777777" w:rsidR="00BD159D" w:rsidRPr="00E45723" w:rsidRDefault="00FD7771">
      <w:pPr>
        <w:suppressAutoHyphens/>
        <w:spacing w:after="120"/>
        <w:rPr>
          <w:rFonts w:asciiTheme="minorHAnsi" w:hAnsiTheme="minorHAnsi" w:cs="Calibri"/>
        </w:rPr>
      </w:pPr>
      <w:r w:rsidRPr="00E45723">
        <w:rPr>
          <w:rFonts w:asciiTheme="minorHAnsi" w:hAnsiTheme="minorHAnsi" w:cs="Calibri"/>
        </w:rPr>
        <w:t xml:space="preserve">[ESRS 2 bek. 9.] A Társaság nem alkalmazott az ESRS 1-ben meghatározottaktól eltérő közép- vagy hosszú távú időhorizontokat: </w:t>
      </w:r>
    </w:p>
    <w:p w14:paraId="2BBCCA14" w14:textId="77777777" w:rsidR="00BD159D" w:rsidRPr="00E45723" w:rsidRDefault="00FD7771" w:rsidP="003D4C37">
      <w:pPr>
        <w:numPr>
          <w:ilvl w:val="0"/>
          <w:numId w:val="13"/>
        </w:numPr>
        <w:suppressAutoHyphens/>
        <w:ind w:hanging="475"/>
        <w:rPr>
          <w:rFonts w:asciiTheme="minorHAnsi" w:hAnsiTheme="minorHAnsi" w:cs="Calibri"/>
        </w:rPr>
      </w:pPr>
      <w:r w:rsidRPr="00E45723">
        <w:rPr>
          <w:rFonts w:asciiTheme="minorHAnsi" w:hAnsiTheme="minorHAnsi" w:cs="Calibri"/>
        </w:rPr>
        <w:t>rövidtáv: hatás már a jelenlegi pénzügyi évben is fennáll</w:t>
      </w:r>
    </w:p>
    <w:p w14:paraId="04A11F9C" w14:textId="77777777" w:rsidR="00BD159D" w:rsidRPr="00E45723" w:rsidRDefault="00FD7771" w:rsidP="003D4C37">
      <w:pPr>
        <w:numPr>
          <w:ilvl w:val="0"/>
          <w:numId w:val="13"/>
        </w:numPr>
        <w:suppressAutoHyphens/>
        <w:ind w:hanging="475"/>
        <w:rPr>
          <w:rFonts w:asciiTheme="minorHAnsi" w:hAnsiTheme="minorHAnsi" w:cs="Calibri"/>
        </w:rPr>
      </w:pPr>
      <w:r w:rsidRPr="00E45723">
        <w:rPr>
          <w:rFonts w:asciiTheme="minorHAnsi" w:hAnsiTheme="minorHAnsi" w:cs="Calibri"/>
        </w:rPr>
        <w:t>középtáv: hatások várhatóan a jelentéstételi időszakot követő 5 éven belül érezhetők lesznek</w:t>
      </w:r>
    </w:p>
    <w:p w14:paraId="34465BF2" w14:textId="77777777" w:rsidR="00BD159D" w:rsidRPr="00E45723" w:rsidRDefault="00FD7771" w:rsidP="003D4C37">
      <w:pPr>
        <w:numPr>
          <w:ilvl w:val="0"/>
          <w:numId w:val="13"/>
        </w:numPr>
        <w:suppressAutoHyphens/>
        <w:ind w:hanging="475"/>
        <w:rPr>
          <w:rFonts w:asciiTheme="minorHAnsi" w:hAnsiTheme="minorHAnsi" w:cs="Calibri"/>
        </w:rPr>
      </w:pPr>
      <w:r w:rsidRPr="00E45723">
        <w:rPr>
          <w:rFonts w:asciiTheme="minorHAnsi" w:hAnsiTheme="minorHAnsi" w:cs="Calibri"/>
        </w:rPr>
        <w:t>hosszútáv: hatása várhatóan 5 év elteltével jelentkezik, legfeljebb 10 éves időhorizontot figyelembe véve.</w:t>
      </w:r>
    </w:p>
    <w:p w14:paraId="245A80B7"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10, 11. a) b) i., ESRS 2 bek. 11. b) ii.] A vállalatcsoport a lényeges hatások, kockázatok és lehetőségek feltárása során jelenleg főként a főbb értéklánc</w:t>
      </w:r>
      <w:r w:rsidRPr="00E45723">
        <w:rPr>
          <w:rFonts w:asciiTheme="minorHAnsi" w:hAnsiTheme="minorHAnsi" w:cs="Calibri"/>
        </w:rPr>
        <w:noBreakHyphen/>
        <w:t>szereplők kvalitatív áttekintésére támaszkodik, mivel a beszállítói és alvállalkozói lánc részletes, fenntarthatósági szempontú adatgyűjtése fokozatosan, több lépésben épül ki. A következő jelentéstételi ciklusokban a vállalat célja az adatgyűjtés bővítése és a beszállítói szintű információk pontosítása.</w:t>
      </w:r>
    </w:p>
    <w:p w14:paraId="3F08AC5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Scope</w:t>
      </w:r>
      <w:r w:rsidRPr="00E45723">
        <w:rPr>
          <w:rFonts w:ascii="Arial" w:hAnsi="Arial" w:cs="Arial"/>
        </w:rPr>
        <w:t> </w:t>
      </w:r>
      <w:r w:rsidRPr="00E45723">
        <w:rPr>
          <w:rFonts w:asciiTheme="minorHAnsi" w:hAnsiTheme="minorHAnsi" w:cs="Calibri"/>
        </w:rPr>
        <w:t xml:space="preserve">1 </w:t>
      </w:r>
      <w:r w:rsidRPr="00E45723">
        <w:rPr>
          <w:rFonts w:cs="Aptos"/>
        </w:rPr>
        <w:t>é</w:t>
      </w:r>
      <w:r w:rsidRPr="00E45723">
        <w:rPr>
          <w:rFonts w:asciiTheme="minorHAnsi" w:hAnsiTheme="minorHAnsi" w:cs="Calibri"/>
        </w:rPr>
        <w:t>s Scope</w:t>
      </w:r>
      <w:r w:rsidRPr="00E45723">
        <w:rPr>
          <w:rFonts w:ascii="Arial" w:hAnsi="Arial" w:cs="Arial"/>
        </w:rPr>
        <w:t> </w:t>
      </w:r>
      <w:r w:rsidRPr="00E45723">
        <w:rPr>
          <w:rFonts w:asciiTheme="minorHAnsi" w:hAnsiTheme="minorHAnsi" w:cs="Calibri"/>
        </w:rPr>
        <w:t xml:space="preserve">2 </w:t>
      </w:r>
      <w:r w:rsidRPr="00E45723">
        <w:rPr>
          <w:rFonts w:cs="Aptos"/>
        </w:rPr>
        <w:t>ü</w:t>
      </w:r>
      <w:r w:rsidRPr="00E45723">
        <w:rPr>
          <w:rFonts w:asciiTheme="minorHAnsi" w:hAnsiTheme="minorHAnsi" w:cs="Calibri"/>
        </w:rPr>
        <w:t>vegh</w:t>
      </w:r>
      <w:r w:rsidRPr="00E45723">
        <w:rPr>
          <w:rFonts w:cs="Aptos"/>
        </w:rPr>
        <w:t>á</w:t>
      </w:r>
      <w:r w:rsidRPr="00E45723">
        <w:rPr>
          <w:rFonts w:asciiTheme="minorHAnsi" w:hAnsiTheme="minorHAnsi" w:cs="Calibri"/>
        </w:rPr>
        <w:t>zhat</w:t>
      </w:r>
      <w:r w:rsidRPr="00E45723">
        <w:rPr>
          <w:rFonts w:cs="Aptos"/>
        </w:rPr>
        <w:t>á</w:t>
      </w:r>
      <w:r w:rsidRPr="00E45723">
        <w:rPr>
          <w:rFonts w:asciiTheme="minorHAnsi" w:hAnsiTheme="minorHAnsi" w:cs="Calibri"/>
        </w:rPr>
        <w:t>s</w:t>
      </w:r>
      <w:r w:rsidRPr="00E45723">
        <w:rPr>
          <w:rFonts w:cs="Aptos"/>
        </w:rPr>
        <w:t>ú</w:t>
      </w:r>
      <w:r w:rsidRPr="00E45723">
        <w:rPr>
          <w:rFonts w:asciiTheme="minorHAnsi" w:hAnsiTheme="minorHAnsi" w:cs="Calibri"/>
        </w:rPr>
        <w:t xml:space="preserve"> g</w:t>
      </w:r>
      <w:r w:rsidRPr="00E45723">
        <w:rPr>
          <w:rFonts w:cs="Aptos"/>
        </w:rPr>
        <w:t>á</w:t>
      </w:r>
      <w:r w:rsidRPr="00E45723">
        <w:rPr>
          <w:rFonts w:asciiTheme="minorHAnsi" w:hAnsiTheme="minorHAnsi" w:cs="Calibri"/>
        </w:rPr>
        <w:t>zkibocs</w:t>
      </w:r>
      <w:r w:rsidRPr="00E45723">
        <w:rPr>
          <w:rFonts w:cs="Aptos"/>
        </w:rPr>
        <w:t>á</w:t>
      </w:r>
      <w:r w:rsidRPr="00E45723">
        <w:rPr>
          <w:rFonts w:asciiTheme="minorHAnsi" w:hAnsiTheme="minorHAnsi" w:cs="Calibri"/>
        </w:rPr>
        <w:t>t</w:t>
      </w:r>
      <w:r w:rsidRPr="00E45723">
        <w:rPr>
          <w:rFonts w:cs="Aptos"/>
        </w:rPr>
        <w:t>á</w:t>
      </w:r>
      <w:r w:rsidRPr="00E45723">
        <w:rPr>
          <w:rFonts w:asciiTheme="minorHAnsi" w:hAnsiTheme="minorHAnsi" w:cs="Calibri"/>
        </w:rPr>
        <w:t>sok sz</w:t>
      </w:r>
      <w:r w:rsidRPr="00E45723">
        <w:rPr>
          <w:rFonts w:cs="Aptos"/>
        </w:rPr>
        <w:t>á</w:t>
      </w:r>
      <w:r w:rsidRPr="00E45723">
        <w:rPr>
          <w:rFonts w:asciiTheme="minorHAnsi" w:hAnsiTheme="minorHAnsi" w:cs="Calibri"/>
        </w:rPr>
        <w:t>m</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sa sor</w:t>
      </w:r>
      <w:r w:rsidRPr="00E45723">
        <w:rPr>
          <w:rFonts w:cs="Aptos"/>
        </w:rPr>
        <w:t>á</w:t>
      </w:r>
      <w:r w:rsidRPr="00E45723">
        <w:rPr>
          <w:rFonts w:asciiTheme="minorHAnsi" w:hAnsiTheme="minorHAnsi" w:cs="Calibri"/>
        </w:rPr>
        <w:t>n a v</w:t>
      </w:r>
      <w:r w:rsidRPr="00E45723">
        <w:rPr>
          <w:rFonts w:cs="Aptos"/>
        </w:rPr>
        <w:t>á</w:t>
      </w:r>
      <w:r w:rsidRPr="00E45723">
        <w:rPr>
          <w:rFonts w:asciiTheme="minorHAnsi" w:hAnsiTheme="minorHAnsi" w:cs="Calibri"/>
        </w:rPr>
        <w:t>llalat becsl</w:t>
      </w:r>
      <w:r w:rsidRPr="00E45723">
        <w:rPr>
          <w:rFonts w:cs="Aptos"/>
        </w:rPr>
        <w:t>é</w:t>
      </w:r>
      <w:r w:rsidRPr="00E45723">
        <w:rPr>
          <w:rFonts w:asciiTheme="minorHAnsi" w:hAnsiTheme="minorHAnsi" w:cs="Calibri"/>
        </w:rPr>
        <w:t>sen alapul</w:t>
      </w:r>
      <w:r w:rsidRPr="00E45723">
        <w:rPr>
          <w:rFonts w:cs="Aptos"/>
        </w:rPr>
        <w:t>ó</w:t>
      </w:r>
      <w:r w:rsidRPr="00E45723">
        <w:rPr>
          <w:rFonts w:asciiTheme="minorHAnsi" w:hAnsiTheme="minorHAnsi" w:cs="Calibri"/>
        </w:rPr>
        <w:t xml:space="preserve"> adatokat is alkalmaz, mivel egyes energiafelhaszn</w:t>
      </w:r>
      <w:r w:rsidRPr="00E45723">
        <w:rPr>
          <w:rFonts w:cs="Aptos"/>
        </w:rPr>
        <w:t>á</w:t>
      </w:r>
      <w:r w:rsidRPr="00E45723">
        <w:rPr>
          <w:rFonts w:asciiTheme="minorHAnsi" w:hAnsiTheme="minorHAnsi" w:cs="Calibri"/>
        </w:rPr>
        <w:t>l</w:t>
      </w:r>
      <w:r w:rsidRPr="00E45723">
        <w:rPr>
          <w:rFonts w:cs="Aptos"/>
        </w:rPr>
        <w:t>á</w:t>
      </w:r>
      <w:r w:rsidRPr="00E45723">
        <w:rPr>
          <w:rFonts w:asciiTheme="minorHAnsi" w:hAnsiTheme="minorHAnsi" w:cs="Calibri"/>
        </w:rPr>
        <w:t>si adatok a k</w:t>
      </w:r>
      <w:r w:rsidRPr="00E45723">
        <w:rPr>
          <w:rFonts w:cs="Aptos"/>
        </w:rPr>
        <w:t>ü</w:t>
      </w:r>
      <w:r w:rsidRPr="00E45723">
        <w:rPr>
          <w:rFonts w:asciiTheme="minorHAnsi" w:hAnsiTheme="minorHAnsi" w:cs="Calibri"/>
        </w:rPr>
        <w:t>l</w:t>
      </w:r>
      <w:r w:rsidRPr="00E45723">
        <w:rPr>
          <w:rFonts w:cs="Aptos"/>
        </w:rPr>
        <w:t>ö</w:t>
      </w:r>
      <w:r w:rsidRPr="00E45723">
        <w:rPr>
          <w:rFonts w:asciiTheme="minorHAnsi" w:hAnsiTheme="minorHAnsi" w:cs="Calibri"/>
        </w:rPr>
        <w:t>nb</w:t>
      </w:r>
      <w:r w:rsidRPr="00E45723">
        <w:rPr>
          <w:rFonts w:cs="Aptos"/>
        </w:rPr>
        <w:t>ö</w:t>
      </w:r>
      <w:r w:rsidRPr="00E45723">
        <w:rPr>
          <w:rFonts w:asciiTheme="minorHAnsi" w:hAnsiTheme="minorHAnsi" w:cs="Calibri"/>
        </w:rPr>
        <w:t>z</w:t>
      </w:r>
      <w:r w:rsidRPr="00E45723">
        <w:rPr>
          <w:rFonts w:cs="Aptos"/>
        </w:rPr>
        <w:t>ő</w:t>
      </w:r>
      <w:r w:rsidRPr="00E45723">
        <w:rPr>
          <w:rFonts w:asciiTheme="minorHAnsi" w:hAnsiTheme="minorHAnsi" w:cs="Calibri"/>
        </w:rPr>
        <w:t xml:space="preserve"> orsz</w:t>
      </w:r>
      <w:r w:rsidRPr="00E45723">
        <w:rPr>
          <w:rFonts w:cs="Aptos"/>
        </w:rPr>
        <w:t>á</w:t>
      </w:r>
      <w:r w:rsidRPr="00E45723">
        <w:rPr>
          <w:rFonts w:asciiTheme="minorHAnsi" w:hAnsiTheme="minorHAnsi" w:cs="Calibri"/>
        </w:rPr>
        <w:t>gokban m</w:t>
      </w:r>
      <w:r w:rsidRPr="00E45723">
        <w:rPr>
          <w:rFonts w:cs="Aptos"/>
        </w:rPr>
        <w:t>ű</w:t>
      </w:r>
      <w:r w:rsidRPr="00E45723">
        <w:rPr>
          <w:rFonts w:asciiTheme="minorHAnsi" w:hAnsiTheme="minorHAnsi" w:cs="Calibri"/>
        </w:rPr>
        <w:t>k</w:t>
      </w:r>
      <w:r w:rsidRPr="00E45723">
        <w:rPr>
          <w:rFonts w:cs="Aptos"/>
        </w:rPr>
        <w:t>ö</w:t>
      </w:r>
      <w:r w:rsidRPr="00E45723">
        <w:rPr>
          <w:rFonts w:asciiTheme="minorHAnsi" w:hAnsiTheme="minorHAnsi" w:cs="Calibri"/>
        </w:rPr>
        <w:t>d</w:t>
      </w:r>
      <w:r w:rsidRPr="00E45723">
        <w:rPr>
          <w:rFonts w:cs="Aptos"/>
        </w:rPr>
        <w:t>ő</w:t>
      </w:r>
      <w:r w:rsidRPr="00E45723">
        <w:rPr>
          <w:rFonts w:asciiTheme="minorHAnsi" w:hAnsiTheme="minorHAnsi" w:cs="Calibri"/>
        </w:rPr>
        <w:t xml:space="preserve"> le</w:t>
      </w:r>
      <w:r w:rsidRPr="00E45723">
        <w:rPr>
          <w:rFonts w:cs="Aptos"/>
        </w:rPr>
        <w:t>á</w:t>
      </w:r>
      <w:r w:rsidRPr="00E45723">
        <w:rPr>
          <w:rFonts w:asciiTheme="minorHAnsi" w:hAnsiTheme="minorHAnsi" w:cs="Calibri"/>
        </w:rPr>
        <w:t>nyv</w:t>
      </w:r>
      <w:r w:rsidRPr="00E45723">
        <w:rPr>
          <w:rFonts w:cs="Aptos"/>
        </w:rPr>
        <w:t>á</w:t>
      </w:r>
      <w:r w:rsidRPr="00E45723">
        <w:rPr>
          <w:rFonts w:asciiTheme="minorHAnsi" w:hAnsiTheme="minorHAnsi" w:cs="Calibri"/>
        </w:rPr>
        <w:t>llalatokt</w:t>
      </w:r>
      <w:r w:rsidRPr="00E45723">
        <w:rPr>
          <w:rFonts w:cs="Aptos"/>
        </w:rPr>
        <w:t>ó</w:t>
      </w:r>
      <w:r w:rsidRPr="00E45723">
        <w:rPr>
          <w:rFonts w:asciiTheme="minorHAnsi" w:hAnsiTheme="minorHAnsi" w:cs="Calibri"/>
        </w:rPr>
        <w:t xml:space="preserve">l </w:t>
      </w:r>
      <w:r w:rsidRPr="00E45723">
        <w:rPr>
          <w:rFonts w:cs="Aptos"/>
        </w:rPr>
        <w:t>ö</w:t>
      </w:r>
      <w:r w:rsidRPr="00E45723">
        <w:rPr>
          <w:rFonts w:asciiTheme="minorHAnsi" w:hAnsiTheme="minorHAnsi" w:cs="Calibri"/>
        </w:rPr>
        <w:t>sszes</w:t>
      </w:r>
      <w:r w:rsidRPr="00E45723">
        <w:rPr>
          <w:rFonts w:cs="Aptos"/>
        </w:rPr>
        <w:t>í</w:t>
      </w:r>
      <w:r w:rsidRPr="00E45723">
        <w:rPr>
          <w:rFonts w:asciiTheme="minorHAnsi" w:hAnsiTheme="minorHAnsi" w:cs="Calibri"/>
        </w:rPr>
        <w:t>tett vagy elt</w:t>
      </w:r>
      <w:r w:rsidRPr="00E45723">
        <w:rPr>
          <w:rFonts w:cs="Aptos"/>
        </w:rPr>
        <w:t>é</w:t>
      </w:r>
      <w:r w:rsidRPr="00E45723">
        <w:rPr>
          <w:rFonts w:asciiTheme="minorHAnsi" w:hAnsiTheme="minorHAnsi" w:cs="Calibri"/>
        </w:rPr>
        <w:t>r</w:t>
      </w:r>
      <w:r w:rsidRPr="00E45723">
        <w:rPr>
          <w:rFonts w:cs="Aptos"/>
        </w:rPr>
        <w:t>ő</w:t>
      </w:r>
      <w:r w:rsidRPr="00E45723">
        <w:rPr>
          <w:rFonts w:asciiTheme="minorHAnsi" w:hAnsiTheme="minorHAnsi" w:cs="Calibri"/>
        </w:rPr>
        <w:t xml:space="preserve"> r</w:t>
      </w:r>
      <w:r w:rsidRPr="00E45723">
        <w:rPr>
          <w:rFonts w:cs="Aptos"/>
        </w:rPr>
        <w:t>é</w:t>
      </w:r>
      <w:r w:rsidRPr="00E45723">
        <w:rPr>
          <w:rFonts w:asciiTheme="minorHAnsi" w:hAnsiTheme="minorHAnsi" w:cs="Calibri"/>
        </w:rPr>
        <w:t>szletezetts</w:t>
      </w:r>
      <w:r w:rsidRPr="00E45723">
        <w:rPr>
          <w:rFonts w:cs="Aptos"/>
        </w:rPr>
        <w:t>é</w:t>
      </w:r>
      <w:r w:rsidRPr="00E45723">
        <w:rPr>
          <w:rFonts w:asciiTheme="minorHAnsi" w:hAnsiTheme="minorHAnsi" w:cs="Calibri"/>
        </w:rPr>
        <w:t>g</w:t>
      </w:r>
      <w:r w:rsidRPr="00E45723">
        <w:rPr>
          <w:rFonts w:cs="Aptos"/>
        </w:rPr>
        <w:t>ű</w:t>
      </w:r>
      <w:r w:rsidRPr="00E45723">
        <w:rPr>
          <w:rFonts w:asciiTheme="minorHAnsi" w:hAnsiTheme="minorHAnsi" w:cs="Calibri"/>
        </w:rPr>
        <w:t xml:space="preserve"> form</w:t>
      </w:r>
      <w:r w:rsidRPr="00E45723">
        <w:rPr>
          <w:rFonts w:cs="Aptos"/>
        </w:rPr>
        <w:t>á</w:t>
      </w:r>
      <w:r w:rsidRPr="00E45723">
        <w:rPr>
          <w:rFonts w:asciiTheme="minorHAnsi" w:hAnsiTheme="minorHAnsi" w:cs="Calibri"/>
        </w:rPr>
        <w:t xml:space="preserve">ban </w:t>
      </w:r>
      <w:r w:rsidRPr="00E45723">
        <w:rPr>
          <w:rFonts w:cs="Aptos"/>
        </w:rPr>
        <w:t>é</w:t>
      </w:r>
      <w:r w:rsidRPr="00E45723">
        <w:rPr>
          <w:rFonts w:asciiTheme="minorHAnsi" w:hAnsiTheme="minorHAnsi" w:cs="Calibri"/>
        </w:rPr>
        <w:t>rkeznek. A m</w:t>
      </w:r>
      <w:r w:rsidRPr="00E45723">
        <w:rPr>
          <w:rFonts w:cs="Aptos"/>
        </w:rPr>
        <w:t>ó</w:t>
      </w:r>
      <w:r w:rsidRPr="00E45723">
        <w:rPr>
          <w:rFonts w:asciiTheme="minorHAnsi" w:hAnsiTheme="minorHAnsi" w:cs="Calibri"/>
        </w:rPr>
        <w:t>dszertani inform</w:t>
      </w:r>
      <w:r w:rsidRPr="00E45723">
        <w:rPr>
          <w:rFonts w:cs="Aptos"/>
        </w:rPr>
        <w:t>á</w:t>
      </w:r>
      <w:r w:rsidRPr="00E45723">
        <w:rPr>
          <w:rFonts w:asciiTheme="minorHAnsi" w:hAnsiTheme="minorHAnsi" w:cs="Calibri"/>
        </w:rPr>
        <w:t>ci</w:t>
      </w:r>
      <w:r w:rsidRPr="00E45723">
        <w:rPr>
          <w:rFonts w:cs="Aptos"/>
        </w:rPr>
        <w:t>ó</w:t>
      </w:r>
      <w:r w:rsidRPr="00E45723">
        <w:rPr>
          <w:rFonts w:asciiTheme="minorHAnsi" w:hAnsiTheme="minorHAnsi" w:cs="Calibri"/>
        </w:rPr>
        <w:t>k a k</w:t>
      </w:r>
      <w:r w:rsidRPr="00E45723">
        <w:rPr>
          <w:rFonts w:cs="Aptos"/>
        </w:rPr>
        <w:t>ö</w:t>
      </w:r>
      <w:r w:rsidRPr="00E45723">
        <w:rPr>
          <w:rFonts w:asciiTheme="minorHAnsi" w:hAnsiTheme="minorHAnsi" w:cs="Calibri"/>
        </w:rPr>
        <w:t>zz</w:t>
      </w:r>
      <w:r w:rsidRPr="00E45723">
        <w:rPr>
          <w:rFonts w:cs="Aptos"/>
        </w:rPr>
        <w:t>é</w:t>
      </w:r>
      <w:r w:rsidRPr="00E45723">
        <w:rPr>
          <w:rFonts w:asciiTheme="minorHAnsi" w:hAnsiTheme="minorHAnsi" w:cs="Calibri"/>
        </w:rPr>
        <w:t>t</w:t>
      </w:r>
      <w:r w:rsidRPr="00E45723">
        <w:rPr>
          <w:rFonts w:cs="Aptos"/>
        </w:rPr>
        <w:t>é</w:t>
      </w:r>
      <w:r w:rsidRPr="00E45723">
        <w:rPr>
          <w:rFonts w:asciiTheme="minorHAnsi" w:hAnsiTheme="minorHAnsi" w:cs="Calibri"/>
        </w:rPr>
        <w:t>teli k</w:t>
      </w:r>
      <w:r w:rsidRPr="00E45723">
        <w:rPr>
          <w:rFonts w:cs="Aptos"/>
        </w:rPr>
        <w:t>ö</w:t>
      </w:r>
      <w:r w:rsidRPr="00E45723">
        <w:rPr>
          <w:rFonts w:asciiTheme="minorHAnsi" w:hAnsiTheme="minorHAnsi" w:cs="Calibri"/>
        </w:rPr>
        <w:t>vetelm</w:t>
      </w:r>
      <w:r w:rsidRPr="00E45723">
        <w:rPr>
          <w:rFonts w:cs="Aptos"/>
        </w:rPr>
        <w:t>é</w:t>
      </w:r>
      <w:r w:rsidRPr="00E45723">
        <w:rPr>
          <w:rFonts w:asciiTheme="minorHAnsi" w:hAnsiTheme="minorHAnsi" w:cs="Calibri"/>
        </w:rPr>
        <w:t>nyekn</w:t>
      </w:r>
      <w:r w:rsidRPr="00E45723">
        <w:rPr>
          <w:rFonts w:cs="Aptos"/>
        </w:rPr>
        <w:t>é</w:t>
      </w:r>
      <w:r w:rsidRPr="00E45723">
        <w:rPr>
          <w:rFonts w:asciiTheme="minorHAnsi" w:hAnsiTheme="minorHAnsi" w:cs="Calibri"/>
        </w:rPr>
        <w:t>l ker</w:t>
      </w:r>
      <w:r w:rsidRPr="00E45723">
        <w:rPr>
          <w:rFonts w:cs="Aptos"/>
        </w:rPr>
        <w:t>ü</w:t>
      </w:r>
      <w:r w:rsidRPr="00E45723">
        <w:rPr>
          <w:rFonts w:asciiTheme="minorHAnsi" w:hAnsiTheme="minorHAnsi" w:cs="Calibri"/>
        </w:rPr>
        <w:t>lnek bemutat</w:t>
      </w:r>
      <w:r w:rsidRPr="00E45723">
        <w:rPr>
          <w:rFonts w:cs="Aptos"/>
        </w:rPr>
        <w:t>á</w:t>
      </w:r>
      <w:r w:rsidRPr="00E45723">
        <w:rPr>
          <w:rFonts w:asciiTheme="minorHAnsi" w:hAnsiTheme="minorHAnsi" w:cs="Calibri"/>
        </w:rPr>
        <w:t>sra. A k</w:t>
      </w:r>
      <w:r w:rsidRPr="00E45723">
        <w:rPr>
          <w:rFonts w:cs="Aptos"/>
        </w:rPr>
        <w:t>ö</w:t>
      </w:r>
      <w:r w:rsidRPr="00E45723">
        <w:rPr>
          <w:rFonts w:asciiTheme="minorHAnsi" w:hAnsiTheme="minorHAnsi" w:cs="Calibri"/>
        </w:rPr>
        <w:t>vetkez</w:t>
      </w:r>
      <w:r w:rsidRPr="00E45723">
        <w:rPr>
          <w:rFonts w:cs="Aptos"/>
        </w:rPr>
        <w:t>ő</w:t>
      </w:r>
      <w:r w:rsidRPr="00E45723">
        <w:rPr>
          <w:rFonts w:asciiTheme="minorHAnsi" w:hAnsiTheme="minorHAnsi" w:cs="Calibri"/>
        </w:rPr>
        <w:t xml:space="preserve"> </w:t>
      </w:r>
      <w:r w:rsidRPr="00E45723">
        <w:rPr>
          <w:rFonts w:cs="Aptos"/>
        </w:rPr>
        <w:t>é</w:t>
      </w:r>
      <w:r w:rsidRPr="00E45723">
        <w:rPr>
          <w:rFonts w:asciiTheme="minorHAnsi" w:hAnsiTheme="minorHAnsi" w:cs="Calibri"/>
        </w:rPr>
        <w:t>vekben a C</w:t>
      </w:r>
      <w:r w:rsidRPr="00E45723">
        <w:rPr>
          <w:rFonts w:cs="Aptos"/>
        </w:rPr>
        <w:t>é</w:t>
      </w:r>
      <w:r w:rsidRPr="00E45723">
        <w:rPr>
          <w:rFonts w:asciiTheme="minorHAnsi" w:hAnsiTheme="minorHAnsi" w:cs="Calibri"/>
        </w:rPr>
        <w:t>gcsoport a sz</w:t>
      </w:r>
      <w:r w:rsidRPr="00E45723">
        <w:rPr>
          <w:rFonts w:cs="Aptos"/>
        </w:rPr>
        <w:t>á</w:t>
      </w:r>
      <w:r w:rsidRPr="00E45723">
        <w:rPr>
          <w:rFonts w:asciiTheme="minorHAnsi" w:hAnsiTheme="minorHAnsi" w:cs="Calibri"/>
        </w:rPr>
        <w:t>m</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si m</w:t>
      </w:r>
      <w:r w:rsidRPr="00E45723">
        <w:rPr>
          <w:rFonts w:cs="Aptos"/>
        </w:rPr>
        <w:t>ó</w:t>
      </w:r>
      <w:r w:rsidRPr="00E45723">
        <w:rPr>
          <w:rFonts w:asciiTheme="minorHAnsi" w:hAnsiTheme="minorHAnsi" w:cs="Calibri"/>
        </w:rPr>
        <w:t>dszertan fejleszt</w:t>
      </w:r>
      <w:r w:rsidRPr="00E45723">
        <w:rPr>
          <w:rFonts w:cs="Aptos"/>
        </w:rPr>
        <w:t>é</w:t>
      </w:r>
      <w:r w:rsidRPr="00E45723">
        <w:rPr>
          <w:rFonts w:asciiTheme="minorHAnsi" w:hAnsiTheme="minorHAnsi" w:cs="Calibri"/>
        </w:rPr>
        <w:t>s</w:t>
      </w:r>
      <w:r w:rsidRPr="00E45723">
        <w:rPr>
          <w:rFonts w:cs="Aptos"/>
        </w:rPr>
        <w:t>é</w:t>
      </w:r>
      <w:r w:rsidRPr="00E45723">
        <w:rPr>
          <w:rFonts w:asciiTheme="minorHAnsi" w:hAnsiTheme="minorHAnsi" w:cs="Calibri"/>
        </w:rPr>
        <w:t>t, a primer adatok pontos</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s</w:t>
      </w:r>
      <w:r w:rsidRPr="00E45723">
        <w:rPr>
          <w:rFonts w:cs="Aptos"/>
        </w:rPr>
        <w:t>á</w:t>
      </w:r>
      <w:r w:rsidRPr="00E45723">
        <w:rPr>
          <w:rFonts w:asciiTheme="minorHAnsi" w:hAnsiTheme="minorHAnsi" w:cs="Calibri"/>
        </w:rPr>
        <w:t xml:space="preserve">t </w:t>
      </w:r>
      <w:r w:rsidRPr="00E45723">
        <w:rPr>
          <w:rFonts w:cs="Aptos"/>
        </w:rPr>
        <w:t>é</w:t>
      </w:r>
      <w:r w:rsidRPr="00E45723">
        <w:rPr>
          <w:rFonts w:asciiTheme="minorHAnsi" w:hAnsiTheme="minorHAnsi" w:cs="Calibri"/>
        </w:rPr>
        <w:t>s a m</w:t>
      </w:r>
      <w:r w:rsidRPr="00E45723">
        <w:rPr>
          <w:rFonts w:cs="Aptos"/>
        </w:rPr>
        <w:t>é</w:t>
      </w:r>
      <w:r w:rsidRPr="00E45723">
        <w:rPr>
          <w:rFonts w:asciiTheme="minorHAnsi" w:hAnsiTheme="minorHAnsi" w:cs="Calibri"/>
        </w:rPr>
        <w:t>r</w:t>
      </w:r>
      <w:r w:rsidRPr="00E45723">
        <w:rPr>
          <w:rFonts w:cs="Aptos"/>
        </w:rPr>
        <w:t>é</w:t>
      </w:r>
      <w:r w:rsidRPr="00E45723">
        <w:rPr>
          <w:rFonts w:asciiTheme="minorHAnsi" w:hAnsiTheme="minorHAnsi" w:cs="Calibri"/>
        </w:rPr>
        <w:t>si megb</w:t>
      </w:r>
      <w:r w:rsidRPr="00E45723">
        <w:rPr>
          <w:rFonts w:cs="Aptos"/>
        </w:rPr>
        <w:t>í</w:t>
      </w:r>
      <w:r w:rsidRPr="00E45723">
        <w:rPr>
          <w:rFonts w:asciiTheme="minorHAnsi" w:hAnsiTheme="minorHAnsi" w:cs="Calibri"/>
        </w:rPr>
        <w:t>zhat</w:t>
      </w:r>
      <w:r w:rsidRPr="00E45723">
        <w:rPr>
          <w:rFonts w:cs="Aptos"/>
        </w:rPr>
        <w:t>ó</w:t>
      </w:r>
      <w:r w:rsidRPr="00E45723">
        <w:rPr>
          <w:rFonts w:asciiTheme="minorHAnsi" w:hAnsiTheme="minorHAnsi" w:cs="Calibri"/>
        </w:rPr>
        <w:t>s</w:t>
      </w:r>
      <w:r w:rsidRPr="00E45723">
        <w:rPr>
          <w:rFonts w:cs="Aptos"/>
        </w:rPr>
        <w:t>á</w:t>
      </w:r>
      <w:r w:rsidRPr="00E45723">
        <w:rPr>
          <w:rFonts w:asciiTheme="minorHAnsi" w:hAnsiTheme="minorHAnsi" w:cs="Calibri"/>
        </w:rPr>
        <w:t>g jav</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s</w:t>
      </w:r>
      <w:r w:rsidRPr="00E45723">
        <w:rPr>
          <w:rFonts w:cs="Aptos"/>
        </w:rPr>
        <w:t>á</w:t>
      </w:r>
      <w:r w:rsidRPr="00E45723">
        <w:rPr>
          <w:rFonts w:asciiTheme="minorHAnsi" w:hAnsiTheme="minorHAnsi" w:cs="Calibri"/>
        </w:rPr>
        <w:t>t tervezi.</w:t>
      </w:r>
      <w:r w:rsidRPr="00E45723">
        <w:rPr>
          <w:rFonts w:cs="Aptos"/>
        </w:rPr>
        <w:t> </w:t>
      </w:r>
    </w:p>
    <w:p w14:paraId="4AC7965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jelen jelentéstételi időszak értékelése alapján a Cégcsoport nem azonosított olyan lényeges mennyiségi mutatót vagy pénzügyi adatot, amelynél a mérési bizonytalanság olyan mértékű lenne, hogy az a fenntarthatósági információk valósághű bemutatását érdemben torzítaná. Az E1-</w:t>
      </w:r>
      <w:r w:rsidRPr="00E45723">
        <w:rPr>
          <w:rFonts w:asciiTheme="minorHAnsi" w:hAnsiTheme="minorHAnsi" w:cs="Calibri"/>
        </w:rPr>
        <w:lastRenderedPageBreak/>
        <w:t>6 közzétételi követelmény 3. körbe tartozó ÜHG kibocsátásai szükségszerűen tartalmaznak becslést. Az erre vonatkozó módszertani információk a közzétételi követelményeknél kerülnek bemutatásra.</w:t>
      </w:r>
    </w:p>
    <w:p w14:paraId="65DF453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[ESRS 2 bek. 13, 14, 15, 16.] A fenntarthatósági információk elkészítésében és bemutatásában nem történt változás az előző jelentési időszakhoz képest, mivel ez a Társaság első fenntarthatósági jelentése. Ennek megfelelően korábbi jelentési időszakok hibái sem merültek fel. A fenntarthatósági nyilatkozat nem tartalmazott más jogszabályokból vagy általánosan elfogadott fenntarthatósági jelentéstételi szabványokból származó információkat. Ugyanakkor a Társaság alkalmazta a hivatkozás útján történő beépítést: az ESRS 2 közzétételi követelményeire vonatkozó hivatkozások az üzleti jelentés IRO-2 fejezetének „ESG tartalmi index” táblázatában találhatók. </w:t>
      </w:r>
    </w:p>
    <w:p w14:paraId="416E74D8" w14:textId="77777777" w:rsidR="00BD159D" w:rsidRPr="00E45723" w:rsidRDefault="00FD7771">
      <w:pPr>
        <w:suppressAutoHyphens/>
        <w:spacing w:after="0"/>
        <w:rPr>
          <w:rFonts w:asciiTheme="minorHAnsi" w:hAnsiTheme="minorHAnsi" w:cs="Calibri"/>
        </w:rPr>
      </w:pPr>
      <w:r w:rsidRPr="00E45723">
        <w:rPr>
          <w:rFonts w:asciiTheme="minorHAnsi" w:hAnsiTheme="minorHAnsi" w:cs="Calibri"/>
        </w:rPr>
        <w:br w:type="page" w:clear="all"/>
      </w:r>
    </w:p>
    <w:p w14:paraId="4585489A" w14:textId="77777777" w:rsidR="00BD159D" w:rsidRPr="00E45723" w:rsidRDefault="00FD7771" w:rsidP="00EA3B06">
      <w:pPr>
        <w:pStyle w:val="Stlus2"/>
        <w:suppressAutoHyphens/>
        <w:rPr>
          <w:rFonts w:asciiTheme="minorHAnsi" w:hAnsiTheme="minorHAnsi" w:cs="Calibri"/>
        </w:rPr>
      </w:pPr>
      <w:bookmarkStart w:id="15" w:name="_Toc230089753"/>
      <w:bookmarkStart w:id="16" w:name="_Toc239834905"/>
      <w:r w:rsidRPr="00E45723">
        <w:rPr>
          <w:rFonts w:asciiTheme="minorHAnsi" w:hAnsiTheme="minorHAnsi" w:cs="Calibri"/>
        </w:rPr>
        <w:lastRenderedPageBreak/>
        <w:t>Fenntarthatósági irányítás és menedzsment</w:t>
      </w:r>
      <w:bookmarkEnd w:id="15"/>
      <w:bookmarkEnd w:id="16"/>
    </w:p>
    <w:p w14:paraId="253F1663" w14:textId="77777777" w:rsidR="00BD159D" w:rsidRPr="00E45723" w:rsidRDefault="00FD7771" w:rsidP="00EA3B06">
      <w:pPr>
        <w:pStyle w:val="Heading2"/>
        <w:suppressAutoHyphens/>
        <w:rPr>
          <w:rFonts w:asciiTheme="minorHAnsi" w:hAnsiTheme="minorHAnsi" w:cs="Calibri"/>
        </w:rPr>
      </w:pPr>
      <w:bookmarkStart w:id="17" w:name="_Toc239834906"/>
      <w:r w:rsidRPr="00E45723">
        <w:rPr>
          <w:rFonts w:asciiTheme="minorHAnsi" w:hAnsiTheme="minorHAnsi" w:cs="Calibri"/>
        </w:rPr>
        <w:t>GOV-1 Az ügyviteli, ügyvezetői és felügyelő testületek szerepe</w:t>
      </w:r>
      <w:bookmarkEnd w:id="17"/>
    </w:p>
    <w:p w14:paraId="004A90A9" w14:textId="2285808F"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21.,</w:t>
      </w:r>
      <w:r w:rsidRPr="00E45723">
        <w:rPr>
          <w:rFonts w:asciiTheme="minorHAnsi" w:hAnsiTheme="minorHAnsi" w:cs="Calibri"/>
          <w:color w:val="494465"/>
          <w:shd w:val="clear" w:color="auto" w:fill="FFFFFF"/>
        </w:rPr>
        <w:t xml:space="preserve"> </w:t>
      </w:r>
      <w:r w:rsidRPr="00E45723">
        <w:rPr>
          <w:rFonts w:asciiTheme="minorHAnsi" w:hAnsiTheme="minorHAnsi" w:cs="Calibri"/>
        </w:rPr>
        <w:t xml:space="preserve">ESRS 2 bek. 21. a), ESRS 2 bek. 21. b), ESRS 2 bek. 21. c), ESRS 2 bek. 22] </w:t>
      </w:r>
      <w:r w:rsidR="003D4C37" w:rsidRPr="00E45723">
        <w:rPr>
          <w:rFonts w:asciiTheme="minorHAnsi" w:hAnsiTheme="minorHAnsi" w:cs="Calibri"/>
        </w:rPr>
        <w:br/>
      </w:r>
      <w:r w:rsidRPr="00E45723">
        <w:rPr>
          <w:rFonts w:asciiTheme="minorHAnsi" w:hAnsiTheme="minorHAnsi" w:cs="Calibri"/>
        </w:rPr>
        <w:t>A vállalatcsoport irányítási rendszere olyan keretrendszerben működik, amely a hatékony, átlátható és jogszerű működést, valamint – holding struktúrában – a leányvállalatok összehangolt működését is támogatja.</w:t>
      </w:r>
    </w:p>
    <w:p w14:paraId="479C5BD1"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Irányító testületek és szerepük</w:t>
      </w:r>
    </w:p>
    <w:p w14:paraId="547B322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Társaság Szervezeti és Működési Szabályzata (továbbiakban SZMSZ) szerint a Társaság szervezete az alábbi fő elemekből áll: </w:t>
      </w:r>
      <w:r w:rsidRPr="00E45723">
        <w:rPr>
          <w:rStyle w:val="Strong"/>
          <w:rFonts w:asciiTheme="minorHAnsi" w:hAnsiTheme="minorHAnsi" w:cs="Calibri"/>
          <w:b w:val="0"/>
        </w:rPr>
        <w:t>Közgyűlés</w:t>
      </w:r>
      <w:r w:rsidRPr="00E45723">
        <w:rPr>
          <w:rFonts w:asciiTheme="minorHAnsi" w:hAnsiTheme="minorHAnsi" w:cs="Calibri"/>
          <w:b/>
        </w:rPr>
        <w:t xml:space="preserve">, </w:t>
      </w:r>
      <w:r w:rsidRPr="00E45723">
        <w:rPr>
          <w:rStyle w:val="Strong"/>
          <w:rFonts w:asciiTheme="minorHAnsi" w:hAnsiTheme="minorHAnsi" w:cs="Calibri"/>
          <w:b w:val="0"/>
        </w:rPr>
        <w:t>Vezérigazgató (Group Chief Executive Officer, GCEO)</w:t>
      </w:r>
      <w:r w:rsidRPr="00E45723">
        <w:rPr>
          <w:rFonts w:asciiTheme="minorHAnsi" w:hAnsiTheme="minorHAnsi" w:cs="Calibri"/>
          <w:b/>
        </w:rPr>
        <w:t xml:space="preserve">, </w:t>
      </w:r>
      <w:r w:rsidRPr="00E45723">
        <w:rPr>
          <w:rStyle w:val="Strong"/>
          <w:rFonts w:asciiTheme="minorHAnsi" w:hAnsiTheme="minorHAnsi" w:cs="Calibri"/>
          <w:b w:val="0"/>
        </w:rPr>
        <w:t>Executive Board (Anyavállalat legfelsőbb vezetőit tömörítő menedzsment)</w:t>
      </w:r>
      <w:r w:rsidRPr="00E45723">
        <w:rPr>
          <w:rFonts w:asciiTheme="minorHAnsi" w:hAnsiTheme="minorHAnsi" w:cs="Calibri"/>
          <w:b/>
        </w:rPr>
        <w:t xml:space="preserve">, </w:t>
      </w:r>
      <w:r w:rsidRPr="00E45723">
        <w:rPr>
          <w:rStyle w:val="Strong"/>
          <w:rFonts w:asciiTheme="minorHAnsi" w:hAnsiTheme="minorHAnsi" w:cs="Calibri"/>
          <w:b w:val="0"/>
        </w:rPr>
        <w:t>Felügyelőbizottság</w:t>
      </w:r>
      <w:r w:rsidRPr="00E45723">
        <w:rPr>
          <w:rFonts w:asciiTheme="minorHAnsi" w:hAnsiTheme="minorHAnsi" w:cs="Calibri"/>
        </w:rPr>
        <w:t xml:space="preserve">, </w:t>
      </w:r>
      <w:r w:rsidRPr="00E45723">
        <w:rPr>
          <w:rStyle w:val="Strong"/>
          <w:rFonts w:asciiTheme="minorHAnsi" w:hAnsiTheme="minorHAnsi" w:cs="Calibri"/>
          <w:b w:val="0"/>
        </w:rPr>
        <w:t>Állandó könyvvizsgáló</w:t>
      </w:r>
      <w:r w:rsidRPr="00E45723">
        <w:rPr>
          <w:rFonts w:asciiTheme="minorHAnsi" w:hAnsiTheme="minorHAnsi" w:cs="Calibri"/>
          <w:b/>
        </w:rPr>
        <w:t xml:space="preserve">, </w:t>
      </w:r>
      <w:r w:rsidRPr="00E45723">
        <w:rPr>
          <w:rFonts w:asciiTheme="minorHAnsi" w:hAnsiTheme="minorHAnsi" w:cs="Calibri"/>
        </w:rPr>
        <w:t xml:space="preserve">valamint a </w:t>
      </w:r>
      <w:r w:rsidRPr="00E45723">
        <w:rPr>
          <w:rStyle w:val="Strong"/>
          <w:rFonts w:asciiTheme="minorHAnsi" w:hAnsiTheme="minorHAnsi" w:cs="Calibri"/>
          <w:b w:val="0"/>
        </w:rPr>
        <w:t>munkaszervezet</w:t>
      </w:r>
      <w:r w:rsidRPr="00E45723">
        <w:rPr>
          <w:rFonts w:asciiTheme="minorHAnsi" w:hAnsiTheme="minorHAnsi" w:cs="Calibri"/>
        </w:rPr>
        <w:t>.</w:t>
      </w:r>
    </w:p>
    <w:p w14:paraId="153FC023"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Közgyűlés (legfőbb szerv)</w:t>
      </w:r>
    </w:p>
    <w:p w14:paraId="49BABA8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Közgyűlés a Társaság legfőbb szerve, amely minden olyan kérdésben dönt, amelyet jogszabály vagy az Alapszabály a hatáskörébe utal. A Közgyűlés többek között elfogadja a számviteli beszámolót, dönt a vezető tisztségviselők értékeléséről és felmentvényéről, megválasztja/visszahívja a Vezérigazgatót és az állandó könyvvizsgálót, továbbá megválasztja/visszahívja a Felügyelőbizottság tagjait és elnökét, valamint jóváhagyja a Felügyelőbizottság ügyrendjét. Ezzel a Közgyűlés biztosítja a stratégiai szintű tulajdonosi kontrollt és a beszámolási, ellenőrzési szereplők kijelölését.</w:t>
      </w:r>
    </w:p>
    <w:p w14:paraId="1B91E51F"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Vezérigazgató (GCEO) (ügyvezetés)</w:t>
      </w:r>
    </w:p>
    <w:p w14:paraId="470F8C3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Vezérigazgató a Társaság vezető tisztségviselője, aki mindazon döntések meghozatalára jogosult, amelyek nem tartoznak a Közgyűlés vagy más társasági szerv kizárólagos hatáskörébe, továbbá önállóan képviseli a Társaságot harmadik személyekkel, bíróságokkal és hatóságokkal szemben.</w:t>
      </w:r>
    </w:p>
    <w:p w14:paraId="3A82C511"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Vezérigazgató – többek között – </w:t>
      </w:r>
      <w:r w:rsidRPr="00E45723">
        <w:rPr>
          <w:rStyle w:val="Strong"/>
          <w:rFonts w:asciiTheme="minorHAnsi" w:hAnsiTheme="minorHAnsi" w:cs="Calibri"/>
          <w:b w:val="0"/>
        </w:rPr>
        <w:t>kialakítja és működteti a Társaság munkaszervezetét, a kockázatkezelési rendszert</w:t>
      </w:r>
      <w:r w:rsidRPr="00E45723">
        <w:rPr>
          <w:rFonts w:asciiTheme="minorHAnsi" w:hAnsiTheme="minorHAnsi" w:cs="Calibri"/>
          <w:b/>
        </w:rPr>
        <w:t xml:space="preserve">, </w:t>
      </w:r>
      <w:r w:rsidRPr="00E45723">
        <w:rPr>
          <w:rFonts w:asciiTheme="minorHAnsi" w:hAnsiTheme="minorHAnsi" w:cs="Calibri"/>
        </w:rPr>
        <w:t>valamint</w:t>
      </w:r>
      <w:r w:rsidRPr="00E45723">
        <w:rPr>
          <w:rFonts w:asciiTheme="minorHAnsi" w:hAnsiTheme="minorHAnsi" w:cs="Calibri"/>
          <w:b/>
        </w:rPr>
        <w:t xml:space="preserve"> </w:t>
      </w:r>
      <w:r w:rsidRPr="00E45723">
        <w:rPr>
          <w:rStyle w:val="Strong"/>
          <w:rFonts w:asciiTheme="minorHAnsi" w:hAnsiTheme="minorHAnsi" w:cs="Calibri"/>
          <w:b w:val="0"/>
        </w:rPr>
        <w:t>kialakítja és működteti a belső ellenőrzési mechanizmust</w:t>
      </w:r>
      <w:r w:rsidRPr="00E45723">
        <w:rPr>
          <w:rFonts w:asciiTheme="minorHAnsi" w:hAnsiTheme="minorHAnsi" w:cs="Calibri"/>
          <w:b/>
        </w:rPr>
        <w:t>;</w:t>
      </w:r>
      <w:r w:rsidRPr="00E45723">
        <w:rPr>
          <w:rFonts w:asciiTheme="minorHAnsi" w:hAnsiTheme="minorHAnsi" w:cs="Calibri"/>
        </w:rPr>
        <w:t xml:space="preserve"> továbbá a munkaszervezetet irányítja és felügyeli. A Vezérigazgató az operatív működés során biztosítja a szervezeti egységek jogszerű és hatékony működését és a stratégiai célok megvalósulását, továbbá kijelöli az illetékes szervezeti egységet, ha az SZMSZ alapján az nem egyértelmű.</w:t>
      </w:r>
    </w:p>
    <w:p w14:paraId="45CEE1A9"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Felügyelőbizottság (felügyelet)</w:t>
      </w:r>
    </w:p>
    <w:p w14:paraId="2CB3EAF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Felügyelőbizottság a részvényesi érdekek megóvása céljából </w:t>
      </w:r>
      <w:r w:rsidRPr="00E45723">
        <w:rPr>
          <w:rStyle w:val="Strong"/>
          <w:rFonts w:asciiTheme="minorHAnsi" w:hAnsiTheme="minorHAnsi" w:cs="Calibri"/>
          <w:b w:val="0"/>
        </w:rPr>
        <w:t>ellenőrzi a Társaság ügyvezetését</w:t>
      </w:r>
      <w:r w:rsidRPr="00E45723">
        <w:rPr>
          <w:rFonts w:asciiTheme="minorHAnsi" w:hAnsiTheme="minorHAnsi" w:cs="Calibri"/>
        </w:rPr>
        <w:t>, három tagból áll, tagjait és elnökét a Közgyűlés választja.</w:t>
      </w:r>
    </w:p>
    <w:p w14:paraId="0D4A902E" w14:textId="77CF4854"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Ellenőrzési jogkörei kiterjednek arra, hogy a Társaság irataiba, számviteli nyilvántartásaiba és könyveibe betekintsen, felvilágosítást kérjen, illetve a pénztárt, számlákat, állományokat és szerződéseket megvizsgálja (akár szakértő bevonásával is).</w:t>
      </w:r>
    </w:p>
    <w:p w14:paraId="0089E4E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Felügyelőbizottság a Társaság szabályszerű és hatékony működésének ellenőrzésének keretében külön figyelemmel kíséri a belső kontrollrendszerek (compliance, belső ellenőrzés, kockázatkezelés, ISO-audit, HSE-vizsgálatok) működését és annak hatékonyságát, erre vonatkozóan közvetlenül éves, vagy kérésre negyed/féléves jelentéseket kap. </w:t>
      </w:r>
    </w:p>
    <w:p w14:paraId="451ED0CD"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Állandó könyvvizsgáló (független kontroll)</w:t>
      </w:r>
    </w:p>
    <w:p w14:paraId="4A3D175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részvénytársasági formából fakadóan állandó könyvvizsgáló működik; megválasztása és visszahívása a Közgyűlés hatásköre. Feladata, hogy a könyvvizsgálat alapján független jelentésben </w:t>
      </w:r>
      <w:r w:rsidRPr="00E45723">
        <w:rPr>
          <w:rFonts w:asciiTheme="minorHAnsi" w:hAnsiTheme="minorHAnsi" w:cs="Calibri"/>
        </w:rPr>
        <w:lastRenderedPageBreak/>
        <w:t>nyilatkozzon arról, hogy a Társaság beszámolója megfelel-e a jogszabályoknak és megbízható, valós képet ad-e a vagyoni, pénzügyi és jövedelmi helyzetről.</w:t>
      </w:r>
    </w:p>
    <w:p w14:paraId="24B68715"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Executive Board (operatív menedzsment)</w:t>
      </w:r>
    </w:p>
    <w:p w14:paraId="0968F5D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Executive Board a Társaság döntéselőkészítő, javaslattevő és a napi irányítás szintjén döntéshozó szerve; a Társaságot és leányvállalatait érintő lényeges kérdésekben előzetes egyeztetési és/vagy döntési funkciót lát el. Vezetője a Vezérigazgató.</w:t>
      </w:r>
    </w:p>
    <w:p w14:paraId="1AACF2D5" w14:textId="77777777" w:rsidR="00BD159D" w:rsidRPr="00E45723" w:rsidRDefault="00FD7771" w:rsidP="00EA3B06">
      <w:pPr>
        <w:pStyle w:val="BodyText"/>
        <w:rPr>
          <w:rFonts w:asciiTheme="minorHAnsi" w:hAnsiTheme="minorHAnsi" w:cs="Calibri"/>
          <w:b/>
          <w:bCs/>
        </w:rPr>
      </w:pPr>
      <w:r w:rsidRPr="00E45723">
        <w:rPr>
          <w:rFonts w:asciiTheme="minorHAnsi" w:hAnsiTheme="minorHAnsi" w:cs="Calibri"/>
        </w:rPr>
        <w:t xml:space="preserve">A fenntarthatósági (ESG) témák irányítási beágyazottsága szempontjából kiemelt, hogy az Executive Board feladatkörei között szerepel </w:t>
      </w:r>
      <w:r w:rsidRPr="00E45723">
        <w:rPr>
          <w:rStyle w:val="Strong"/>
          <w:rFonts w:asciiTheme="minorHAnsi" w:hAnsiTheme="minorHAnsi" w:cs="Calibri"/>
          <w:b w:val="0"/>
          <w:bCs w:val="0"/>
        </w:rPr>
        <w:t>a kockázatkezelésre, compliance-re, belső ellenőrzésre, belső auditra és HSE területre vonatkozó időszakos beszámolók és jelentések megtárgyalása, valamint intézkedési (ellenőrzési) tervek elfogadása</w:t>
      </w:r>
      <w:r w:rsidRPr="00E45723">
        <w:rPr>
          <w:rFonts w:asciiTheme="minorHAnsi" w:hAnsiTheme="minorHAnsi" w:cs="Calibri"/>
          <w:b/>
          <w:bCs/>
        </w:rPr>
        <w:t>.</w:t>
      </w:r>
    </w:p>
    <w:p w14:paraId="77EC9D2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Ez a fórum biztosítja, hogy az ESG-hez kapcsolódó működési témák (pl. megfelelés, munkabiztonság/egészségvédelem, kontrollok) felsővezetői szinten rendszeresen napirendre kerüljenek és intézkedési döntések születhessenek.</w:t>
      </w:r>
    </w:p>
    <w:p w14:paraId="4B56082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[ESRS 2 bek. 21. c)] Az SZMSZ a testületi összetételt és feladatmegosztást úgy rögzíti, hogy az </w:t>
      </w:r>
      <w:r w:rsidRPr="00E45723">
        <w:rPr>
          <w:rStyle w:val="Strong"/>
          <w:rFonts w:asciiTheme="minorHAnsi" w:hAnsiTheme="minorHAnsi" w:cs="Calibri"/>
        </w:rPr>
        <w:t>Executive Board</w:t>
      </w:r>
      <w:r w:rsidRPr="00E45723">
        <w:rPr>
          <w:rFonts w:asciiTheme="minorHAnsi" w:hAnsiTheme="minorHAnsi" w:cs="Calibri"/>
        </w:rPr>
        <w:t xml:space="preserve"> állandó tagjai egyben csoportszintű, funkcionális vezetők (GCFO, GCOO, GCTO, GCHRO, GCCO, GCSO), ami biztosítja, hogy a testület </w:t>
      </w:r>
      <w:r w:rsidRPr="00E45723">
        <w:rPr>
          <w:rStyle w:val="Strong"/>
          <w:rFonts w:asciiTheme="minorHAnsi" w:hAnsiTheme="minorHAnsi" w:cs="Calibri"/>
        </w:rPr>
        <w:t>a Cégcsoport fő tevékenységi területeihez („ágazataihoz”), szolgáltatásaihoz/megoldásaihoz („termékeihez”) és több piacon zajló működéséhez</w:t>
      </w:r>
      <w:r w:rsidRPr="00E45723">
        <w:rPr>
          <w:rFonts w:asciiTheme="minorHAnsi" w:hAnsiTheme="minorHAnsi" w:cs="Calibri"/>
        </w:rPr>
        <w:t xml:space="preserve"> kapcsolódó irányítási tapasztalatokkal lefedetten működjön.</w:t>
      </w:r>
    </w:p>
    <w:p w14:paraId="3E84C845"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Ágazati/tevékenységi és „termék/szolgáltatás” tapasztalatok lefedése:</w:t>
      </w:r>
      <w:r w:rsidRPr="00E45723">
        <w:rPr>
          <w:rFonts w:asciiTheme="minorHAnsi" w:hAnsiTheme="minorHAnsi" w:cs="Calibri"/>
        </w:rPr>
        <w:t xml:space="preserve"> a felsővezetés és a hozzájuk rendelt területek között megjelennek többek között az operáció és megvalósítás, központi beszerzés, üzletfejlesztés, értékesítés, technológia (K+F), higiéniai terület, IoT és digitális megoldások, valamint robot- és takarítógép-üzemeltetés, illetve a Corporate Centeren belül az Ethics &amp; ESG és a QHSE &amp; risk funkciók.</w:t>
      </w:r>
    </w:p>
    <w:p w14:paraId="0703C6B4"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Földrajzi lefedettséghez kapcsolódó tapasztalat:</w:t>
      </w:r>
      <w:r w:rsidRPr="00E45723">
        <w:rPr>
          <w:rFonts w:asciiTheme="minorHAnsi" w:hAnsiTheme="minorHAnsi" w:cs="Calibri"/>
        </w:rPr>
        <w:t xml:space="preserve"> holding működésben az Executive Board tagjai </w:t>
      </w:r>
      <w:r w:rsidRPr="00E45723">
        <w:rPr>
          <w:rStyle w:val="Strong"/>
          <w:rFonts w:asciiTheme="minorHAnsi" w:hAnsiTheme="minorHAnsi" w:cs="Calibri"/>
          <w:b w:val="0"/>
        </w:rPr>
        <w:t>leányvállalati szakterületek felett</w:t>
      </w:r>
      <w:r w:rsidRPr="00E45723">
        <w:rPr>
          <w:rFonts w:asciiTheme="minorHAnsi" w:hAnsiTheme="minorHAnsi" w:cs="Calibri"/>
          <w:b/>
        </w:rPr>
        <w:t xml:space="preserve"> </w:t>
      </w:r>
      <w:r w:rsidRPr="00E45723">
        <w:rPr>
          <w:rFonts w:asciiTheme="minorHAnsi" w:hAnsiTheme="minorHAnsi" w:cs="Calibri"/>
        </w:rPr>
        <w:t>gyakorolnak stratégiai (szakterületi) irányítást, egységes szabályzatokat és riportálási rendszereket alakítanak ki, valamint a leányvállalati jelentések alapján értékelik a működést és a kockázatokat.</w:t>
      </w:r>
    </w:p>
    <w:p w14:paraId="36EA8D61"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Executive Board tagok teljes száma: 7,00 </w:t>
      </w:r>
    </w:p>
    <w:p w14:paraId="5F3E9F99"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Vezető tagok száma: 7,00 </w:t>
      </w:r>
    </w:p>
    <w:p w14:paraId="007D96DD"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Nem ügyvezető tagok száma: 0,00</w:t>
      </w:r>
    </w:p>
    <w:p w14:paraId="6D114D7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Női tagok száma: 2,00 </w:t>
      </w:r>
    </w:p>
    <w:p w14:paraId="4BD4A186"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Férfi tagok száma: 5,00 </w:t>
      </w:r>
    </w:p>
    <w:p w14:paraId="37455CF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igazgatótanács nemi sokszínűségi aránya: 40,00 %</w:t>
      </w:r>
    </w:p>
    <w:p w14:paraId="7B0CF813"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Független igazgatósági tagok száma: 0,00 </w:t>
      </w:r>
    </w:p>
    <w:p w14:paraId="3B95EA83"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Az alkalmazottakat és munkavállalókat nem képviseli külön személy. </w:t>
      </w:r>
    </w:p>
    <w:p w14:paraId="53834391" w14:textId="77777777" w:rsidR="00BD159D" w:rsidRPr="00E45723" w:rsidRDefault="00FD7771" w:rsidP="00EA3B06">
      <w:pPr>
        <w:pStyle w:val="BodyText"/>
        <w:suppressAutoHyphens/>
        <w:rPr>
          <w:rStyle w:val="Strong"/>
          <w:rFonts w:asciiTheme="minorHAnsi" w:hAnsiTheme="minorHAnsi" w:cs="Calibri"/>
        </w:rPr>
      </w:pPr>
      <w:r w:rsidRPr="00E45723">
        <w:rPr>
          <w:rStyle w:val="Strong"/>
          <w:rFonts w:asciiTheme="minorHAnsi" w:hAnsiTheme="minorHAnsi" w:cs="Calibri"/>
        </w:rPr>
        <w:t>ESG irányítás a szervezetben</w:t>
      </w:r>
    </w:p>
    <w:p w14:paraId="6DC3E12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[ESRS 2 bek. 22.] A fenntarthatósági </w:t>
      </w:r>
      <w:r w:rsidRPr="00E45723">
        <w:rPr>
          <w:rStyle w:val="Strong"/>
          <w:rFonts w:asciiTheme="minorHAnsi" w:hAnsiTheme="minorHAnsi" w:cs="Calibri"/>
          <w:b w:val="0"/>
        </w:rPr>
        <w:t>hatások, kockázatok és lehetőségek</w:t>
      </w:r>
      <w:r w:rsidRPr="00E45723">
        <w:rPr>
          <w:rFonts w:asciiTheme="minorHAnsi" w:hAnsiTheme="minorHAnsi" w:cs="Calibri"/>
        </w:rPr>
        <w:t xml:space="preserve"> (IRO) felügyelete a testületi működésben elsődlegesen a </w:t>
      </w:r>
      <w:r w:rsidRPr="00E45723">
        <w:rPr>
          <w:rStyle w:val="Strong"/>
          <w:rFonts w:asciiTheme="minorHAnsi" w:hAnsiTheme="minorHAnsi" w:cs="Calibri"/>
          <w:b w:val="0"/>
        </w:rPr>
        <w:t>Vezérigazgatóhoz</w:t>
      </w:r>
      <w:r w:rsidRPr="00E45723">
        <w:rPr>
          <w:rFonts w:asciiTheme="minorHAnsi" w:hAnsiTheme="minorHAnsi" w:cs="Calibri"/>
        </w:rPr>
        <w:t xml:space="preserve"> és az általa vezetett </w:t>
      </w:r>
      <w:r w:rsidRPr="00E45723">
        <w:rPr>
          <w:rStyle w:val="Strong"/>
          <w:rFonts w:asciiTheme="minorHAnsi" w:hAnsiTheme="minorHAnsi" w:cs="Calibri"/>
          <w:b w:val="0"/>
        </w:rPr>
        <w:t>Executive Boardhoz</w:t>
      </w:r>
      <w:r w:rsidRPr="00E45723">
        <w:rPr>
          <w:rFonts w:asciiTheme="minorHAnsi" w:hAnsiTheme="minorHAnsi" w:cs="Calibri"/>
        </w:rPr>
        <w:t xml:space="preserve"> kötődik: az Executive Board vezetője a Vezérigazgató, állandó tagjai felsővezetők (pl. GCFO, </w:t>
      </w:r>
      <w:r w:rsidRPr="00E45723">
        <w:rPr>
          <w:rFonts w:asciiTheme="minorHAnsi" w:hAnsiTheme="minorHAnsi" w:cs="Calibri"/>
        </w:rPr>
        <w:lastRenderedPageBreak/>
        <w:t xml:space="preserve">GCOO, GCTO, GCHRO, GCC vezető, GCSO). Az Executive Board napirendi feladatai között kifejezetten szerepel a </w:t>
      </w:r>
      <w:r w:rsidRPr="00E45723">
        <w:rPr>
          <w:rStyle w:val="Strong"/>
          <w:rFonts w:asciiTheme="minorHAnsi" w:hAnsiTheme="minorHAnsi" w:cs="Calibri"/>
          <w:b w:val="0"/>
        </w:rPr>
        <w:t>kockázatkezelés, compliance, belső ellenőrzés, belső audit és HSE</w:t>
      </w:r>
      <w:r w:rsidRPr="00E45723">
        <w:rPr>
          <w:rFonts w:asciiTheme="minorHAnsi" w:hAnsiTheme="minorHAnsi" w:cs="Calibri"/>
        </w:rPr>
        <w:t xml:space="preserve"> területekre vonatkozó időszakos beszámolók/jelentések megtárgyalása és </w:t>
      </w:r>
      <w:r w:rsidRPr="00E45723">
        <w:rPr>
          <w:rStyle w:val="Strong"/>
          <w:rFonts w:asciiTheme="minorHAnsi" w:hAnsiTheme="minorHAnsi" w:cs="Calibri"/>
          <w:b w:val="0"/>
        </w:rPr>
        <w:t>intézkedési tervek elfogadása</w:t>
      </w:r>
      <w:r w:rsidRPr="00E45723">
        <w:rPr>
          <w:rFonts w:asciiTheme="minorHAnsi" w:hAnsiTheme="minorHAnsi" w:cs="Calibri"/>
        </w:rPr>
        <w:t>, így ezen belül az IRO-k felügyelete.</w:t>
      </w:r>
    </w:p>
    <w:p w14:paraId="0EA255F0"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 xml:space="preserve">A </w:t>
      </w:r>
      <w:r w:rsidRPr="00E45723">
        <w:rPr>
          <w:rStyle w:val="Strong"/>
          <w:rFonts w:asciiTheme="minorHAnsi" w:hAnsiTheme="minorHAnsi" w:cs="Calibri"/>
          <w:b w:val="0"/>
        </w:rPr>
        <w:t>felügyelő</w:t>
      </w:r>
      <w:r w:rsidRPr="00E45723">
        <w:rPr>
          <w:rFonts w:asciiTheme="minorHAnsi" w:hAnsiTheme="minorHAnsi" w:cs="Calibri"/>
        </w:rPr>
        <w:t xml:space="preserve"> (kontroll) oldal kulcsszereplője a </w:t>
      </w:r>
      <w:r w:rsidRPr="00E45723">
        <w:rPr>
          <w:rStyle w:val="Strong"/>
          <w:rFonts w:asciiTheme="minorHAnsi" w:hAnsiTheme="minorHAnsi" w:cs="Calibri"/>
          <w:b w:val="0"/>
        </w:rPr>
        <w:t>Felügyelőbizottság</w:t>
      </w:r>
      <w:r w:rsidRPr="00E45723">
        <w:rPr>
          <w:rFonts w:asciiTheme="minorHAnsi" w:hAnsiTheme="minorHAnsi" w:cs="Calibri"/>
        </w:rPr>
        <w:t xml:space="preserve">, amely felé a megfelelőségi (compliance) funkció közvetlen jelentési kötelezettséggel bír: a </w:t>
      </w:r>
      <w:r w:rsidRPr="00E45723">
        <w:rPr>
          <w:rStyle w:val="Strong"/>
          <w:rFonts w:asciiTheme="minorHAnsi" w:hAnsiTheme="minorHAnsi" w:cs="Calibri"/>
          <w:b w:val="0"/>
        </w:rPr>
        <w:t>Compliance department</w:t>
      </w:r>
      <w:r w:rsidRPr="00E45723">
        <w:rPr>
          <w:rFonts w:asciiTheme="minorHAnsi" w:hAnsiTheme="minorHAnsi" w:cs="Calibri"/>
        </w:rPr>
        <w:t xml:space="preserve"> – vezetője a </w:t>
      </w:r>
      <w:r w:rsidRPr="00E45723">
        <w:rPr>
          <w:rStyle w:val="Strong"/>
          <w:rFonts w:asciiTheme="minorHAnsi" w:hAnsiTheme="minorHAnsi" w:cs="Calibri"/>
          <w:b w:val="0"/>
        </w:rPr>
        <w:t>Group head of Compliance</w:t>
      </w:r>
      <w:r w:rsidRPr="00E45723">
        <w:rPr>
          <w:rFonts w:asciiTheme="minorHAnsi" w:hAnsiTheme="minorHAnsi" w:cs="Calibri"/>
        </w:rPr>
        <w:t xml:space="preserve"> – az SZMSZ szerint közvetlenül a Vezérigazgató irányítása alá tartozik, és </w:t>
      </w:r>
      <w:r w:rsidRPr="00E45723">
        <w:rPr>
          <w:rStyle w:val="Strong"/>
          <w:rFonts w:asciiTheme="minorHAnsi" w:hAnsiTheme="minorHAnsi" w:cs="Calibri"/>
          <w:b w:val="0"/>
        </w:rPr>
        <w:t>közvetlenül a Vezérigazgatónak és a Felügyelőbizottságnak jelent</w:t>
      </w:r>
      <w:r w:rsidRPr="00E45723">
        <w:rPr>
          <w:rFonts w:asciiTheme="minorHAnsi" w:hAnsiTheme="minorHAnsi" w:cs="Calibri"/>
        </w:rPr>
        <w:t>.</w:t>
      </w:r>
    </w:p>
    <w:p w14:paraId="04C7A2E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IRO-k szakmai előkészítéséért és a fenntarthatósági jelentéstételért a munkaszervezetben dedikált szereplők felelnek, különösen:</w:t>
      </w:r>
    </w:p>
    <w:p w14:paraId="79C0E256"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Ethics &amp; ESG department</w:t>
      </w:r>
      <w:r w:rsidRPr="00E45723">
        <w:rPr>
          <w:rFonts w:asciiTheme="minorHAnsi" w:hAnsiTheme="minorHAnsi" w:cs="Calibri"/>
        </w:rPr>
        <w:t xml:space="preserve">: elkészíti és felülvizsgálja az ESG stratégiát, ESG kockázatelemzéseket végez és működteti az ESG kockázatkezelési rendszert, elvégzi a lényegességi elemzéseket, valamint az érintett egységek bevonásával elkészíti az éves ESG beszámolót és fenntarthatósági jelentést, közreműködik a LIWO Group magyar vállalatait érintő ESG-beszámoló előkészítésében, beszállítói átvilágítás kezelésében. </w:t>
      </w:r>
    </w:p>
    <w:p w14:paraId="77B7F17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corporate governance keretében biztosítja továbbá az Etikai Kódex összhangját az ESG elvárásokkal, adatot gyűjt az etikai elvek gyakorlati érvényesüléséről, és javaslatot tehet az ESG elvek vezetői premizálásba történő beépítésére.</w:t>
      </w:r>
    </w:p>
    <w:p w14:paraId="66B6E4DA" w14:textId="77777777" w:rsidR="00BD159D" w:rsidRPr="00E45723" w:rsidRDefault="00FD7771">
      <w:pPr>
        <w:suppressAutoHyphens/>
        <w:spacing w:after="160"/>
        <w:rPr>
          <w:rFonts w:asciiTheme="minorHAnsi" w:hAnsiTheme="minorHAnsi" w:cs="Calibri"/>
        </w:rPr>
      </w:pPr>
      <w:r w:rsidRPr="00E45723">
        <w:rPr>
          <w:rStyle w:val="Strong"/>
          <w:rFonts w:asciiTheme="minorHAnsi" w:hAnsiTheme="minorHAnsi" w:cs="Calibri"/>
        </w:rPr>
        <w:t>Group QHSE &amp; Risk management department</w:t>
      </w:r>
      <w:r w:rsidRPr="00E45723">
        <w:rPr>
          <w:rFonts w:asciiTheme="minorHAnsi" w:hAnsiTheme="minorHAnsi" w:cs="Calibri"/>
        </w:rPr>
        <w:t xml:space="preserve"> (vezető: </w:t>
      </w:r>
      <w:r w:rsidRPr="00E45723">
        <w:rPr>
          <w:rStyle w:val="Strong"/>
          <w:rFonts w:asciiTheme="minorHAnsi" w:hAnsiTheme="minorHAnsi" w:cs="Calibri"/>
          <w:b w:val="0"/>
        </w:rPr>
        <w:t>Group head of QHSE and risk</w:t>
      </w:r>
      <w:r w:rsidRPr="00E45723">
        <w:rPr>
          <w:rFonts w:asciiTheme="minorHAnsi" w:hAnsiTheme="minorHAnsi" w:cs="Calibri"/>
        </w:rPr>
        <w:t>) – a HSE és kapcsolódó kockázatok szakmai kezelése.</w:t>
      </w:r>
    </w:p>
    <w:p w14:paraId="117666D3" w14:textId="77777777" w:rsidR="00BD159D" w:rsidRPr="00E45723" w:rsidRDefault="00FD7771">
      <w:pPr>
        <w:spacing w:after="160"/>
        <w:rPr>
          <w:rFonts w:asciiTheme="minorHAnsi" w:hAnsiTheme="minorHAnsi" w:cs="Calibri"/>
        </w:rPr>
      </w:pPr>
      <w:r w:rsidRPr="00E45723">
        <w:rPr>
          <w:rStyle w:val="Strong"/>
          <w:rFonts w:asciiTheme="minorHAnsi" w:hAnsiTheme="minorHAnsi" w:cs="Calibri"/>
        </w:rPr>
        <w:t>Compliance department</w:t>
      </w:r>
      <w:r w:rsidRPr="00E45723">
        <w:rPr>
          <w:rFonts w:asciiTheme="minorHAnsi" w:hAnsiTheme="minorHAnsi" w:cs="Calibri"/>
        </w:rPr>
        <w:t xml:space="preserve">: a belső kontrollrendszer részeként biztosítja a jogszabályoknak, belső szabályzatoknak és etikai normáknak való megfelelést. Stratégiai szerepet tölt be a kockázatok felismerésében és kezelésében, és az SZMSZ szerint a többi szakterülettől függetlenül </w:t>
      </w:r>
      <w:r w:rsidRPr="00E45723">
        <w:rPr>
          <w:rStyle w:val="Strong"/>
          <w:rFonts w:asciiTheme="minorHAnsi" w:hAnsiTheme="minorHAnsi" w:cs="Calibri"/>
          <w:b w:val="0"/>
        </w:rPr>
        <w:t>közvetlenül a Vezérigazgató irányítása alá tartozik</w:t>
      </w:r>
      <w:r w:rsidRPr="00E45723">
        <w:rPr>
          <w:rFonts w:asciiTheme="minorHAnsi" w:hAnsiTheme="minorHAnsi" w:cs="Calibri"/>
          <w:b/>
        </w:rPr>
        <w:t>,</w:t>
      </w:r>
      <w:r w:rsidRPr="00E45723">
        <w:rPr>
          <w:rFonts w:asciiTheme="minorHAnsi" w:hAnsiTheme="minorHAnsi" w:cs="Calibri"/>
        </w:rPr>
        <w:t xml:space="preserve"> valamint </w:t>
      </w:r>
      <w:r w:rsidRPr="00E45723">
        <w:rPr>
          <w:rStyle w:val="Strong"/>
          <w:rFonts w:asciiTheme="minorHAnsi" w:hAnsiTheme="minorHAnsi" w:cs="Calibri"/>
          <w:b w:val="0"/>
        </w:rPr>
        <w:t>a Vezérigazgatónak és a Felügyelőbizottságnak jelent</w:t>
      </w:r>
      <w:r w:rsidRPr="00E45723">
        <w:rPr>
          <w:rFonts w:asciiTheme="minorHAnsi" w:hAnsiTheme="minorHAnsi" w:cs="Calibri"/>
        </w:rPr>
        <w:t xml:space="preserve"> (beleértve a megfelelőségi szabályok megsértésének jelentését).</w:t>
      </w:r>
    </w:p>
    <w:p w14:paraId="06536826" w14:textId="77777777" w:rsidR="00BD159D" w:rsidRPr="00E45723" w:rsidRDefault="00FD7771">
      <w:pPr>
        <w:suppressAutoHyphens/>
        <w:spacing w:after="160"/>
        <w:rPr>
          <w:rFonts w:asciiTheme="minorHAnsi" w:hAnsiTheme="minorHAnsi" w:cs="Calibri"/>
        </w:rPr>
      </w:pPr>
      <w:r w:rsidRPr="00E45723">
        <w:rPr>
          <w:rFonts w:asciiTheme="minorHAnsi" w:hAnsiTheme="minorHAnsi" w:cs="Calibri"/>
        </w:rPr>
        <w:t>A compliance működéshez kapcsolódik a belső integritási/visszaélési kockázatok kezelése is (pl. bejelentések fogadása, kivizsgálása, bejelentővédelem, rendszeres beszámolás).</w:t>
      </w:r>
    </w:p>
    <w:p w14:paraId="48CF35D2" w14:textId="77777777" w:rsidR="00BD159D" w:rsidRPr="00E45723" w:rsidRDefault="00FD7771">
      <w:pPr>
        <w:suppressAutoHyphens/>
        <w:spacing w:after="160"/>
        <w:rPr>
          <w:rFonts w:asciiTheme="minorHAnsi" w:hAnsiTheme="minorHAnsi" w:cs="Calibri"/>
        </w:rPr>
      </w:pPr>
      <w:r w:rsidRPr="00E45723">
        <w:rPr>
          <w:rStyle w:val="Strong"/>
          <w:rFonts w:asciiTheme="minorHAnsi" w:hAnsiTheme="minorHAnsi" w:cs="Calibri"/>
        </w:rPr>
        <w:t>Belső ellenőrzés</w:t>
      </w:r>
      <w:r w:rsidRPr="00E45723">
        <w:rPr>
          <w:rFonts w:asciiTheme="minorHAnsi" w:hAnsiTheme="minorHAnsi" w:cs="Calibri"/>
        </w:rPr>
        <w:t xml:space="preserve"> szervezet létrehozását az SZMSZ előírja, a kialakítása a következő jelentéstételi időszakban várható.</w:t>
      </w:r>
    </w:p>
    <w:p w14:paraId="5050A616" w14:textId="77777777" w:rsidR="00BD159D" w:rsidRPr="00E45723" w:rsidRDefault="00FD7771">
      <w:pPr>
        <w:spacing w:after="160"/>
        <w:rPr>
          <w:rFonts w:asciiTheme="minorHAnsi" w:hAnsiTheme="minorHAnsi" w:cs="Calibri"/>
          <w14:ligatures w14:val="standardContextual"/>
        </w:rPr>
      </w:pPr>
      <w:r w:rsidRPr="00E45723">
        <w:rPr>
          <w:rStyle w:val="Strong"/>
          <w:rFonts w:asciiTheme="minorHAnsi" w:hAnsiTheme="minorHAnsi" w:cs="Calibri"/>
        </w:rPr>
        <w:t>Etikai Bizottság</w:t>
      </w:r>
      <w:r w:rsidRPr="00E45723">
        <w:rPr>
          <w:rFonts w:asciiTheme="minorHAnsi" w:hAnsiTheme="minorHAnsi" w:cs="Calibri"/>
        </w:rPr>
        <w:t xml:space="preserve">: a bizottság jellegéből adódóan egyelőre a magyarországi munkavállalók többségét foglalkoztató B+N Magyarország Kft. szintjén került kialakítása. Feladata az etikai normák szerinti működés támogatása, iránymutatások kiadása, valamint az Etikai Kódex megsértésével kapcsolatos bejelentések kivizsgálása és a szükséges intézkedésekre javaslattétel. Elnöke a </w:t>
      </w:r>
      <w:r w:rsidRPr="00E45723">
        <w:rPr>
          <w:rStyle w:val="Strong"/>
          <w:rFonts w:asciiTheme="minorHAnsi" w:hAnsiTheme="minorHAnsi" w:cs="Calibri"/>
          <w:b w:val="0"/>
          <w:bCs w:val="0"/>
        </w:rPr>
        <w:t>Group CHRO</w:t>
      </w:r>
      <w:r w:rsidRPr="00E45723">
        <w:rPr>
          <w:rFonts w:asciiTheme="minorHAnsi" w:hAnsiTheme="minorHAnsi" w:cs="Calibri"/>
          <w14:ligatures w14:val="standardContextual"/>
        </w:rPr>
        <w:t xml:space="preserve">. </w:t>
      </w:r>
    </w:p>
    <w:p w14:paraId="410069F1" w14:textId="77777777" w:rsidR="00BD159D" w:rsidRPr="00E45723" w:rsidRDefault="00FD7771">
      <w:pPr>
        <w:suppressAutoHyphens/>
        <w:spacing w:after="160"/>
        <w:rPr>
          <w:rFonts w:asciiTheme="minorHAnsi" w:hAnsiTheme="minorHAnsi" w:cs="Calibri"/>
        </w:rPr>
      </w:pPr>
      <w:r w:rsidRPr="00E45723">
        <w:rPr>
          <w:rFonts w:asciiTheme="minorHAnsi" w:hAnsiTheme="minorHAnsi" w:cs="Calibri"/>
        </w:rPr>
        <w:t>Az ESG/fenntarthatósági feladatokat a tagvállalatok eltérő szervezeti keretek között kezelik, a fenntarthatóság egyes területeiért a szakterületek felelősek. A tagvállalatok körében éves monitoring keretében adatgyűjtéssel ellenőrzik a hatások, kockázatok és lehetőségek kezelését.</w:t>
      </w:r>
    </w:p>
    <w:p w14:paraId="6D50268B" w14:textId="367A5E01" w:rsidR="00BD159D" w:rsidRPr="00E45723" w:rsidRDefault="00FD7771" w:rsidP="00086AFB">
      <w:pPr>
        <w:pStyle w:val="BodyText"/>
        <w:suppressAutoHyphens/>
        <w:rPr>
          <w:rFonts w:asciiTheme="minorHAnsi" w:hAnsiTheme="minorHAnsi"/>
        </w:rPr>
      </w:pPr>
      <w:r w:rsidRPr="00E45723">
        <w:rPr>
          <w:rFonts w:asciiTheme="minorHAnsi" w:hAnsiTheme="minorHAnsi" w:cs="Calibri"/>
        </w:rPr>
        <w:t xml:space="preserve">[ESRS 2 bek. 22. b), ESRS 2 bek. 22. c)] A Társaságnál az ESG-vel összefüggő hatások, kockázatok és lehetőségek (IRO-k) felügyeletéhez és kezeléséhez rendelt felelősségek </w:t>
      </w:r>
      <w:r w:rsidRPr="00E45723">
        <w:rPr>
          <w:rStyle w:val="Strong"/>
          <w:rFonts w:asciiTheme="minorHAnsi" w:hAnsiTheme="minorHAnsi" w:cs="Calibri"/>
          <w:b w:val="0"/>
        </w:rPr>
        <w:t>több, egymásra épülő vállalatirányítási dokumentumban</w:t>
      </w:r>
      <w:r w:rsidRPr="00E45723">
        <w:rPr>
          <w:rFonts w:asciiTheme="minorHAnsi" w:hAnsiTheme="minorHAnsi" w:cs="Calibri"/>
        </w:rPr>
        <w:t xml:space="preserve"> jelennek meg: (i) az SZMSZ-ben rögzített testületi/funkcionális hatáskörökben, (ii) a testületek ügyrendjeiben és a tisztségek betöltéséhez kapcsolódó megbízási feltételekben, valamint (iii) a cég- és csoportszintű belső szabályzatokban/politikákban. </w:t>
      </w:r>
      <w:r w:rsidR="003D4C37" w:rsidRPr="00E45723">
        <w:rPr>
          <w:rFonts w:asciiTheme="minorHAnsi" w:hAnsiTheme="minorHAnsi" w:cs="Calibri"/>
        </w:rPr>
        <w:br/>
      </w:r>
      <w:r w:rsidRPr="00E45723">
        <w:rPr>
          <w:rFonts w:asciiTheme="minorHAnsi" w:hAnsiTheme="minorHAnsi" w:cs="Calibri"/>
        </w:rPr>
        <w:t>A Társaságnál a vezetőség (Vezérigazgató és a felsővezetői szintek) az SZMSZ-ben rögzített irányítási és kontrollkeretek mentén biztosítja, hogy a hatások, kockázatok és lehetőségek (IRO-</w:t>
      </w:r>
      <w:r w:rsidRPr="00E45723">
        <w:rPr>
          <w:rFonts w:asciiTheme="minorHAnsi" w:hAnsiTheme="minorHAnsi" w:cs="Calibri"/>
        </w:rPr>
        <w:lastRenderedPageBreak/>
        <w:t xml:space="preserve">k) </w:t>
      </w:r>
      <w:r w:rsidRPr="00E45723">
        <w:rPr>
          <w:rStyle w:val="Strong"/>
          <w:rFonts w:asciiTheme="minorHAnsi" w:hAnsiTheme="minorHAnsi" w:cs="Calibri"/>
          <w:b w:val="0"/>
        </w:rPr>
        <w:t>azonosítása, nyomon követése, kezelése és eszkalációja</w:t>
      </w:r>
      <w:r w:rsidRPr="00E45723">
        <w:rPr>
          <w:rFonts w:asciiTheme="minorHAnsi" w:hAnsiTheme="minorHAnsi" w:cs="Calibri"/>
        </w:rPr>
        <w:t xml:space="preserve"> a mindennapi működés részévé váljon.</w:t>
      </w:r>
    </w:p>
    <w:tbl>
      <w:tblPr>
        <w:tblStyle w:val="Table"/>
        <w:tblW w:w="90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356"/>
        <w:gridCol w:w="6719"/>
      </w:tblGrid>
      <w:tr w:rsidR="00BD159D" w:rsidRPr="00E45723" w14:paraId="26233F08" w14:textId="77777777" w:rsidTr="003D4C37">
        <w:trPr>
          <w:cnfStyle w:val="100000000000" w:firstRow="1" w:lastRow="0" w:firstColumn="0" w:lastColumn="0" w:oddVBand="0" w:evenVBand="0" w:oddHBand="0" w:evenHBand="0" w:firstRowFirstColumn="0" w:firstRowLastColumn="0" w:lastRowFirstColumn="0" w:lastRowLastColumn="0"/>
        </w:trPr>
        <w:tc>
          <w:tcPr>
            <w:tcW w:w="2356" w:type="dxa"/>
            <w:tcBorders>
              <w:bottom w:val="none" w:sz="0" w:space="0" w:color="auto"/>
            </w:tcBorders>
            <w:vAlign w:val="top"/>
          </w:tcPr>
          <w:p w14:paraId="36E38BFF" w14:textId="7C8A129A" w:rsidR="003D4C37" w:rsidRPr="00E45723" w:rsidRDefault="00FD7771" w:rsidP="003D4C37">
            <w:pPr>
              <w:pStyle w:val="NormalWeb"/>
              <w:suppressAutoHyphens/>
              <w:spacing w:before="0" w:beforeAutospacing="0" w:after="0" w:afterAutospacing="0"/>
              <w:jc w:val="left"/>
              <w:rPr>
                <w:rFonts w:asciiTheme="minorHAnsi" w:hAnsiTheme="minorHAnsi" w:cs="Calibri"/>
              </w:rPr>
            </w:pPr>
            <w:r w:rsidRPr="00E45723">
              <w:rPr>
                <w:rStyle w:val="Strong"/>
                <w:rFonts w:asciiTheme="minorHAnsi" w:hAnsiTheme="minorHAnsi" w:cs="Calibri"/>
              </w:rPr>
              <w:t>Vezérigazgató (GCEO)</w:t>
            </w:r>
          </w:p>
        </w:tc>
        <w:tc>
          <w:tcPr>
            <w:tcW w:w="6719" w:type="dxa"/>
            <w:tcBorders>
              <w:bottom w:val="none" w:sz="0" w:space="0" w:color="auto"/>
            </w:tcBorders>
          </w:tcPr>
          <w:p w14:paraId="527E85E2" w14:textId="77777777" w:rsidR="00BD159D" w:rsidRPr="00E45723" w:rsidRDefault="00FD7771" w:rsidP="00CA55C5">
            <w:pPr>
              <w:numPr>
                <w:ilvl w:val="0"/>
                <w:numId w:val="1"/>
              </w:numPr>
              <w:suppressAutoHyphens/>
              <w:spacing w:before="36" w:after="36"/>
              <w:rPr>
                <w:rFonts w:asciiTheme="minorHAnsi" w:hAnsiTheme="minorHAnsi" w:cs="Calibri"/>
              </w:rPr>
            </w:pPr>
            <w:r w:rsidRPr="00E45723">
              <w:rPr>
                <w:rFonts w:asciiTheme="minorHAnsi" w:hAnsiTheme="minorHAnsi" w:cs="Calibri"/>
              </w:rPr>
              <w:t xml:space="preserve">A Vezérigazgató ügyvezetési felelőssége és </w:t>
            </w:r>
            <w:r w:rsidRPr="00E45723">
              <w:rPr>
                <w:rStyle w:val="Strong"/>
                <w:rFonts w:asciiTheme="minorHAnsi" w:hAnsiTheme="minorHAnsi" w:cs="Calibri"/>
                <w:b w:val="0"/>
              </w:rPr>
              <w:t>gondos ügyvezetési kötelezettsége</w:t>
            </w:r>
            <w:r w:rsidRPr="00E45723">
              <w:rPr>
                <w:rFonts w:asciiTheme="minorHAnsi" w:hAnsiTheme="minorHAnsi" w:cs="Calibri"/>
              </w:rPr>
              <w:t xml:space="preserve">, valamint a Társasággal szembeni </w:t>
            </w:r>
            <w:r w:rsidRPr="00E45723">
              <w:rPr>
                <w:rStyle w:val="Strong"/>
                <w:rFonts w:asciiTheme="minorHAnsi" w:hAnsiTheme="minorHAnsi" w:cs="Calibri"/>
                <w:b w:val="0"/>
              </w:rPr>
              <w:t>kártérítési felelőssége</w:t>
            </w:r>
            <w:r w:rsidRPr="00E45723">
              <w:rPr>
                <w:rFonts w:asciiTheme="minorHAnsi" w:hAnsiTheme="minorHAnsi" w:cs="Calibri"/>
              </w:rPr>
              <w:t xml:space="preserve"> az SZMSZ-ben kifejezetten rögzített.</w:t>
            </w:r>
          </w:p>
          <w:p w14:paraId="5AE31D8B" w14:textId="77777777" w:rsidR="00BD159D" w:rsidRPr="00E45723" w:rsidRDefault="00FD7771" w:rsidP="00CA55C5">
            <w:pPr>
              <w:numPr>
                <w:ilvl w:val="0"/>
                <w:numId w:val="1"/>
              </w:numPr>
              <w:suppressAutoHyphens/>
              <w:spacing w:before="36" w:after="36"/>
              <w:rPr>
                <w:rFonts w:asciiTheme="minorHAnsi" w:hAnsiTheme="minorHAnsi" w:cs="Calibri"/>
              </w:rPr>
            </w:pPr>
            <w:r w:rsidRPr="00E45723">
              <w:rPr>
                <w:rFonts w:asciiTheme="minorHAnsi" w:hAnsiTheme="minorHAnsi" w:cs="Calibri"/>
              </w:rPr>
              <w:t xml:space="preserve">Az SZMSZ a Vezérigazgató hatáskörébe telepíti a </w:t>
            </w:r>
            <w:r w:rsidRPr="00E45723">
              <w:rPr>
                <w:rStyle w:val="Strong"/>
                <w:rFonts w:asciiTheme="minorHAnsi" w:hAnsiTheme="minorHAnsi" w:cs="Calibri"/>
                <w:b w:val="0"/>
              </w:rPr>
              <w:t>belső ellenőrzés kialakítását</w:t>
            </w:r>
            <w:r w:rsidRPr="00E45723">
              <w:rPr>
                <w:rFonts w:asciiTheme="minorHAnsi" w:hAnsiTheme="minorHAnsi" w:cs="Calibri"/>
              </w:rPr>
              <w:t xml:space="preserve">, továbbá annak bevezetését követően a működtetésért és a </w:t>
            </w:r>
            <w:r w:rsidRPr="00E45723">
              <w:rPr>
                <w:rStyle w:val="Strong"/>
                <w:rFonts w:asciiTheme="minorHAnsi" w:hAnsiTheme="minorHAnsi" w:cs="Calibri"/>
                <w:b w:val="0"/>
              </w:rPr>
              <w:t>függetlenség biztosításáért</w:t>
            </w:r>
            <w:r w:rsidRPr="00E45723">
              <w:rPr>
                <w:rFonts w:asciiTheme="minorHAnsi" w:hAnsiTheme="minorHAnsi" w:cs="Calibri"/>
              </w:rPr>
              <w:t xml:space="preserve"> való felelősséget is.</w:t>
            </w:r>
          </w:p>
          <w:p w14:paraId="55F153A8" w14:textId="77777777" w:rsidR="00BD159D" w:rsidRPr="00E45723" w:rsidRDefault="00FD7771" w:rsidP="00CA55C5">
            <w:pPr>
              <w:numPr>
                <w:ilvl w:val="0"/>
                <w:numId w:val="1"/>
              </w:numPr>
              <w:suppressAutoHyphens/>
              <w:spacing w:before="36" w:after="36"/>
              <w:rPr>
                <w:rFonts w:asciiTheme="minorHAnsi" w:hAnsiTheme="minorHAnsi" w:cs="Calibri"/>
              </w:rPr>
            </w:pPr>
            <w:r w:rsidRPr="00E45723">
              <w:rPr>
                <w:rFonts w:asciiTheme="minorHAnsi" w:hAnsiTheme="minorHAnsi" w:cs="Calibri"/>
              </w:rPr>
              <w:t xml:space="preserve">Ugyancsak a Vezérigazgató felelősségeként jelenik meg a </w:t>
            </w:r>
            <w:r w:rsidRPr="00E45723">
              <w:rPr>
                <w:rStyle w:val="Strong"/>
                <w:rFonts w:asciiTheme="minorHAnsi" w:hAnsiTheme="minorHAnsi" w:cs="Calibri"/>
                <w:b w:val="0"/>
              </w:rPr>
              <w:t>kockázatkezelési rendszer kialakítása</w:t>
            </w:r>
            <w:r w:rsidRPr="00E45723">
              <w:rPr>
                <w:rFonts w:asciiTheme="minorHAnsi" w:hAnsiTheme="minorHAnsi" w:cs="Calibri"/>
              </w:rPr>
              <w:t>, majd bevezetés után a működtetés és rendszeres felülvizsgálat.</w:t>
            </w:r>
          </w:p>
        </w:tc>
      </w:tr>
      <w:tr w:rsidR="00BD159D" w:rsidRPr="00E45723" w14:paraId="6BC22254" w14:textId="77777777" w:rsidTr="003D4C37">
        <w:tc>
          <w:tcPr>
            <w:tcW w:w="2356" w:type="dxa"/>
          </w:tcPr>
          <w:p w14:paraId="3135D81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Style w:val="Strong"/>
                <w:rFonts w:asciiTheme="minorHAnsi" w:hAnsiTheme="minorHAnsi" w:cs="Calibri"/>
              </w:rPr>
              <w:t>Felügyelőbizottsági megbízási feltételek és felügyeleti „mandátum”</w:t>
            </w:r>
          </w:p>
        </w:tc>
        <w:tc>
          <w:tcPr>
            <w:tcW w:w="6719" w:type="dxa"/>
          </w:tcPr>
          <w:p w14:paraId="79AEECEC" w14:textId="77777777" w:rsidR="00BD159D" w:rsidRPr="00E45723" w:rsidRDefault="00FD7771" w:rsidP="00CA55C5">
            <w:pPr>
              <w:numPr>
                <w:ilvl w:val="0"/>
                <w:numId w:val="2"/>
              </w:numPr>
              <w:suppressAutoHyphens/>
              <w:spacing w:before="36" w:after="36"/>
              <w:rPr>
                <w:rFonts w:asciiTheme="minorHAnsi" w:hAnsiTheme="minorHAnsi" w:cs="Calibri"/>
              </w:rPr>
            </w:pPr>
            <w:r w:rsidRPr="00E45723">
              <w:rPr>
                <w:rFonts w:asciiTheme="minorHAnsi" w:hAnsiTheme="minorHAnsi" w:cs="Calibri"/>
              </w:rPr>
              <w:t xml:space="preserve">A Felügyelőbizottság tagjai feladatukat </w:t>
            </w:r>
            <w:r w:rsidRPr="00E45723">
              <w:rPr>
                <w:rStyle w:val="Strong"/>
                <w:rFonts w:asciiTheme="minorHAnsi" w:hAnsiTheme="minorHAnsi" w:cs="Calibri"/>
                <w:b w:val="0"/>
              </w:rPr>
              <w:t>megbízási jogviszonyban</w:t>
            </w:r>
            <w:r w:rsidRPr="00E45723">
              <w:rPr>
                <w:rFonts w:asciiTheme="minorHAnsi" w:hAnsiTheme="minorHAnsi" w:cs="Calibri"/>
              </w:rPr>
              <w:t xml:space="preserve"> látják el; a javadalmazásukról az SZMSZ szerint a Társaság Vezérigazgatója dönt, a tagokat a Közgyűlés választja és visszahívhatja.</w:t>
            </w:r>
          </w:p>
          <w:p w14:paraId="46C41764" w14:textId="77777777" w:rsidR="00BD159D" w:rsidRPr="00E45723" w:rsidRDefault="00FD7771" w:rsidP="00CA55C5">
            <w:pPr>
              <w:numPr>
                <w:ilvl w:val="0"/>
                <w:numId w:val="2"/>
              </w:numPr>
              <w:suppressAutoHyphens/>
              <w:spacing w:before="36" w:after="36"/>
              <w:rPr>
                <w:rFonts w:asciiTheme="minorHAnsi" w:hAnsiTheme="minorHAnsi" w:cs="Calibri"/>
              </w:rPr>
            </w:pPr>
            <w:r w:rsidRPr="00E45723">
              <w:rPr>
                <w:rFonts w:asciiTheme="minorHAnsi" w:hAnsiTheme="minorHAnsi" w:cs="Calibri"/>
              </w:rPr>
              <w:t xml:space="preserve">A testület ellenőrzési jogosítványai (betekintés, felvilágosításkérés, vizsgálat, szakértő bevonása) a Tásaság Alapszabályában, az SZMSZ-ben rögzítettek, és a Felügyelőbizottság saját </w:t>
            </w:r>
            <w:r w:rsidRPr="00E45723">
              <w:rPr>
                <w:rStyle w:val="Strong"/>
                <w:rFonts w:asciiTheme="minorHAnsi" w:hAnsiTheme="minorHAnsi" w:cs="Calibri"/>
                <w:b w:val="0"/>
              </w:rPr>
              <w:t>ügyrenddel</w:t>
            </w:r>
            <w:r w:rsidRPr="00E45723">
              <w:rPr>
                <w:rFonts w:asciiTheme="minorHAnsi" w:hAnsiTheme="minorHAnsi" w:cs="Calibri"/>
              </w:rPr>
              <w:t xml:space="preserve"> működik, amelyet a Közgyűlés hagy jóvá.</w:t>
            </w:r>
          </w:p>
        </w:tc>
      </w:tr>
      <w:tr w:rsidR="00BD159D" w:rsidRPr="00E45723" w14:paraId="086ABC2A" w14:textId="77777777" w:rsidTr="003D4C37">
        <w:tc>
          <w:tcPr>
            <w:tcW w:w="2356" w:type="dxa"/>
          </w:tcPr>
          <w:p w14:paraId="11ABE9E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Style w:val="Strong"/>
                <w:rFonts w:asciiTheme="minorHAnsi" w:hAnsiTheme="minorHAnsi" w:cs="Calibri"/>
              </w:rPr>
              <w:t>Executive Board</w:t>
            </w:r>
          </w:p>
          <w:p w14:paraId="0B39004A"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rPr>
            </w:pPr>
          </w:p>
        </w:tc>
        <w:tc>
          <w:tcPr>
            <w:tcW w:w="6719" w:type="dxa"/>
          </w:tcPr>
          <w:p w14:paraId="24CCC14B" w14:textId="77777777" w:rsidR="00BD159D" w:rsidRPr="00E45723" w:rsidRDefault="00FD7771" w:rsidP="00CA55C5">
            <w:pPr>
              <w:numPr>
                <w:ilvl w:val="0"/>
                <w:numId w:val="3"/>
              </w:numPr>
              <w:suppressAutoHyphens/>
              <w:spacing w:before="36" w:after="36"/>
              <w:rPr>
                <w:rFonts w:asciiTheme="minorHAnsi" w:hAnsiTheme="minorHAnsi" w:cs="Calibri"/>
              </w:rPr>
            </w:pPr>
            <w:r w:rsidRPr="00E45723">
              <w:rPr>
                <w:rFonts w:asciiTheme="minorHAnsi" w:hAnsiTheme="minorHAnsi" w:cs="Calibri"/>
              </w:rPr>
              <w:t>Az Executive Board az SZMSZ szerint döntéselőkészítő/</w:t>
            </w:r>
            <w:r w:rsidRPr="00E45723">
              <w:rPr>
                <w:rFonts w:ascii="Arial" w:hAnsi="Arial" w:cs="Arial"/>
              </w:rPr>
              <w:t>​</w:t>
            </w:r>
            <w:r w:rsidRPr="00E45723">
              <w:rPr>
                <w:rFonts w:asciiTheme="minorHAnsi" w:hAnsiTheme="minorHAnsi" w:cs="Calibri"/>
              </w:rPr>
              <w:t>javaslattev</w:t>
            </w:r>
            <w:r w:rsidRPr="00E45723">
              <w:rPr>
                <w:rFonts w:cs="Aptos"/>
              </w:rPr>
              <w:t>ő</w:t>
            </w:r>
            <w:r w:rsidRPr="00E45723">
              <w:rPr>
                <w:rFonts w:asciiTheme="minorHAnsi" w:hAnsiTheme="minorHAnsi" w:cs="Calibri"/>
              </w:rPr>
              <w:t xml:space="preserve"> </w:t>
            </w:r>
            <w:r w:rsidRPr="00E45723">
              <w:rPr>
                <w:rFonts w:cs="Aptos"/>
              </w:rPr>
              <w:t>é</w:t>
            </w:r>
            <w:r w:rsidRPr="00E45723">
              <w:rPr>
                <w:rFonts w:asciiTheme="minorHAnsi" w:hAnsiTheme="minorHAnsi" w:cs="Calibri"/>
              </w:rPr>
              <w:t>s operat</w:t>
            </w:r>
            <w:r w:rsidRPr="00E45723">
              <w:rPr>
                <w:rFonts w:cs="Aptos"/>
              </w:rPr>
              <w:t>í</w:t>
            </w:r>
            <w:r w:rsidRPr="00E45723">
              <w:rPr>
                <w:rFonts w:asciiTheme="minorHAnsi" w:hAnsiTheme="minorHAnsi" w:cs="Calibri"/>
              </w:rPr>
              <w:t>v d</w:t>
            </w:r>
            <w:r w:rsidRPr="00E45723">
              <w:rPr>
                <w:rFonts w:cs="Aptos"/>
              </w:rPr>
              <w:t>ö</w:t>
            </w:r>
            <w:r w:rsidRPr="00E45723">
              <w:rPr>
                <w:rFonts w:asciiTheme="minorHAnsi" w:hAnsiTheme="minorHAnsi" w:cs="Calibri"/>
              </w:rPr>
              <w:t>nt</w:t>
            </w:r>
            <w:r w:rsidRPr="00E45723">
              <w:rPr>
                <w:rFonts w:cs="Aptos"/>
              </w:rPr>
              <w:t>é</w:t>
            </w:r>
            <w:r w:rsidRPr="00E45723">
              <w:rPr>
                <w:rFonts w:asciiTheme="minorHAnsi" w:hAnsiTheme="minorHAnsi" w:cs="Calibri"/>
              </w:rPr>
              <w:t>shoz</w:t>
            </w:r>
            <w:r w:rsidRPr="00E45723">
              <w:rPr>
                <w:rFonts w:cs="Aptos"/>
              </w:rPr>
              <w:t>ó</w:t>
            </w:r>
            <w:r w:rsidRPr="00E45723">
              <w:rPr>
                <w:rFonts w:asciiTheme="minorHAnsi" w:hAnsiTheme="minorHAnsi" w:cs="Calibri"/>
              </w:rPr>
              <w:t xml:space="preserve"> szerv; </w:t>
            </w:r>
            <w:r w:rsidRPr="00E45723">
              <w:rPr>
                <w:rStyle w:val="Strong"/>
                <w:rFonts w:asciiTheme="minorHAnsi" w:hAnsiTheme="minorHAnsi" w:cs="Calibri"/>
                <w:b w:val="0"/>
              </w:rPr>
              <w:t>ügyrendjét maga fogadja el</w:t>
            </w:r>
            <w:r w:rsidRPr="00E45723">
              <w:rPr>
                <w:rFonts w:asciiTheme="minorHAnsi" w:hAnsiTheme="minorHAnsi" w:cs="Calibri"/>
              </w:rPr>
              <w:t>, vezetője a GCEO.</w:t>
            </w:r>
          </w:p>
          <w:p w14:paraId="5E202CBE" w14:textId="77777777" w:rsidR="00BD159D" w:rsidRPr="00E45723" w:rsidRDefault="00FD7771" w:rsidP="00CA55C5">
            <w:pPr>
              <w:numPr>
                <w:ilvl w:val="0"/>
                <w:numId w:val="3"/>
              </w:numPr>
              <w:suppressAutoHyphens/>
              <w:spacing w:before="36" w:after="36"/>
              <w:rPr>
                <w:rFonts w:asciiTheme="minorHAnsi" w:hAnsiTheme="minorHAnsi" w:cs="Calibri"/>
              </w:rPr>
            </w:pPr>
            <w:r w:rsidRPr="00E45723">
              <w:rPr>
                <w:rFonts w:asciiTheme="minorHAnsi" w:hAnsiTheme="minorHAnsi" w:cs="Calibri"/>
              </w:rPr>
              <w:t xml:space="preserve">A testület feladatkörében tételesen szerepel a </w:t>
            </w:r>
            <w:r w:rsidRPr="00E45723">
              <w:rPr>
                <w:rStyle w:val="Strong"/>
                <w:rFonts w:asciiTheme="minorHAnsi" w:hAnsiTheme="minorHAnsi" w:cs="Calibri"/>
                <w:b w:val="0"/>
              </w:rPr>
              <w:t>kockázatkezelés, compliance, belső ellenőrzés, belső audit és HSE</w:t>
            </w:r>
            <w:r w:rsidRPr="00E45723">
              <w:rPr>
                <w:rFonts w:asciiTheme="minorHAnsi" w:hAnsiTheme="minorHAnsi" w:cs="Calibri"/>
                <w:b/>
              </w:rPr>
              <w:t xml:space="preserve"> </w:t>
            </w:r>
            <w:r w:rsidRPr="00E45723">
              <w:rPr>
                <w:rFonts w:asciiTheme="minorHAnsi" w:hAnsiTheme="minorHAnsi" w:cs="Calibri"/>
              </w:rPr>
              <w:t xml:space="preserve">területek időszakos beszámolóinak megtárgyalása és </w:t>
            </w:r>
            <w:r w:rsidRPr="00E45723">
              <w:rPr>
                <w:rStyle w:val="Strong"/>
                <w:rFonts w:asciiTheme="minorHAnsi" w:hAnsiTheme="minorHAnsi" w:cs="Calibri"/>
                <w:b w:val="0"/>
              </w:rPr>
              <w:t>intézkedési (ellenőrzési) tervek elfogadása</w:t>
            </w:r>
            <w:r w:rsidRPr="00E45723">
              <w:rPr>
                <w:rFonts w:asciiTheme="minorHAnsi" w:hAnsiTheme="minorHAnsi" w:cs="Calibri"/>
              </w:rPr>
              <w:t>.</w:t>
            </w:r>
          </w:p>
          <w:p w14:paraId="13614E57" w14:textId="77777777" w:rsidR="00BD159D" w:rsidRPr="00E45723" w:rsidRDefault="00FD7771" w:rsidP="00CA55C5">
            <w:pPr>
              <w:pStyle w:val="NormalWeb"/>
              <w:suppressAutoHyphens/>
              <w:spacing w:before="36" w:beforeAutospacing="0" w:after="36" w:afterAutospacing="0"/>
              <w:rPr>
                <w:rFonts w:asciiTheme="minorHAnsi" w:hAnsiTheme="minorHAnsi" w:cs="Calibri"/>
                <w:b/>
              </w:rPr>
            </w:pPr>
            <w:r w:rsidRPr="00E45723">
              <w:rPr>
                <w:rFonts w:asciiTheme="minorHAnsi" w:hAnsiTheme="minorHAnsi" w:cs="Calibri"/>
              </w:rPr>
              <w:t>Holding működésben az EB tagok bizonyos operatív/</w:t>
            </w:r>
            <w:r w:rsidRPr="00E45723">
              <w:rPr>
                <w:rFonts w:ascii="Arial" w:hAnsi="Arial" w:cs="Arial"/>
              </w:rPr>
              <w:t>​</w:t>
            </w:r>
            <w:r w:rsidRPr="00E45723">
              <w:rPr>
                <w:rFonts w:asciiTheme="minorHAnsi" w:hAnsiTheme="minorHAnsi" w:cs="Calibri"/>
              </w:rPr>
              <w:t>koordin</w:t>
            </w:r>
            <w:r w:rsidRPr="00E45723">
              <w:rPr>
                <w:rFonts w:cs="Aptos"/>
              </w:rPr>
              <w:t>á</w:t>
            </w:r>
            <w:r w:rsidRPr="00E45723">
              <w:rPr>
                <w:rFonts w:asciiTheme="minorHAnsi" w:hAnsiTheme="minorHAnsi" w:cs="Calibri"/>
              </w:rPr>
              <w:t>ci</w:t>
            </w:r>
            <w:r w:rsidRPr="00E45723">
              <w:rPr>
                <w:rFonts w:cs="Aptos"/>
              </w:rPr>
              <w:t>ó</w:t>
            </w:r>
            <w:r w:rsidRPr="00E45723">
              <w:rPr>
                <w:rFonts w:asciiTheme="minorHAnsi" w:hAnsiTheme="minorHAnsi" w:cs="Calibri"/>
              </w:rPr>
              <w:t>s feladatokat deleg</w:t>
            </w:r>
            <w:r w:rsidRPr="00E45723">
              <w:rPr>
                <w:rFonts w:cs="Aptos"/>
              </w:rPr>
              <w:t>á</w:t>
            </w:r>
            <w:r w:rsidRPr="00E45723">
              <w:rPr>
                <w:rFonts w:asciiTheme="minorHAnsi" w:hAnsiTheme="minorHAnsi" w:cs="Calibri"/>
              </w:rPr>
              <w:t>lhatnak a holding szakter</w:t>
            </w:r>
            <w:r w:rsidRPr="00E45723">
              <w:rPr>
                <w:rFonts w:cs="Aptos"/>
              </w:rPr>
              <w:t>ü</w:t>
            </w:r>
            <w:r w:rsidRPr="00E45723">
              <w:rPr>
                <w:rFonts w:asciiTheme="minorHAnsi" w:hAnsiTheme="minorHAnsi" w:cs="Calibri"/>
              </w:rPr>
              <w:t>leti vezet</w:t>
            </w:r>
            <w:r w:rsidRPr="00E45723">
              <w:rPr>
                <w:rFonts w:cs="Aptos"/>
              </w:rPr>
              <w:t>ő</w:t>
            </w:r>
            <w:r w:rsidRPr="00E45723">
              <w:rPr>
                <w:rFonts w:asciiTheme="minorHAnsi" w:hAnsiTheme="minorHAnsi" w:cs="Calibri"/>
              </w:rPr>
              <w:t>ire, de a deleg</w:t>
            </w:r>
            <w:r w:rsidRPr="00E45723">
              <w:rPr>
                <w:rFonts w:cs="Aptos"/>
              </w:rPr>
              <w:t>á</w:t>
            </w:r>
            <w:r w:rsidRPr="00E45723">
              <w:rPr>
                <w:rFonts w:asciiTheme="minorHAnsi" w:hAnsiTheme="minorHAnsi" w:cs="Calibri"/>
              </w:rPr>
              <w:t>l</w:t>
            </w:r>
            <w:r w:rsidRPr="00E45723">
              <w:rPr>
                <w:rFonts w:cs="Aptos"/>
              </w:rPr>
              <w:t>á</w:t>
            </w:r>
            <w:r w:rsidRPr="00E45723">
              <w:rPr>
                <w:rFonts w:asciiTheme="minorHAnsi" w:hAnsiTheme="minorHAnsi" w:cs="Calibri"/>
              </w:rPr>
              <w:t xml:space="preserve">s </w:t>
            </w:r>
            <w:r w:rsidRPr="00E45723">
              <w:rPr>
                <w:rStyle w:val="Strong"/>
                <w:rFonts w:asciiTheme="minorHAnsi" w:hAnsiTheme="minorHAnsi" w:cs="Calibri"/>
                <w:b w:val="0"/>
              </w:rPr>
              <w:t>nem érinti a stratégiai felelősséget és döntési jogkört</w:t>
            </w:r>
            <w:r w:rsidRPr="00E45723">
              <w:rPr>
                <w:rFonts w:asciiTheme="minorHAnsi" w:hAnsiTheme="minorHAnsi" w:cs="Calibri"/>
                <w:b/>
              </w:rPr>
              <w:t>.  </w:t>
            </w:r>
          </w:p>
          <w:p w14:paraId="170726DD" w14:textId="77777777" w:rsidR="00BD159D" w:rsidRPr="00E45723" w:rsidRDefault="00FD7771" w:rsidP="00CA55C5">
            <w:pPr>
              <w:pStyle w:val="NormalWeb"/>
              <w:suppressAutoHyphens/>
              <w:spacing w:before="36" w:beforeAutospacing="0" w:after="36" w:afterAutospacing="0"/>
              <w:rPr>
                <w:rFonts w:asciiTheme="minorHAnsi" w:hAnsiTheme="minorHAnsi" w:cs="Calibri"/>
              </w:rPr>
            </w:pPr>
            <w:r w:rsidRPr="00E45723">
              <w:rPr>
                <w:rFonts w:asciiTheme="minorHAnsi" w:hAnsiTheme="minorHAnsi" w:cs="Calibri"/>
              </w:rPr>
              <w:t>Ez a szabályozás az IRO-k felügyeletét testületi napirendi és felelősségi rendbe építi.</w:t>
            </w:r>
          </w:p>
        </w:tc>
      </w:tr>
      <w:tr w:rsidR="00BD159D" w:rsidRPr="00E45723" w14:paraId="24ED71B9" w14:textId="77777777" w:rsidTr="003D4C37">
        <w:tc>
          <w:tcPr>
            <w:tcW w:w="2356" w:type="dxa"/>
          </w:tcPr>
          <w:p w14:paraId="01C13C80" w14:textId="77777777" w:rsidR="00BD159D" w:rsidRPr="00E45723" w:rsidRDefault="00FD7771" w:rsidP="00EA3B06">
            <w:pPr>
              <w:pStyle w:val="NormalWeb"/>
              <w:suppressAutoHyphens/>
              <w:spacing w:before="36" w:beforeAutospacing="0" w:after="36" w:afterAutospacing="0"/>
              <w:jc w:val="left"/>
              <w:rPr>
                <w:rStyle w:val="Strong"/>
                <w:rFonts w:asciiTheme="minorHAnsi" w:hAnsiTheme="minorHAnsi" w:cs="Calibri"/>
              </w:rPr>
            </w:pPr>
            <w:r w:rsidRPr="00E45723">
              <w:rPr>
                <w:rStyle w:val="Strong"/>
                <w:rFonts w:asciiTheme="minorHAnsi" w:hAnsiTheme="minorHAnsi" w:cs="Calibri"/>
              </w:rPr>
              <w:t>Egyéb szakterületek</w:t>
            </w:r>
          </w:p>
        </w:tc>
        <w:tc>
          <w:tcPr>
            <w:tcW w:w="6719" w:type="dxa"/>
          </w:tcPr>
          <w:p w14:paraId="6D3AB88A" w14:textId="77777777" w:rsidR="00BD159D" w:rsidRPr="00E45723" w:rsidRDefault="00FD7771" w:rsidP="00CA55C5">
            <w:pPr>
              <w:numPr>
                <w:ilvl w:val="0"/>
                <w:numId w:val="4"/>
              </w:numPr>
              <w:suppressAutoHyphens/>
              <w:spacing w:before="36" w:after="36"/>
              <w:rPr>
                <w:rFonts w:asciiTheme="minorHAnsi" w:hAnsiTheme="minorHAnsi" w:cs="Calibri"/>
              </w:rPr>
            </w:pPr>
            <w:r w:rsidRPr="00E45723">
              <w:rPr>
                <w:rFonts w:asciiTheme="minorHAnsi" w:hAnsiTheme="minorHAnsi" w:cs="Calibri"/>
              </w:rPr>
              <w:t xml:space="preserve">A felelősségi körök és döntési hatáskörök formalizálását a </w:t>
            </w:r>
            <w:r w:rsidRPr="00E45723">
              <w:rPr>
                <w:rStyle w:val="Strong"/>
                <w:rFonts w:asciiTheme="minorHAnsi" w:hAnsiTheme="minorHAnsi" w:cs="Calibri"/>
              </w:rPr>
              <w:t>Döntési mátrix</w:t>
            </w:r>
            <w:r w:rsidRPr="00E45723">
              <w:rPr>
                <w:rFonts w:asciiTheme="minorHAnsi" w:hAnsiTheme="minorHAnsi" w:cs="Calibri"/>
              </w:rPr>
              <w:t xml:space="preserve"> támogatja: kötelező érvényű, rögzíti a jóváhagyási szinteket és az egyeztetési/</w:t>
            </w:r>
            <w:r w:rsidRPr="00E45723">
              <w:rPr>
                <w:rFonts w:ascii="Arial" w:hAnsi="Arial" w:cs="Arial"/>
              </w:rPr>
              <w:t>​</w:t>
            </w:r>
            <w:r w:rsidRPr="00E45723">
              <w:rPr>
                <w:rFonts w:asciiTheme="minorHAnsi" w:hAnsiTheme="minorHAnsi" w:cs="Calibri"/>
              </w:rPr>
              <w:t>t</w:t>
            </w:r>
            <w:r w:rsidRPr="00E45723">
              <w:rPr>
                <w:rFonts w:cs="Aptos"/>
              </w:rPr>
              <w:t>á</w:t>
            </w:r>
            <w:r w:rsidRPr="00E45723">
              <w:rPr>
                <w:rFonts w:asciiTheme="minorHAnsi" w:hAnsiTheme="minorHAnsi" w:cs="Calibri"/>
              </w:rPr>
              <w:t>j</w:t>
            </w:r>
            <w:r w:rsidRPr="00E45723">
              <w:rPr>
                <w:rFonts w:cs="Aptos"/>
              </w:rPr>
              <w:t>é</w:t>
            </w:r>
            <w:r w:rsidRPr="00E45723">
              <w:rPr>
                <w:rFonts w:asciiTheme="minorHAnsi" w:hAnsiTheme="minorHAnsi" w:cs="Calibri"/>
              </w:rPr>
              <w:t>koztat</w:t>
            </w:r>
            <w:r w:rsidRPr="00E45723">
              <w:rPr>
                <w:rFonts w:cs="Aptos"/>
              </w:rPr>
              <w:t>á</w:t>
            </w:r>
            <w:r w:rsidRPr="00E45723">
              <w:rPr>
                <w:rFonts w:asciiTheme="minorHAnsi" w:hAnsiTheme="minorHAnsi" w:cs="Calibri"/>
              </w:rPr>
              <w:t>si k</w:t>
            </w:r>
            <w:r w:rsidRPr="00E45723">
              <w:rPr>
                <w:rFonts w:cs="Aptos"/>
              </w:rPr>
              <w:t>ö</w:t>
            </w:r>
            <w:r w:rsidRPr="00E45723">
              <w:rPr>
                <w:rFonts w:asciiTheme="minorHAnsi" w:hAnsiTheme="minorHAnsi" w:cs="Calibri"/>
              </w:rPr>
              <w:t>telezetts</w:t>
            </w:r>
            <w:r w:rsidRPr="00E45723">
              <w:rPr>
                <w:rFonts w:cs="Aptos"/>
              </w:rPr>
              <w:t>é</w:t>
            </w:r>
            <w:r w:rsidRPr="00E45723">
              <w:rPr>
                <w:rFonts w:asciiTheme="minorHAnsi" w:hAnsiTheme="minorHAnsi" w:cs="Calibri"/>
              </w:rPr>
              <w:t>geket; a vezet</w:t>
            </w:r>
            <w:r w:rsidRPr="00E45723">
              <w:rPr>
                <w:rFonts w:cs="Aptos"/>
              </w:rPr>
              <w:t>ő</w:t>
            </w:r>
            <w:r w:rsidRPr="00E45723">
              <w:rPr>
                <w:rFonts w:asciiTheme="minorHAnsi" w:hAnsiTheme="minorHAnsi" w:cs="Calibri"/>
              </w:rPr>
              <w:t>k szem</w:t>
            </w:r>
            <w:r w:rsidRPr="00E45723">
              <w:rPr>
                <w:rFonts w:cs="Aptos"/>
              </w:rPr>
              <w:t>é</w:t>
            </w:r>
            <w:r w:rsidRPr="00E45723">
              <w:rPr>
                <w:rFonts w:asciiTheme="minorHAnsi" w:hAnsiTheme="minorHAnsi" w:cs="Calibri"/>
              </w:rPr>
              <w:t>lyes felel</w:t>
            </w:r>
            <w:r w:rsidRPr="00E45723">
              <w:rPr>
                <w:rFonts w:cs="Aptos"/>
              </w:rPr>
              <w:t>ő</w:t>
            </w:r>
            <w:r w:rsidRPr="00E45723">
              <w:rPr>
                <w:rFonts w:asciiTheme="minorHAnsi" w:hAnsiTheme="minorHAnsi" w:cs="Calibri"/>
              </w:rPr>
              <w:t>ss</w:t>
            </w:r>
            <w:r w:rsidRPr="00E45723">
              <w:rPr>
                <w:rFonts w:cs="Aptos"/>
              </w:rPr>
              <w:t>é</w:t>
            </w:r>
            <w:r w:rsidRPr="00E45723">
              <w:rPr>
                <w:rFonts w:asciiTheme="minorHAnsi" w:hAnsiTheme="minorHAnsi" w:cs="Calibri"/>
              </w:rPr>
              <w:t>ggel tartoznak a d</w:t>
            </w:r>
            <w:r w:rsidRPr="00E45723">
              <w:rPr>
                <w:rFonts w:cs="Aptos"/>
              </w:rPr>
              <w:t>ö</w:t>
            </w:r>
            <w:r w:rsidRPr="00E45723">
              <w:rPr>
                <w:rFonts w:asciiTheme="minorHAnsi" w:hAnsiTheme="minorHAnsi" w:cs="Calibri"/>
              </w:rPr>
              <w:t>nt</w:t>
            </w:r>
            <w:r w:rsidRPr="00E45723">
              <w:rPr>
                <w:rFonts w:cs="Aptos"/>
              </w:rPr>
              <w:t>é</w:t>
            </w:r>
            <w:r w:rsidRPr="00E45723">
              <w:rPr>
                <w:rFonts w:asciiTheme="minorHAnsi" w:hAnsiTheme="minorHAnsi" w:cs="Calibri"/>
              </w:rPr>
              <w:t>sek jogszer</w:t>
            </w:r>
            <w:r w:rsidRPr="00E45723">
              <w:rPr>
                <w:rFonts w:cs="Aptos"/>
              </w:rPr>
              <w:t>ű</w:t>
            </w:r>
            <w:r w:rsidRPr="00E45723">
              <w:rPr>
                <w:rFonts w:asciiTheme="minorHAnsi" w:hAnsiTheme="minorHAnsi" w:cs="Calibri"/>
              </w:rPr>
              <w:t>s</w:t>
            </w:r>
            <w:r w:rsidRPr="00E45723">
              <w:rPr>
                <w:rFonts w:cs="Aptos"/>
              </w:rPr>
              <w:t>é</w:t>
            </w:r>
            <w:r w:rsidRPr="00E45723">
              <w:rPr>
                <w:rFonts w:asciiTheme="minorHAnsi" w:hAnsiTheme="minorHAnsi" w:cs="Calibri"/>
              </w:rPr>
              <w:t>g</w:t>
            </w:r>
            <w:r w:rsidRPr="00E45723">
              <w:rPr>
                <w:rFonts w:cs="Aptos"/>
              </w:rPr>
              <w:t>éé</w:t>
            </w:r>
            <w:r w:rsidRPr="00E45723">
              <w:rPr>
                <w:rFonts w:asciiTheme="minorHAnsi" w:hAnsiTheme="minorHAnsi" w:cs="Calibri"/>
              </w:rPr>
              <w:t xml:space="preserve">rt </w:t>
            </w:r>
            <w:r w:rsidRPr="00E45723">
              <w:rPr>
                <w:rFonts w:cs="Aptos"/>
              </w:rPr>
              <w:t>é</w:t>
            </w:r>
            <w:r w:rsidRPr="00E45723">
              <w:rPr>
                <w:rFonts w:asciiTheme="minorHAnsi" w:hAnsiTheme="minorHAnsi" w:cs="Calibri"/>
              </w:rPr>
              <w:t>s nyomon k</w:t>
            </w:r>
            <w:r w:rsidRPr="00E45723">
              <w:rPr>
                <w:rFonts w:cs="Aptos"/>
              </w:rPr>
              <w:t>ö</w:t>
            </w:r>
            <w:r w:rsidRPr="00E45723">
              <w:rPr>
                <w:rFonts w:asciiTheme="minorHAnsi" w:hAnsiTheme="minorHAnsi" w:cs="Calibri"/>
              </w:rPr>
              <w:t>vet</w:t>
            </w:r>
            <w:r w:rsidRPr="00E45723">
              <w:rPr>
                <w:rFonts w:cs="Aptos"/>
              </w:rPr>
              <w:t>é</w:t>
            </w:r>
            <w:r w:rsidRPr="00E45723">
              <w:rPr>
                <w:rFonts w:asciiTheme="minorHAnsi" w:hAnsiTheme="minorHAnsi" w:cs="Calibri"/>
              </w:rPr>
              <w:t>s</w:t>
            </w:r>
            <w:r w:rsidRPr="00E45723">
              <w:rPr>
                <w:rFonts w:cs="Aptos"/>
              </w:rPr>
              <w:t>éé</w:t>
            </w:r>
            <w:r w:rsidRPr="00E45723">
              <w:rPr>
                <w:rFonts w:asciiTheme="minorHAnsi" w:hAnsiTheme="minorHAnsi" w:cs="Calibri"/>
              </w:rPr>
              <w:t>rt.</w:t>
            </w:r>
          </w:p>
          <w:p w14:paraId="00C66F44" w14:textId="77777777" w:rsidR="00BD159D" w:rsidRPr="00E45723" w:rsidRDefault="00FD7771" w:rsidP="00CA55C5">
            <w:pPr>
              <w:numPr>
                <w:ilvl w:val="0"/>
                <w:numId w:val="4"/>
              </w:numPr>
              <w:suppressAutoHyphens/>
              <w:spacing w:before="36" w:after="36"/>
              <w:rPr>
                <w:rFonts w:asciiTheme="minorHAnsi" w:hAnsiTheme="minorHAnsi" w:cs="Calibri"/>
              </w:rPr>
            </w:pPr>
            <w:r w:rsidRPr="00E45723">
              <w:rPr>
                <w:rFonts w:asciiTheme="minorHAnsi" w:hAnsiTheme="minorHAnsi" w:cs="Calibri"/>
              </w:rPr>
              <w:t xml:space="preserve">A kontrollkörnyezet része a </w:t>
            </w:r>
            <w:r w:rsidRPr="00E45723">
              <w:rPr>
                <w:rStyle w:val="Strong"/>
                <w:rFonts w:asciiTheme="minorHAnsi" w:hAnsiTheme="minorHAnsi" w:cs="Calibri"/>
                <w:b w:val="0"/>
              </w:rPr>
              <w:t>négy szem elve</w:t>
            </w:r>
            <w:r w:rsidRPr="00E45723">
              <w:rPr>
                <w:rFonts w:asciiTheme="minorHAnsi" w:hAnsiTheme="minorHAnsi" w:cs="Calibri"/>
              </w:rPr>
              <w:t>, valamint a munkafolyamatba épített ellenőrzések: ezek a munkaköri leírásokban és belső szabályozókban is megjelennek, és betartatásukért a szervezeti egység vezetője felel.</w:t>
            </w:r>
          </w:p>
          <w:p w14:paraId="57A721C0" w14:textId="77777777" w:rsidR="00BD159D" w:rsidRPr="00E45723" w:rsidRDefault="00FD7771" w:rsidP="00CA55C5">
            <w:pPr>
              <w:numPr>
                <w:ilvl w:val="0"/>
                <w:numId w:val="4"/>
              </w:numPr>
              <w:suppressAutoHyphens/>
              <w:spacing w:before="36" w:after="36"/>
              <w:rPr>
                <w:rFonts w:asciiTheme="minorHAnsi" w:hAnsiTheme="minorHAnsi" w:cs="Calibri"/>
              </w:rPr>
            </w:pPr>
            <w:r w:rsidRPr="00E45723">
              <w:rPr>
                <w:rFonts w:asciiTheme="minorHAnsi" w:hAnsiTheme="minorHAnsi" w:cs="Calibri"/>
              </w:rPr>
              <w:t xml:space="preserve">Integritás/„G” dimenzió: az </w:t>
            </w:r>
            <w:r w:rsidRPr="00E45723">
              <w:rPr>
                <w:rStyle w:val="Strong"/>
                <w:rFonts w:asciiTheme="minorHAnsi" w:hAnsiTheme="minorHAnsi" w:cs="Calibri"/>
                <w:b w:val="0"/>
              </w:rPr>
              <w:t>összeférhetetlenség</w:t>
            </w:r>
            <w:r w:rsidRPr="00E45723">
              <w:rPr>
                <w:rFonts w:asciiTheme="minorHAnsi" w:hAnsiTheme="minorHAnsi" w:cs="Calibri"/>
              </w:rPr>
              <w:t xml:space="preserve"> elkerülésének követelménye és bejelentési kötelezettsége az SZMSZ-ben rögzített, a részletszabályokat az Etikai Kódex és az Összeférhetetlenségi Szabályzat tartalmazza.</w:t>
            </w:r>
          </w:p>
          <w:p w14:paraId="41C6965F" w14:textId="77777777" w:rsidR="00BD159D" w:rsidRPr="00E45723" w:rsidRDefault="00FD7771" w:rsidP="00CA55C5">
            <w:pPr>
              <w:numPr>
                <w:ilvl w:val="0"/>
                <w:numId w:val="4"/>
              </w:numPr>
              <w:suppressAutoHyphens/>
              <w:spacing w:before="36" w:after="36"/>
              <w:rPr>
                <w:rFonts w:asciiTheme="minorHAnsi" w:hAnsiTheme="minorHAnsi" w:cs="Calibri"/>
              </w:rPr>
            </w:pPr>
            <w:r w:rsidRPr="00E45723">
              <w:rPr>
                <w:rFonts w:asciiTheme="minorHAnsi" w:hAnsiTheme="minorHAnsi" w:cs="Calibri"/>
              </w:rPr>
              <w:t xml:space="preserve">Bejelentési mechanizmusok: a Társaság </w:t>
            </w:r>
            <w:r w:rsidRPr="00E45723">
              <w:rPr>
                <w:rStyle w:val="Strong"/>
                <w:rFonts w:asciiTheme="minorHAnsi" w:hAnsiTheme="minorHAnsi" w:cs="Calibri"/>
                <w:b w:val="0"/>
              </w:rPr>
              <w:t>belső visszaélés-bejelentési rendszert</w:t>
            </w:r>
            <w:r w:rsidRPr="00E45723">
              <w:rPr>
                <w:rFonts w:asciiTheme="minorHAnsi" w:hAnsiTheme="minorHAnsi" w:cs="Calibri"/>
              </w:rPr>
              <w:t xml:space="preserve"> működtet (Whisly), részletszabályait a Visszaélés bejelentési szabályzat rögzíti; emellett az SZMSZ </w:t>
            </w:r>
            <w:r w:rsidRPr="00E45723">
              <w:rPr>
                <w:rFonts w:asciiTheme="minorHAnsi" w:hAnsiTheme="minorHAnsi" w:cs="Calibri"/>
              </w:rPr>
              <w:lastRenderedPageBreak/>
              <w:t xml:space="preserve">szerint </w:t>
            </w:r>
            <w:r w:rsidRPr="00E45723">
              <w:rPr>
                <w:rStyle w:val="Strong"/>
                <w:rFonts w:asciiTheme="minorHAnsi" w:hAnsiTheme="minorHAnsi" w:cs="Calibri"/>
                <w:b w:val="0"/>
              </w:rPr>
              <w:t>elkülönült ESG panaszkezelési rendszer</w:t>
            </w:r>
            <w:r w:rsidRPr="00E45723">
              <w:rPr>
                <w:rFonts w:asciiTheme="minorHAnsi" w:hAnsiTheme="minorHAnsi" w:cs="Calibri"/>
              </w:rPr>
              <w:t xml:space="preserve"> kialakítása is folyamatban van.</w:t>
            </w:r>
          </w:p>
          <w:p w14:paraId="7A8394B9" w14:textId="77777777" w:rsidR="00BD159D" w:rsidRPr="00E45723" w:rsidRDefault="00FD7771" w:rsidP="00CA55C5">
            <w:pPr>
              <w:numPr>
                <w:ilvl w:val="0"/>
                <w:numId w:val="5"/>
              </w:numPr>
              <w:suppressAutoHyphens/>
              <w:spacing w:before="36" w:after="36"/>
              <w:rPr>
                <w:rFonts w:asciiTheme="minorHAnsi" w:hAnsiTheme="minorHAnsi" w:cs="Calibri"/>
              </w:rPr>
            </w:pPr>
            <w:r w:rsidRPr="00E45723">
              <w:rPr>
                <w:rFonts w:asciiTheme="minorHAnsi" w:hAnsiTheme="minorHAnsi" w:cs="Calibri"/>
              </w:rPr>
              <w:t xml:space="preserve">Az SZMSZ és az Anyavállalat Dokumentációkészítési és kezelési Szabályzata rögzíti a </w:t>
            </w:r>
            <w:r w:rsidRPr="00E45723">
              <w:rPr>
                <w:rStyle w:val="Strong"/>
                <w:rFonts w:asciiTheme="minorHAnsi" w:hAnsiTheme="minorHAnsi" w:cs="Calibri"/>
                <w:b w:val="0"/>
              </w:rPr>
              <w:t>belső szabályalkotási rendet</w:t>
            </w:r>
            <w:r w:rsidRPr="00E45723">
              <w:rPr>
                <w:rFonts w:asciiTheme="minorHAnsi" w:hAnsiTheme="minorHAnsi" w:cs="Calibri"/>
              </w:rPr>
              <w:t>, illetve, hogy a holdingtársaság csoportszintű szabályzatokat és politikákat is kiadhat.</w:t>
            </w:r>
          </w:p>
        </w:tc>
      </w:tr>
    </w:tbl>
    <w:p w14:paraId="44308B11" w14:textId="77777777" w:rsidR="00BD159D" w:rsidRPr="00E45723" w:rsidRDefault="00BD159D">
      <w:pPr>
        <w:suppressAutoHyphens/>
        <w:spacing w:after="160"/>
        <w:rPr>
          <w:rFonts w:asciiTheme="minorHAnsi" w:hAnsiTheme="minorHAnsi" w:cs="Calibri"/>
        </w:rPr>
      </w:pPr>
    </w:p>
    <w:p w14:paraId="1553E23F" w14:textId="77777777" w:rsidR="00BD159D" w:rsidRPr="00E45723" w:rsidRDefault="00FD7771">
      <w:pPr>
        <w:spacing w:after="160"/>
        <w:rPr>
          <w:rFonts w:asciiTheme="minorHAnsi" w:hAnsiTheme="minorHAnsi" w:cs="Calibri"/>
        </w:rPr>
      </w:pPr>
      <w:r w:rsidRPr="00E45723">
        <w:rPr>
          <w:rFonts w:asciiTheme="minorHAnsi" w:hAnsiTheme="minorHAnsi" w:cs="Calibri"/>
        </w:rPr>
        <w:t xml:space="preserve">A munkavállalók kötelesek a felelősségi körükben felmerülő </w:t>
      </w:r>
      <w:r w:rsidRPr="00E45723">
        <w:rPr>
          <w:rStyle w:val="Strong"/>
          <w:rFonts w:asciiTheme="minorHAnsi" w:hAnsiTheme="minorHAnsi" w:cs="Calibri"/>
          <w:b w:val="0"/>
          <w:bCs w:val="0"/>
        </w:rPr>
        <w:t>minden jelentősebb problémát</w:t>
      </w:r>
      <w:r w:rsidRPr="00E45723">
        <w:rPr>
          <w:rFonts w:asciiTheme="minorHAnsi" w:hAnsiTheme="minorHAnsi" w:cs="Calibri"/>
        </w:rPr>
        <w:t xml:space="preserve"> haladéktalanul jelezni a szakterület-vezetőnek; a szakterület-vezető köteles kivizsgálni és szükség esetén a problémát a </w:t>
      </w:r>
      <w:r w:rsidRPr="00E45723">
        <w:rPr>
          <w:rStyle w:val="Strong"/>
          <w:rFonts w:asciiTheme="minorHAnsi" w:hAnsiTheme="minorHAnsi" w:cs="Calibri"/>
          <w:b w:val="0"/>
          <w:bCs w:val="0"/>
        </w:rPr>
        <w:t>Vezérigazgatónak vagy az Executive Board illetékes tagjának</w:t>
      </w:r>
      <w:r w:rsidRPr="00E45723">
        <w:rPr>
          <w:rFonts w:asciiTheme="minorHAnsi" w:hAnsiTheme="minorHAnsi" w:cs="Calibri"/>
        </w:rPr>
        <w:t xml:space="preserve"> jelenteni. A vezetői működéshez kapcsolódóan az SZMSZ külön </w:t>
      </w:r>
      <w:r w:rsidRPr="00E45723">
        <w:rPr>
          <w:rStyle w:val="Strong"/>
          <w:rFonts w:asciiTheme="minorHAnsi" w:hAnsiTheme="minorHAnsi" w:cs="Calibri"/>
          <w:b w:val="0"/>
          <w:bCs w:val="0"/>
        </w:rPr>
        <w:t>riportálási/beszámolási kötelezettségeket</w:t>
      </w:r>
      <w:r w:rsidRPr="00E45723">
        <w:rPr>
          <w:rFonts w:asciiTheme="minorHAnsi" w:hAnsiTheme="minorHAnsi" w:cs="Calibri"/>
        </w:rPr>
        <w:t xml:space="preserve"> is rögzít (riportálási rendszer kialakítása és fejlesztése), illetve eszkalációs rendet tartalmaz mellékletként.</w:t>
      </w:r>
    </w:p>
    <w:p w14:paraId="4E1B40E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Ezek a mechanizmusok együtt biztosítják, hogy a vezetőség ne csak döntéshozóként, hanem </w:t>
      </w:r>
      <w:r w:rsidRPr="00E45723">
        <w:rPr>
          <w:rStyle w:val="Strong"/>
          <w:rFonts w:asciiTheme="minorHAnsi" w:hAnsiTheme="minorHAnsi" w:cs="Calibri"/>
          <w:b w:val="0"/>
          <w:bCs w:val="0"/>
        </w:rPr>
        <w:t>kontroll- és felügyeleti szereplőként</w:t>
      </w:r>
      <w:r w:rsidRPr="00E45723">
        <w:rPr>
          <w:rFonts w:asciiTheme="minorHAnsi" w:hAnsiTheme="minorHAnsi" w:cs="Calibri"/>
        </w:rPr>
        <w:t xml:space="preserve"> is működjön: a kockázatok és hatások jelzései feljussanak a megfelelő szintre, legyen formális jóváhagyási rend (Döntési mátrix, négy szem elve), valamint legyenek független kontrollfunkciók (compliance, audit) és ESG-szakmai támogatás a monitorozáshoz és intézkedésekhez. </w:t>
      </w:r>
    </w:p>
    <w:p w14:paraId="0696031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22. c) ii., c) iii., ESRS 2 bek. 22. d)] A stratégiai célok és a kapcsolódó intézkedések jóváhagyása, illetve a felelősségi és döntési szintek alkalmazása a Döntési mátrix szerinti hatáskörök mentén történik; a vezetők felelőssége kiterjed a döntések végrehajtásának nyomon követésére is. A kapcsolódó hatások/kockázatok/lehetőségek (IRO-k) testületek felé történő információáramlása több, egymásra épülő jelentési csatornán valósul meg:</w:t>
      </w:r>
    </w:p>
    <w:p w14:paraId="44003D2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b/>
        </w:rPr>
        <w:t>A célok teljesülésének nyomon követése</w:t>
      </w:r>
      <w:r w:rsidRPr="00E45723">
        <w:rPr>
          <w:rFonts w:asciiTheme="minorHAnsi" w:hAnsiTheme="minorHAnsi" w:cs="Calibri"/>
        </w:rPr>
        <w:t>: a felső vezetés és a testületek részéről a cégcsoportszintű riporting és teljesítménymérési rendszer működtetésén, valamint a vezetői beszámoltatási gyakorlaton keresztül történik (különös tekintettel a beszámolók megtárgyalására és az intézkedési tervek elfogadására). Az Ethics &amp; ESG department a közreműködő szervezeti egységek bevonásával elkészíti az éves ESG Beszámolót és Fenntarthatósági Jelentést, amelyek a célokhoz kapcsolódó előrehaladás követésének kiemelt eszközei, ezekről az Executive Boarnak tájékoztatást ad, majd tartalmát a GCEO elfogadja.</w:t>
      </w:r>
    </w:p>
    <w:p w14:paraId="5837C24F"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Operatív „bottom-up” jelentés a vezetés felé:</w:t>
      </w:r>
      <w:r w:rsidRPr="00E45723">
        <w:rPr>
          <w:rFonts w:asciiTheme="minorHAnsi" w:hAnsiTheme="minorHAnsi" w:cs="Calibri"/>
        </w:rPr>
        <w:t xml:space="preserve"> a munkavállalók kötelesek a felelősségi körükben felmerülő jelentősebb problémákat haladéktalanul jelezni a szakterület-vezetőnek; a szakterület-vezető pedig szükség esetén </w:t>
      </w:r>
      <w:r w:rsidRPr="00E45723">
        <w:rPr>
          <w:rStyle w:val="Strong"/>
          <w:rFonts w:asciiTheme="minorHAnsi" w:hAnsiTheme="minorHAnsi" w:cs="Calibri"/>
          <w:b w:val="0"/>
        </w:rPr>
        <w:t>a Vezérigazgatónak vagy az Executive Board illetékes tagjának</w:t>
      </w:r>
      <w:r w:rsidRPr="00E45723">
        <w:rPr>
          <w:rFonts w:asciiTheme="minorHAnsi" w:hAnsiTheme="minorHAnsi" w:cs="Calibri"/>
        </w:rPr>
        <w:t xml:space="preserve"> jelenti a problémát.</w:t>
      </w:r>
    </w:p>
    <w:p w14:paraId="6E263E2B" w14:textId="77777777" w:rsidR="00BD159D" w:rsidRPr="00E45723" w:rsidRDefault="00FD7771" w:rsidP="00FD7771">
      <w:pPr>
        <w:numPr>
          <w:ilvl w:val="0"/>
          <w:numId w:val="8"/>
        </w:numPr>
        <w:suppressAutoHyphens/>
        <w:rPr>
          <w:rFonts w:asciiTheme="minorHAnsi" w:hAnsiTheme="minorHAnsi" w:cs="Calibri"/>
          <w:b/>
        </w:rPr>
      </w:pPr>
      <w:r w:rsidRPr="00E45723">
        <w:rPr>
          <w:rStyle w:val="Strong"/>
          <w:rFonts w:asciiTheme="minorHAnsi" w:hAnsiTheme="minorHAnsi" w:cs="Calibri"/>
        </w:rPr>
        <w:t>Rendszeres vezetői/testületi riportálás az Executive Board felé:</w:t>
      </w:r>
      <w:r w:rsidRPr="00E45723">
        <w:rPr>
          <w:rFonts w:asciiTheme="minorHAnsi" w:hAnsiTheme="minorHAnsi" w:cs="Calibri"/>
        </w:rPr>
        <w:t xml:space="preserve"> az Executive Board napirendjén kifejezetten szerepel a </w:t>
      </w:r>
      <w:r w:rsidRPr="00E45723">
        <w:rPr>
          <w:rStyle w:val="Strong"/>
          <w:rFonts w:asciiTheme="minorHAnsi" w:hAnsiTheme="minorHAnsi" w:cs="Calibri"/>
          <w:b w:val="0"/>
        </w:rPr>
        <w:t>kockázatkezelés, compliance, belső ellenőrzés, belső audit és HSE</w:t>
      </w:r>
      <w:r w:rsidRPr="00E45723">
        <w:rPr>
          <w:rFonts w:asciiTheme="minorHAnsi" w:hAnsiTheme="minorHAnsi" w:cs="Calibri"/>
        </w:rPr>
        <w:t xml:space="preserve"> területre vonatkozó </w:t>
      </w:r>
      <w:r w:rsidRPr="00E45723">
        <w:rPr>
          <w:rStyle w:val="Strong"/>
          <w:rFonts w:asciiTheme="minorHAnsi" w:hAnsiTheme="minorHAnsi" w:cs="Calibri"/>
          <w:b w:val="0"/>
        </w:rPr>
        <w:t>időszakos beszámolók és jelentések</w:t>
      </w:r>
      <w:r w:rsidRPr="00E45723">
        <w:rPr>
          <w:rFonts w:asciiTheme="minorHAnsi" w:hAnsiTheme="minorHAnsi" w:cs="Calibri"/>
        </w:rPr>
        <w:t xml:space="preserve"> megtárgyalása, valamint </w:t>
      </w:r>
      <w:r w:rsidRPr="00E45723">
        <w:rPr>
          <w:rStyle w:val="Strong"/>
          <w:rFonts w:asciiTheme="minorHAnsi" w:hAnsiTheme="minorHAnsi" w:cs="Calibri"/>
          <w:b w:val="0"/>
        </w:rPr>
        <w:t>intézkedési (ellenőrzési) tervek elfogadása</w:t>
      </w:r>
      <w:r w:rsidRPr="00E45723">
        <w:rPr>
          <w:rFonts w:asciiTheme="minorHAnsi" w:hAnsiTheme="minorHAnsi" w:cs="Calibri"/>
          <w:b/>
        </w:rPr>
        <w:t>.</w:t>
      </w:r>
    </w:p>
    <w:p w14:paraId="4C2BDFEC"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Közvetlen jelentési út a felügyeleti testület felé (Felügyelőbizottság):</w:t>
      </w:r>
      <w:r w:rsidRPr="00E45723">
        <w:rPr>
          <w:rFonts w:asciiTheme="minorHAnsi" w:hAnsiTheme="minorHAnsi" w:cs="Calibri"/>
        </w:rPr>
        <w:t xml:space="preserve"> a </w:t>
      </w:r>
      <w:r w:rsidRPr="00E45723">
        <w:rPr>
          <w:rStyle w:val="Strong"/>
          <w:rFonts w:asciiTheme="minorHAnsi" w:hAnsiTheme="minorHAnsi" w:cs="Calibri"/>
          <w:b w:val="0"/>
        </w:rPr>
        <w:t>Compliance department</w:t>
      </w:r>
      <w:r w:rsidRPr="00E45723">
        <w:rPr>
          <w:rFonts w:asciiTheme="minorHAnsi" w:hAnsiTheme="minorHAnsi" w:cs="Calibri"/>
        </w:rPr>
        <w:t xml:space="preserve"> az SZMSZ szerint a többi szakterülettől függetlenül </w:t>
      </w:r>
      <w:r w:rsidRPr="00E45723">
        <w:rPr>
          <w:rStyle w:val="Strong"/>
          <w:rFonts w:asciiTheme="minorHAnsi" w:hAnsiTheme="minorHAnsi" w:cs="Calibri"/>
          <w:b w:val="0"/>
        </w:rPr>
        <w:t>közvetlenül a Vezérigazgató irányítása alá tartozik</w:t>
      </w:r>
      <w:r w:rsidRPr="00E45723">
        <w:rPr>
          <w:rFonts w:asciiTheme="minorHAnsi" w:hAnsiTheme="minorHAnsi" w:cs="Calibri"/>
          <w:b/>
        </w:rPr>
        <w:t>,</w:t>
      </w:r>
      <w:r w:rsidRPr="00E45723">
        <w:rPr>
          <w:rFonts w:asciiTheme="minorHAnsi" w:hAnsiTheme="minorHAnsi" w:cs="Calibri"/>
        </w:rPr>
        <w:t xml:space="preserve"> és </w:t>
      </w:r>
      <w:r w:rsidRPr="00E45723">
        <w:rPr>
          <w:rStyle w:val="Strong"/>
          <w:rFonts w:asciiTheme="minorHAnsi" w:hAnsiTheme="minorHAnsi" w:cs="Calibri"/>
          <w:b w:val="0"/>
        </w:rPr>
        <w:t>közvetlenül a Vezérigazgatónak és a Felügyelőbizottságnak jelent</w:t>
      </w:r>
      <w:r w:rsidRPr="00E45723">
        <w:rPr>
          <w:rFonts w:asciiTheme="minorHAnsi" w:hAnsiTheme="minorHAnsi" w:cs="Calibri"/>
          <w:b/>
        </w:rPr>
        <w:t>;</w:t>
      </w:r>
      <w:r w:rsidRPr="00E45723">
        <w:rPr>
          <w:rFonts w:asciiTheme="minorHAnsi" w:hAnsiTheme="minorHAnsi" w:cs="Calibri"/>
        </w:rPr>
        <w:t xml:space="preserve"> továbbá a Felügyelőbizottság felé jelenti a megfelelőségi szabályok megsértését, és rendszeresen beszámol a megfelelőségi kockázatokról.</w:t>
      </w:r>
    </w:p>
    <w:p w14:paraId="4A3A3494"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Holding/csoportszintű jelentések aggregálása:</w:t>
      </w:r>
      <w:r w:rsidRPr="00E45723">
        <w:rPr>
          <w:rFonts w:asciiTheme="minorHAnsi" w:hAnsiTheme="minorHAnsi" w:cs="Calibri"/>
        </w:rPr>
        <w:t xml:space="preserve"> az Executive Board tagok a hozzájuk rendelt szakterületek mentén </w:t>
      </w:r>
      <w:r w:rsidRPr="00E45723">
        <w:rPr>
          <w:rStyle w:val="Strong"/>
          <w:rFonts w:asciiTheme="minorHAnsi" w:hAnsiTheme="minorHAnsi" w:cs="Calibri"/>
          <w:b w:val="0"/>
        </w:rPr>
        <w:t>egységes riportálási rendszerek</w:t>
      </w:r>
      <w:r w:rsidRPr="00E45723">
        <w:rPr>
          <w:rFonts w:asciiTheme="minorHAnsi" w:hAnsiTheme="minorHAnsi" w:cs="Calibri"/>
        </w:rPr>
        <w:t xml:space="preserve"> kialakításában és működtetésében, valamint a </w:t>
      </w:r>
      <w:r w:rsidRPr="00E45723">
        <w:rPr>
          <w:rStyle w:val="Strong"/>
          <w:rFonts w:asciiTheme="minorHAnsi" w:hAnsiTheme="minorHAnsi" w:cs="Calibri"/>
          <w:b w:val="0"/>
        </w:rPr>
        <w:t>leányvállalati szakterületi jelentések elemzésében/értékelésében</w:t>
      </w:r>
      <w:r w:rsidRPr="00E45723">
        <w:rPr>
          <w:rFonts w:asciiTheme="minorHAnsi" w:hAnsiTheme="minorHAnsi" w:cs="Calibri"/>
        </w:rPr>
        <w:t xml:space="preserve"> </w:t>
      </w:r>
      <w:r w:rsidRPr="00E45723">
        <w:rPr>
          <w:rFonts w:asciiTheme="minorHAnsi" w:hAnsiTheme="minorHAnsi" w:cs="Calibri"/>
        </w:rPr>
        <w:lastRenderedPageBreak/>
        <w:t>is szerepet kapnak, így a tagvállalati IRO-k csoportszinten strukturáltan „feljutnak” az EB-hez.</w:t>
      </w:r>
    </w:p>
    <w:p w14:paraId="35FFF56C"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Riportálási kötelezettségek rendszerszintű kezelése:</w:t>
      </w:r>
      <w:r w:rsidRPr="00E45723">
        <w:rPr>
          <w:rFonts w:asciiTheme="minorHAnsi" w:hAnsiTheme="minorHAnsi" w:cs="Calibri"/>
        </w:rPr>
        <w:t xml:space="preserve"> a vezetői feladatok között megjelenik a </w:t>
      </w:r>
      <w:r w:rsidRPr="00E45723">
        <w:rPr>
          <w:rStyle w:val="Strong"/>
          <w:rFonts w:asciiTheme="minorHAnsi" w:hAnsiTheme="minorHAnsi" w:cs="Calibri"/>
          <w:b w:val="0"/>
        </w:rPr>
        <w:t>jelentésadási, adatszolgáltatási és beszámolási kötelezettségek teljesítése</w:t>
      </w:r>
      <w:r w:rsidRPr="00E45723">
        <w:rPr>
          <w:rFonts w:asciiTheme="minorHAnsi" w:hAnsiTheme="minorHAnsi" w:cs="Calibri"/>
          <w:b/>
        </w:rPr>
        <w:t>,</w:t>
      </w:r>
      <w:r w:rsidRPr="00E45723">
        <w:rPr>
          <w:rFonts w:asciiTheme="minorHAnsi" w:hAnsiTheme="minorHAnsi" w:cs="Calibri"/>
        </w:rPr>
        <w:t xml:space="preserve"> valamint a </w:t>
      </w:r>
      <w:r w:rsidRPr="00E45723">
        <w:rPr>
          <w:rStyle w:val="Strong"/>
          <w:rFonts w:asciiTheme="minorHAnsi" w:hAnsiTheme="minorHAnsi" w:cs="Calibri"/>
          <w:b w:val="0"/>
        </w:rPr>
        <w:t>riportálási rendszer kialakítása és fejlesztése</w:t>
      </w:r>
      <w:r w:rsidRPr="00E45723">
        <w:rPr>
          <w:rFonts w:asciiTheme="minorHAnsi" w:hAnsiTheme="minorHAnsi" w:cs="Calibri"/>
        </w:rPr>
        <w:t xml:space="preserve"> (különös figyelemmel a cégcsoportot érintő kötelezettségekre).</w:t>
      </w:r>
    </w:p>
    <w:p w14:paraId="3776FA0A"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[ESRS 2 bek. 23.] Az ügyviteli, ügyvezetői és felügyelő testületek készségei és szakértelme a fenntarthatósági kérdések felügyelete érdekében</w:t>
      </w:r>
    </w:p>
    <w:p w14:paraId="6A63283F" w14:textId="30019302"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fenntarthatósági felügyeletéhez szükséges szakértelem az SZMSZ alapján elsősorban a felsővezetői testület összetételén, valamint dedikált szakmai funkciókon keresztül biztosított. </w:t>
      </w:r>
      <w:r w:rsidR="00B75E29" w:rsidRPr="00E45723">
        <w:rPr>
          <w:rFonts w:asciiTheme="minorHAnsi" w:hAnsiTheme="minorHAnsi" w:cs="Calibri"/>
        </w:rPr>
        <w:br/>
      </w:r>
      <w:r w:rsidRPr="00E45723">
        <w:rPr>
          <w:rFonts w:asciiTheme="minorHAnsi" w:hAnsiTheme="minorHAnsi" w:cs="Calibri"/>
        </w:rPr>
        <w:t>Az Executive Board állandó tagjai funkcionális felsővezetők (GCFO, GCOO, GCTO, GCHRO, GCCO, GCSO), ami a fenntarthatósági témákhoz tipikusan kapcsolódó pénzügyi, működési, technológiai, HR/„S”, értékesítési és vállalatközponti irányítási nézőpontokat testületi szinten biztosítja. Az Executive Board napirendje kifejezetten érinti a kockázatkezelés, compliance, belső ellenőrzés/audit és HSE területek beszámolóit, így a fenntarthatósági kockázatok/hatások szakmai témái rendszeresen felsővezetői szintre kerülnek.</w:t>
      </w:r>
    </w:p>
    <w:p w14:paraId="790BF83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szervezeten belül ESG területért felelős GCCO ESG menedzseri képzést végzett el.</w:t>
      </w:r>
    </w:p>
    <w:p w14:paraId="5B3D3A94" w14:textId="77777777" w:rsidR="00BD159D" w:rsidRPr="00E45723" w:rsidRDefault="00FD7771">
      <w:pPr>
        <w:spacing w:after="160"/>
        <w:rPr>
          <w:rFonts w:asciiTheme="minorHAnsi" w:hAnsiTheme="minorHAnsi" w:cs="Calibri"/>
        </w:rPr>
      </w:pPr>
      <w:r w:rsidRPr="00E45723">
        <w:rPr>
          <w:rFonts w:asciiTheme="minorHAnsi" w:hAnsiTheme="minorHAnsi" w:cs="Calibri"/>
        </w:rPr>
        <w:t>Felügyelőbizottság ellenőrzési jogkörei (betekintés, felvilágosításkérés, vizsgálat, szakértő bevonása) lehetővé teszik, hogy fenntarthatósági témákban is megfelelő mélységű kontrollt gyakoroljon, és szükség esetén külső szakértelmet is igénybe vegyen.</w:t>
      </w:r>
    </w:p>
    <w:p w14:paraId="56FD246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G1 5. bek. b) Az üzleti magatartási (integritás, etika, megfelelőség) témákban a testületek által hasznosított szakértelem az SZMSZ szerint dedikált, független kontroll- és vizsgáló funkciókban áll rendelkezésre, és közvetlen jelentési csatornákon keresztül kapcsolódik a vezetéshez és a felügyelethez:</w:t>
      </w:r>
    </w:p>
    <w:p w14:paraId="486A0E5B"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Megfelelőségi (compliance) szakértelem – Compliance department (Group head of Compliance): stratégiai szereppel támogatja a jogszerű, transzparens és etikus működést; figyeli a releváns jogszabályi/előírási változásokat, kezdeményezi a belső folyamatok és szabályzatok felülvizsgálatát, kezeli az integritási és korrupciós kockázatokat, összeférhetetlenségi helyzeteket és működteti a visszaélés-bejelentő rendszert; továbbá közvetlenül a Vezérigazgatónak és a Felügyelőbizottságnak jelent, és jelenti a megfelelőségi szabályok megsértését.</w:t>
      </w:r>
    </w:p>
    <w:p w14:paraId="27B5A6D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Etikai ügyek kivizsgálására szolgáló testületi szakértelem a legnagyobb magyarországi leányvállalatnál/munkáltatónál – Etikai Bizottság: az Etikai Kódex megsértéséből fakadó bejelentések kivizsgálását végzi, és intézkedésekre tesz javaslatot; összetétele biztosítja a HR–compliance–jogi nézőpontot (elnök: Group CHRO). </w:t>
      </w:r>
    </w:p>
    <w:p w14:paraId="7ECDF0D3" w14:textId="477178A9"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Jogi és szabályozási szakértelem – Legal department (Group CCO): cégcsoportszintű jogi kockázatok azonosítása/kezelése, szabályzatok és politikák kidolgozása és harmo</w:t>
      </w:r>
      <w:r w:rsidR="00B75E29" w:rsidRPr="00E45723">
        <w:rPr>
          <w:rFonts w:asciiTheme="minorHAnsi" w:hAnsiTheme="minorHAnsi" w:cs="Calibri"/>
        </w:rPr>
        <w:t>-</w:t>
      </w:r>
      <w:r w:rsidRPr="00E45723">
        <w:rPr>
          <w:rFonts w:asciiTheme="minorHAnsi" w:hAnsiTheme="minorHAnsi" w:cs="Calibri"/>
        </w:rPr>
        <w:t>nizálása, továbbá csoportszintű etikai és fenntarthatósági irányelvek kialakításának és felügyeletének támogatása.</w:t>
      </w:r>
    </w:p>
    <w:p w14:paraId="3D9CB86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ügyviteli, ügyvezetői és felügyelő testületek üzleti magatartással kapcsolatos szerepének közzététele</w:t>
      </w:r>
    </w:p>
    <w:p w14:paraId="405A201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G1 5. bek. a)] Az üzleti magatartási (integritási, etikai és megfelelőségi) keretrendszerének felügyelete és működtetése Cégcsoportban több szinten valósul meg:</w:t>
      </w:r>
    </w:p>
    <w:p w14:paraId="5C8E6E7E"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lastRenderedPageBreak/>
        <w:t>Ügyvezetés (Vezérigazgató / GCEO):</w:t>
      </w:r>
      <w:r w:rsidRPr="00E45723">
        <w:rPr>
          <w:rFonts w:asciiTheme="minorHAnsi" w:hAnsiTheme="minorHAnsi" w:cs="Calibri"/>
        </w:rPr>
        <w:t xml:space="preserve"> felel a megfelelőségi és belső kontrollkörnyezet működtetéséért; a compliance funkció közvetlenül az ő irányítása alá tartozik.</w:t>
      </w:r>
    </w:p>
    <w:p w14:paraId="5F31CAF0"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Executive Board (felsővezetői fórum):</w:t>
      </w:r>
      <w:r w:rsidRPr="00E45723">
        <w:rPr>
          <w:rFonts w:asciiTheme="minorHAnsi" w:hAnsiTheme="minorHAnsi" w:cs="Calibri"/>
        </w:rPr>
        <w:t xml:space="preserve"> napirendjén szerepel a</w:t>
      </w:r>
      <w:r w:rsidRPr="00E45723">
        <w:rPr>
          <w:rFonts w:asciiTheme="minorHAnsi" w:hAnsiTheme="minorHAnsi" w:cs="Calibri"/>
          <w:b/>
          <w:bCs/>
        </w:rPr>
        <w:t xml:space="preserve"> </w:t>
      </w:r>
      <w:r w:rsidRPr="00E45723">
        <w:rPr>
          <w:rStyle w:val="Strong"/>
          <w:rFonts w:asciiTheme="minorHAnsi" w:hAnsiTheme="minorHAnsi" w:cs="Calibri"/>
          <w:b w:val="0"/>
        </w:rPr>
        <w:t>compliance</w:t>
      </w:r>
      <w:r w:rsidRPr="00E45723">
        <w:rPr>
          <w:rFonts w:asciiTheme="minorHAnsi" w:hAnsiTheme="minorHAnsi" w:cs="Calibri"/>
          <w:b/>
          <w:bCs/>
        </w:rPr>
        <w:t>,</w:t>
      </w:r>
      <w:r w:rsidRPr="00E45723">
        <w:rPr>
          <w:rFonts w:asciiTheme="minorHAnsi" w:hAnsiTheme="minorHAnsi" w:cs="Calibri"/>
        </w:rPr>
        <w:t xml:space="preserve"> a belső ellenőrzés/audit és a kapcsolódó jelentések megtárgyalása, valamint intézkedési tervek elfogadása, így a magatartási kockázatok (pl. etikai incidensek, megfelelési hiányosságok) vezetői szintű kezelése is.</w:t>
      </w:r>
    </w:p>
    <w:p w14:paraId="144339FF"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Felügyelőbizottság:</w:t>
      </w:r>
      <w:r w:rsidRPr="00E45723">
        <w:rPr>
          <w:rFonts w:asciiTheme="minorHAnsi" w:hAnsiTheme="minorHAnsi" w:cs="Calibri"/>
        </w:rPr>
        <w:t xml:space="preserve"> felügyeleti kontrollt gyakorol az ügyvezetés felett; a </w:t>
      </w:r>
      <w:r w:rsidRPr="00E45723">
        <w:rPr>
          <w:rStyle w:val="Strong"/>
          <w:rFonts w:asciiTheme="minorHAnsi" w:hAnsiTheme="minorHAnsi" w:cs="Calibri"/>
          <w:b w:val="0"/>
          <w:bCs w:val="0"/>
        </w:rPr>
        <w:t>Compliance department közvetlenül a Vezérigazgatónak és a Felügyelőbizottságnak jelent</w:t>
      </w:r>
      <w:r w:rsidRPr="00E45723">
        <w:rPr>
          <w:rFonts w:asciiTheme="minorHAnsi" w:hAnsiTheme="minorHAnsi" w:cs="Calibri"/>
          <w:b/>
        </w:rPr>
        <w:t>,</w:t>
      </w:r>
      <w:r w:rsidRPr="00E45723">
        <w:rPr>
          <w:rFonts w:asciiTheme="minorHAnsi" w:hAnsiTheme="minorHAnsi" w:cs="Calibri"/>
        </w:rPr>
        <w:t xml:space="preserve"> ami a magatartási/megfelelési kockázatok testületi szintű felügyeletét erősíti.</w:t>
      </w:r>
    </w:p>
    <w:p w14:paraId="7214B92F"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Etikai Bizottság:</w:t>
      </w:r>
      <w:r w:rsidRPr="00E45723">
        <w:rPr>
          <w:rFonts w:asciiTheme="minorHAnsi" w:hAnsiTheme="minorHAnsi" w:cs="Calibri"/>
        </w:rPr>
        <w:t xml:space="preserve"> az Etikai Kódexhez kapcsolódó bejelentések kivizsgálását és a szükséges intézkedésekre vonatkozó javaslattételt támogatja (eljárásrend és tagság az SZMSZ-ben rögzítetten) – a legnagyobb munkáltatóként működő magyar FM leányvállalat keretein belül.</w:t>
      </w:r>
    </w:p>
    <w:p w14:paraId="20114034"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Bejelentési csatornák (whistleblowing):</w:t>
      </w:r>
      <w:r w:rsidRPr="00E45723">
        <w:rPr>
          <w:rFonts w:asciiTheme="minorHAnsi" w:hAnsiTheme="minorHAnsi" w:cs="Calibri"/>
        </w:rPr>
        <w:t xml:space="preserve"> a visszaélések és üzleti magatartással kapcsolatos aggályok kezelését a Társaság bejelentési rendszere támogatja (anonim bejelentés lehetőségével), amely a magatartási incidensek feltárásának és kezelésének fontos eleme (visszaélésbejelentés és etikai vétségek bejelentése).</w:t>
      </w:r>
    </w:p>
    <w:p w14:paraId="50D8D5BE"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Kapcsolódó belső szabályozók és kontrollok:</w:t>
      </w:r>
      <w:r w:rsidRPr="00E45723">
        <w:rPr>
          <w:rFonts w:asciiTheme="minorHAnsi" w:hAnsiTheme="minorHAnsi" w:cs="Calibri"/>
        </w:rPr>
        <w:t xml:space="preserve"> a felelősségek és jóváhagyások gyakorlati érvényesítését a </w:t>
      </w:r>
      <w:r w:rsidRPr="00E45723">
        <w:rPr>
          <w:rStyle w:val="Strong"/>
          <w:rFonts w:asciiTheme="minorHAnsi" w:hAnsiTheme="minorHAnsi" w:cs="Calibri"/>
        </w:rPr>
        <w:t>Döntési mátrix</w:t>
      </w:r>
      <w:r w:rsidRPr="00E45723">
        <w:rPr>
          <w:rFonts w:asciiTheme="minorHAnsi" w:hAnsiTheme="minorHAnsi" w:cs="Calibri"/>
        </w:rPr>
        <w:t xml:space="preserve"> és a </w:t>
      </w:r>
      <w:r w:rsidRPr="00E45723">
        <w:rPr>
          <w:rStyle w:val="Strong"/>
          <w:rFonts w:asciiTheme="minorHAnsi" w:hAnsiTheme="minorHAnsi" w:cs="Calibri"/>
        </w:rPr>
        <w:t>négy szem elve</w:t>
      </w:r>
      <w:r w:rsidRPr="00E45723">
        <w:rPr>
          <w:rFonts w:asciiTheme="minorHAnsi" w:hAnsiTheme="minorHAnsi" w:cs="Calibri"/>
        </w:rPr>
        <w:t xml:space="preserve"> (munkafolyamatba épített ellenőrzések) támogatja, csökkentve a szabálytalan/jogsértő döntések és visszaélések kockázatát.</w:t>
      </w:r>
    </w:p>
    <w:p w14:paraId="298CC57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Összességében az üzleti magatartás felügyelete a (i) vezetői irányítás (GCEO, Executive Board), (ii) független kontroll és jelentési út (Felügyelőbizottság felé), valamint (iii) etikai/compliance funkciók és bejelentési csatornák kombinációján keresztül működik. Ezt egészítik ki az egyes tagvállalatok egyedi eljárásai, melyek harmonizációja és integrált rendszerbe foglalása a következő évek kiemelt prioritása.</w:t>
      </w:r>
    </w:p>
    <w:p w14:paraId="18807891" w14:textId="77777777" w:rsidR="00BD159D" w:rsidRPr="00E45723" w:rsidRDefault="00FD7771" w:rsidP="00EA3B06">
      <w:pPr>
        <w:pStyle w:val="Heading2"/>
        <w:suppressAutoHyphens/>
        <w:rPr>
          <w:rFonts w:asciiTheme="minorHAnsi" w:hAnsiTheme="minorHAnsi" w:cs="Calibri"/>
        </w:rPr>
      </w:pPr>
      <w:bookmarkStart w:id="18" w:name="_Toc239834907"/>
      <w:r w:rsidRPr="00E45723">
        <w:rPr>
          <w:rFonts w:asciiTheme="minorHAnsi" w:hAnsiTheme="minorHAnsi" w:cs="Calibri"/>
        </w:rPr>
        <w:t>GOV-2 A vállalkozás ügyviteli, ügyvezetői és felügyelő testületeinek nyújtott információk és az általuk kezelt fenntarthatósági kérdések</w:t>
      </w:r>
      <w:bookmarkEnd w:id="18"/>
    </w:p>
    <w:p w14:paraId="139E22B4"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Cs/>
        </w:rPr>
        <w:t xml:space="preserve">[ESRS 2 bek. 26. a)] </w:t>
      </w:r>
      <w:r w:rsidRPr="00E45723">
        <w:rPr>
          <w:rFonts w:asciiTheme="minorHAnsi" w:hAnsiTheme="minorHAnsi" w:cs="Calibri"/>
        </w:rPr>
        <w:t>Az ügyviteli, ügyvezetői és felügyelő testületek tájékoztatást kapnak a lényeges hatásokról, kockázatokról és lehetőségekről, a kellő gondosság végrehajtásáról, valamint az ezek kezelésére elfogadott politikák, intézkedések, mutatók és célok eredményeiről és hatékonyságáról</w:t>
      </w:r>
      <w:r w:rsidRPr="00E45723">
        <w:rPr>
          <w:rFonts w:asciiTheme="minorHAnsi" w:hAnsiTheme="minorHAnsi" w:cs="Calibri"/>
          <w:bCs/>
        </w:rPr>
        <w:t>.</w:t>
      </w:r>
    </w:p>
    <w:p w14:paraId="34A60691"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ügyvezetés és a felügyeleti testületek a fenntarthatósággal kapcsolatos információkat rendszeresen, éves és negyedéves ütemben kapják meg, az információszolgáltatást alapvetően az Ethics &amp; ESG department fogja össze, de az egyes szakterületek önállóan is jelentenek. Az éves információszolgáltatás része a fenntarthatósági jelentés elkészítése és jóváhagyása, míg a negyedéves tájékoztatás jellemzően a főbb környezeti, társadalmi és irányítási mutatók alakulására, valamint a csoportszintű projektek előrehaladására terjed ki.</w:t>
      </w:r>
    </w:p>
    <w:p w14:paraId="6056C4D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Szükség esetén — például új szabályozási elvárások, külső auditfolyamatok, lényeges kockázati események vagy csoportszintű döntések előtt — az ügyvezetés ad</w:t>
      </w:r>
      <w:r w:rsidRPr="00E45723">
        <w:rPr>
          <w:rFonts w:asciiTheme="minorHAnsi" w:hAnsiTheme="minorHAnsi" w:cs="Calibri"/>
        </w:rPr>
        <w:noBreakHyphen/>
        <w:t>hoc tájékoztatást is kap a fenntarthatósági terület szakértőitől.</w:t>
      </w:r>
    </w:p>
    <w:p w14:paraId="7BCA2F9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Az ESG/fenntarthatósági feladatokat a tagvállalatok eltérő szervezeti keretek között kezelik, a fenntarthatóságért általánosságban és egyes területeiért a leányvállalati ügyvezetők, adott </w:t>
      </w:r>
      <w:r w:rsidRPr="00E45723">
        <w:rPr>
          <w:rFonts w:asciiTheme="minorHAnsi" w:hAnsiTheme="minorHAnsi" w:cs="Calibri"/>
        </w:rPr>
        <w:lastRenderedPageBreak/>
        <w:t>esetben kijelölt ESG, valamint egyéb szakterületek felelősek. A tagvállalatok körében éves monitoring keretében adatgyűjtéssel ellenőrzik a hatások, kockázatok és lehetőségek kezelését. A testületeknek átadott információk terjedelme és részletezettsége igazodik a fenntarthatósági jelentéstételi folyamat ütemezéséhez, az aktuális stratégiai és működési döntési pontokhoz, valamint a csoport több országra kiterjedő működéséből fakadó adatfrissítési ciklusokhoz.</w:t>
      </w:r>
    </w:p>
    <w:p w14:paraId="16918D2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26. b)] A LIWO FM Csoport a fenntarthatósági hatások, kockázatok és lehetőségek (IRO-k) kezelését a stratégiai irányítás részeként értelmezi: az ESG-tényezők integrálását a működésbe és a stratégiai összehangolást a kettős lényegességi értékelés (DMA) keretrendszere támogatja. A DMA célja, hogy következetes, átlátható alapot adjon a lényeges ESG-témák azonosításához és értékeléséhez (hatás- és pénzügyi nézőpontból), amely így közvetlenül felhasználható a vezetői döntés-előkészítésben és a stratégia felügyeletében.</w:t>
      </w:r>
    </w:p>
    <w:p w14:paraId="68DFDE7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jelentős ügyletekre (pl. nagy volumenű szerződések, működési változások, kiemelt beszerzések/partnerségek) vonatkozó döntések során a Cégcsoport kockázatkezelési folyamata biztosítja, hogy a releváns IRO-k beépüljenek a folyamatokba: a kockázatkezelési szabályzat hatálya kifejezetten kiterjed az ESG-kockázatok azonosítására és értékelésére is. A kockázatokat egységes módszertan mentén minősítik (monetizálható és nem monetizálható hatású mátrixok), és a besorolástól függő vezetői döntési szintek érvényesülnek: a </w:t>
      </w:r>
      <w:r w:rsidRPr="00E45723">
        <w:rPr>
          <w:rStyle w:val="Strong"/>
          <w:rFonts w:asciiTheme="minorHAnsi" w:hAnsiTheme="minorHAnsi" w:cs="Calibri"/>
          <w:b w:val="0"/>
        </w:rPr>
        <w:t>kritikus</w:t>
      </w:r>
      <w:r w:rsidRPr="00E45723">
        <w:rPr>
          <w:rFonts w:asciiTheme="minorHAnsi" w:hAnsiTheme="minorHAnsi" w:cs="Calibri"/>
        </w:rPr>
        <w:t xml:space="preserve"> kockázatok azonnali felső vezetői beavatkozást és kötelező akciótervet, a </w:t>
      </w:r>
      <w:r w:rsidRPr="00E45723">
        <w:rPr>
          <w:rStyle w:val="Strong"/>
          <w:rFonts w:asciiTheme="minorHAnsi" w:hAnsiTheme="minorHAnsi" w:cs="Calibri"/>
          <w:b w:val="0"/>
        </w:rPr>
        <w:t>fokozott</w:t>
      </w:r>
      <w:r w:rsidRPr="00E45723">
        <w:rPr>
          <w:rFonts w:asciiTheme="minorHAnsi" w:hAnsiTheme="minorHAnsi" w:cs="Calibri"/>
        </w:rPr>
        <w:t xml:space="preserve"> kockázatok pedig vezetői döntést igényelnek a kockázat elfogadásáról vagy kezeléséről.</w:t>
      </w:r>
    </w:p>
    <w:p w14:paraId="6F664CE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kockázatkezelési folyamat stratégiai szintű beágyazását az biztosítja, hogy a rendszer </w:t>
      </w:r>
      <w:r w:rsidRPr="00E45723">
        <w:rPr>
          <w:rStyle w:val="Strong"/>
          <w:rFonts w:asciiTheme="minorHAnsi" w:hAnsiTheme="minorHAnsi" w:cs="Calibri"/>
          <w:b w:val="0"/>
        </w:rPr>
        <w:t>integrált, teljeskörű és proaktív</w:t>
      </w:r>
      <w:r w:rsidRPr="00E45723">
        <w:rPr>
          <w:rFonts w:asciiTheme="minorHAnsi" w:hAnsiTheme="minorHAnsi" w:cs="Calibri"/>
        </w:rPr>
        <w:t xml:space="preserve"> megközelítésben működik, és a vállalati folyamatokhoz illeszkedik; a kockázatkezelési stratégia alapelemeit a vállalati stratégia alapján a vezetés alakítja ki és gondozza. A koordináció és a kockázatmenedzsment jelentések elkészítése kijelölt felelősségi körökhöz kötött, ami támogatja, hogy a lényeges IRO-k és a kapcsolódó intézkedési tervek a döntéshozatal és a stratégiai felügyelet „rendszeres inputjai” legyenek.</w:t>
      </w:r>
    </w:p>
    <w:p w14:paraId="42A1134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LIWO Cégcsoport integrált kockázatkezelési rendszerét 2025. év végével alakította ki. A rendszer első körben az Anyavállalat és a legnagyobb magyarországi leányvállalat (B+N Magyarország Kft.) tekintetében kerül implementálásra, ezt követően kerül a rendszer ütemezetten bevezetésre a többi leányvállalat tekintetében. </w:t>
      </w:r>
    </w:p>
    <w:p w14:paraId="386E8C00" w14:textId="77777777" w:rsidR="00BD159D" w:rsidRPr="00E45723" w:rsidRDefault="00FD7771">
      <w:pPr>
        <w:rPr>
          <w:rFonts w:asciiTheme="minorHAnsi" w:hAnsiTheme="minorHAnsi" w:cs="Calibri"/>
        </w:rPr>
      </w:pPr>
      <w:r w:rsidRPr="00E45723">
        <w:rPr>
          <w:rFonts w:asciiTheme="minorHAnsi" w:hAnsiTheme="minorHAnsi" w:cs="Calibri"/>
        </w:rPr>
        <w:t xml:space="preserve">[ESRS 2 bek. 26. c)] A társaságnál a lényeges fenntarthatósági hatások, kockázatok és lehetőségek kezelése a társasági kockázatmenedzsment folyamatba illesztve történik: az Operatív Kockázati Munkacsoport (OKM) koordinálja az azonosítást, értékelést és az akciótervek nyomon követését, a társasági szintű kockázatmenedzsment jelentés pedig a Vezetői Értekezlet elé kerül jóváhagyásra. Az OKM / Vezetői Értekezlet / felső vezetés által kezelt, a DMA-ban azonosított fő lényeges IRO-k (témák szerinti csoportosításban) az SBM-3 Lényeges hatások, kockázatok és lehetőségek című alfejezetben láthatók, ezen felül további információkat a Társaság kettős lényegességi elemzés dokumentációja tartalmaz.  </w:t>
      </w:r>
    </w:p>
    <w:p w14:paraId="03FDAEBA" w14:textId="672EC96D" w:rsidR="00BD159D" w:rsidRPr="00E45723" w:rsidRDefault="00FD7771" w:rsidP="00B75E29">
      <w:pPr>
        <w:pStyle w:val="Heading2"/>
        <w:suppressAutoHyphens/>
        <w:spacing w:after="240"/>
        <w:rPr>
          <w:rFonts w:asciiTheme="minorHAnsi" w:hAnsiTheme="minorHAnsi" w:cs="Calibri"/>
        </w:rPr>
      </w:pPr>
      <w:bookmarkStart w:id="19" w:name="_Toc239834908"/>
      <w:r w:rsidRPr="00E45723">
        <w:rPr>
          <w:rFonts w:asciiTheme="minorHAnsi" w:hAnsiTheme="minorHAnsi" w:cs="Calibri"/>
        </w:rPr>
        <w:t xml:space="preserve">GOV-3 A fenntarthatósággal kapcsolatos teljesítmény integrálása </w:t>
      </w:r>
      <w:r w:rsidR="00B75E29" w:rsidRPr="00E45723">
        <w:rPr>
          <w:rFonts w:asciiTheme="minorHAnsi" w:hAnsiTheme="minorHAnsi" w:cs="Calibri"/>
        </w:rPr>
        <w:br/>
      </w:r>
      <w:r w:rsidRPr="00E45723">
        <w:rPr>
          <w:rFonts w:asciiTheme="minorHAnsi" w:hAnsiTheme="minorHAnsi" w:cs="Calibri"/>
        </w:rPr>
        <w:t>az ösztönző rendszerekbe</w:t>
      </w:r>
      <w:bookmarkEnd w:id="19"/>
    </w:p>
    <w:p w14:paraId="3624B710" w14:textId="77777777" w:rsidR="00BD159D" w:rsidRPr="00E45723" w:rsidRDefault="00FD7771">
      <w:pPr>
        <w:suppressAutoHyphens/>
        <w:spacing w:after="120"/>
        <w:rPr>
          <w:rFonts w:asciiTheme="minorHAnsi" w:hAnsiTheme="minorHAnsi" w:cs="Calibri"/>
          <w:color w:val="auto"/>
        </w:rPr>
      </w:pPr>
      <w:r w:rsidRPr="00E45723">
        <w:rPr>
          <w:rFonts w:asciiTheme="minorHAnsi" w:hAnsiTheme="minorHAnsi" w:cs="Calibri"/>
          <w:color w:val="auto"/>
        </w:rPr>
        <w:t>GOV-3_29_a, GOV-3_29_b, GOV-3_29_c, GOV-3_29_d, GOV-3_29_e, E1_GOV-1_13 A LIWO FM Zrt. ügyviteli, ügyvezető és felügyelő testületi tagjai esetében nincs érvényben fenntarthatósági kérdésekhez kapcsolódó ösztönző mechanizmus.</w:t>
      </w:r>
    </w:p>
    <w:p w14:paraId="398FC212" w14:textId="77777777" w:rsidR="00BD159D" w:rsidRPr="00E45723" w:rsidRDefault="00BD159D">
      <w:pPr>
        <w:suppressAutoHyphens/>
        <w:spacing w:after="120"/>
        <w:rPr>
          <w:rFonts w:asciiTheme="minorHAnsi" w:hAnsiTheme="minorHAnsi" w:cs="Calibri"/>
          <w:color w:val="auto"/>
        </w:rPr>
      </w:pPr>
    </w:p>
    <w:p w14:paraId="5B14FD89" w14:textId="77777777" w:rsidR="00BD159D" w:rsidRPr="00E45723" w:rsidRDefault="00FD7771" w:rsidP="00EA3B06">
      <w:pPr>
        <w:pStyle w:val="Stlus2"/>
        <w:suppressAutoHyphens/>
        <w:rPr>
          <w:rFonts w:asciiTheme="minorHAnsi" w:hAnsiTheme="minorHAnsi" w:cs="Calibri"/>
        </w:rPr>
      </w:pPr>
      <w:bookmarkStart w:id="20" w:name="_Toc230089757"/>
      <w:bookmarkStart w:id="21" w:name="_Toc239834909"/>
      <w:r w:rsidRPr="00E45723">
        <w:rPr>
          <w:rFonts w:asciiTheme="minorHAnsi" w:hAnsiTheme="minorHAnsi" w:cs="Calibri"/>
        </w:rPr>
        <w:lastRenderedPageBreak/>
        <w:t>Kockázatkezelés és vállalati átvilágítás</w:t>
      </w:r>
      <w:bookmarkEnd w:id="20"/>
      <w:bookmarkEnd w:id="21"/>
      <w:r w:rsidRPr="00E45723">
        <w:rPr>
          <w:rFonts w:asciiTheme="minorHAnsi" w:hAnsiTheme="minorHAnsi" w:cs="Calibri"/>
        </w:rPr>
        <w:t xml:space="preserve"> </w:t>
      </w:r>
    </w:p>
    <w:p w14:paraId="4F4F582C" w14:textId="77777777" w:rsidR="00BD159D" w:rsidRPr="00E45723" w:rsidRDefault="00FD7771" w:rsidP="00EA3B06">
      <w:pPr>
        <w:pStyle w:val="Heading2"/>
        <w:suppressAutoHyphens/>
        <w:rPr>
          <w:rFonts w:asciiTheme="minorHAnsi" w:hAnsiTheme="minorHAnsi" w:cs="Calibri"/>
        </w:rPr>
      </w:pPr>
      <w:bookmarkStart w:id="22" w:name="_Toc239834910"/>
      <w:r w:rsidRPr="00E45723">
        <w:rPr>
          <w:rFonts w:asciiTheme="minorHAnsi" w:hAnsiTheme="minorHAnsi" w:cs="Calibri"/>
        </w:rPr>
        <w:t>GOV-4 Nyilatkozat az átvilágításról</w:t>
      </w:r>
      <w:bookmarkEnd w:id="22"/>
    </w:p>
    <w:p w14:paraId="31F65CF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Alábbi táblázat tartalmazza a Társaság fenntarthatósági átvilágításának alapelemeit:</w:t>
      </w:r>
    </w:p>
    <w:tbl>
      <w:tblPr>
        <w:tblStyle w:val="Table"/>
        <w:tblW w:w="8830" w:type="dxa"/>
        <w:tblLayout w:type="fixed"/>
        <w:tblLook w:val="0020" w:firstRow="1" w:lastRow="0" w:firstColumn="0" w:lastColumn="0" w:noHBand="0" w:noVBand="0"/>
      </w:tblPr>
      <w:tblGrid>
        <w:gridCol w:w="5076"/>
        <w:gridCol w:w="3754"/>
      </w:tblGrid>
      <w:tr w:rsidR="00BD159D" w:rsidRPr="00E45723" w14:paraId="384D41D9" w14:textId="77777777" w:rsidTr="005A4858">
        <w:trPr>
          <w:cnfStyle w:val="100000000000" w:firstRow="1" w:lastRow="0" w:firstColumn="0" w:lastColumn="0" w:oddVBand="0" w:evenVBand="0" w:oddHBand="0" w:evenHBand="0" w:firstRowFirstColumn="0" w:firstRowLastColumn="0" w:lastRowFirstColumn="0" w:lastRowLastColumn="0"/>
        </w:trPr>
        <w:tc>
          <w:tcPr>
            <w:tcW w:w="5076" w:type="dxa"/>
          </w:tcPr>
          <w:p w14:paraId="53582B91" w14:textId="77777777" w:rsidR="00BD159D" w:rsidRPr="00E45723" w:rsidRDefault="00FD7771" w:rsidP="00EA3B06">
            <w:pPr>
              <w:suppressAutoHyphens/>
              <w:spacing w:before="36" w:after="36"/>
              <w:jc w:val="left"/>
              <w:rPr>
                <w:rFonts w:asciiTheme="minorHAnsi" w:hAnsiTheme="minorHAnsi" w:cs="Calibri"/>
              </w:rPr>
            </w:pPr>
            <w:r w:rsidRPr="00E45723">
              <w:rPr>
                <w:rStyle w:val="Strong"/>
                <w:rFonts w:asciiTheme="minorHAnsi" w:hAnsiTheme="minorHAnsi" w:cs="Calibri"/>
              </w:rPr>
              <w:t>Átvilágítás alapelemei</w:t>
            </w:r>
          </w:p>
        </w:tc>
        <w:tc>
          <w:tcPr>
            <w:tcW w:w="3754" w:type="dxa"/>
          </w:tcPr>
          <w:p w14:paraId="788C4558" w14:textId="77777777" w:rsidR="00BD159D" w:rsidRPr="00E45723" w:rsidRDefault="00FD7771" w:rsidP="00EA3B06">
            <w:pPr>
              <w:suppressAutoHyphens/>
              <w:spacing w:before="36" w:after="36"/>
              <w:jc w:val="left"/>
              <w:rPr>
                <w:rFonts w:asciiTheme="minorHAnsi" w:hAnsiTheme="minorHAnsi" w:cs="Calibri"/>
              </w:rPr>
            </w:pPr>
            <w:r w:rsidRPr="00E45723">
              <w:rPr>
                <w:rStyle w:val="Strong"/>
                <w:rFonts w:asciiTheme="minorHAnsi" w:hAnsiTheme="minorHAnsi" w:cs="Calibri"/>
              </w:rPr>
              <w:t>Fenntarthatósági nyilatkozat kapcsolódó fejezetei</w:t>
            </w:r>
          </w:p>
        </w:tc>
      </w:tr>
      <w:tr w:rsidR="00BD159D" w:rsidRPr="00E45723" w14:paraId="2F8CB349" w14:textId="77777777" w:rsidTr="005A4858">
        <w:tc>
          <w:tcPr>
            <w:tcW w:w="5076" w:type="dxa"/>
          </w:tcPr>
          <w:p w14:paraId="06E3E57F"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a) az átvilágítás beépítése az irányításba, a stratégiába és az üzleti modellbe</w:t>
            </w:r>
          </w:p>
        </w:tc>
        <w:tc>
          <w:tcPr>
            <w:tcW w:w="3754" w:type="dxa"/>
          </w:tcPr>
          <w:p w14:paraId="6FE7ED6F"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GOV-1, GOV-2, GOV-3</w:t>
            </w:r>
          </w:p>
        </w:tc>
      </w:tr>
      <w:tr w:rsidR="00BD159D" w:rsidRPr="00E45723" w14:paraId="1E2F50D3" w14:textId="77777777" w:rsidTr="005A4858">
        <w:tc>
          <w:tcPr>
            <w:tcW w:w="5076" w:type="dxa"/>
          </w:tcPr>
          <w:p w14:paraId="43C6CA04"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b) az érintett érdekelt felekkel való együttműködés az átvilágítás valamennyi kulcsfontosságú lépése során</w:t>
            </w:r>
          </w:p>
        </w:tc>
        <w:tc>
          <w:tcPr>
            <w:tcW w:w="3754" w:type="dxa"/>
          </w:tcPr>
          <w:p w14:paraId="3C40D4C5"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IRO-1, SBM-2, S-1, S-2</w:t>
            </w:r>
          </w:p>
        </w:tc>
      </w:tr>
      <w:tr w:rsidR="00BD159D" w:rsidRPr="00E45723" w14:paraId="0F8DBA59" w14:textId="77777777" w:rsidTr="005A4858">
        <w:tc>
          <w:tcPr>
            <w:tcW w:w="5076" w:type="dxa"/>
          </w:tcPr>
          <w:p w14:paraId="183C7E87"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c) a káros hatások meghatározása és értékelése</w:t>
            </w:r>
          </w:p>
        </w:tc>
        <w:tc>
          <w:tcPr>
            <w:tcW w:w="3754" w:type="dxa"/>
          </w:tcPr>
          <w:p w14:paraId="63CECCA5"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SBM-3, IRO-1</w:t>
            </w:r>
          </w:p>
        </w:tc>
      </w:tr>
      <w:tr w:rsidR="00BD159D" w:rsidRPr="00E45723" w14:paraId="68261718" w14:textId="77777777" w:rsidTr="005A4858">
        <w:tc>
          <w:tcPr>
            <w:tcW w:w="5076" w:type="dxa"/>
          </w:tcPr>
          <w:p w14:paraId="4B32AB18"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d) az említett káros hatások kezelésére irányuló intézkedések meghozatala</w:t>
            </w:r>
          </w:p>
        </w:tc>
        <w:tc>
          <w:tcPr>
            <w:tcW w:w="3754" w:type="dxa"/>
          </w:tcPr>
          <w:p w14:paraId="71DA8B7C"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GOV-2, GOV-5, G-1</w:t>
            </w:r>
          </w:p>
        </w:tc>
      </w:tr>
      <w:tr w:rsidR="00BD159D" w:rsidRPr="00E45723" w14:paraId="3B17F272" w14:textId="77777777" w:rsidTr="005A4858">
        <w:tc>
          <w:tcPr>
            <w:tcW w:w="5076" w:type="dxa"/>
          </w:tcPr>
          <w:p w14:paraId="1850E816"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e) ezen erőfeszítések hatékonyságának nyomon követése és kommunikáció</w:t>
            </w:r>
          </w:p>
        </w:tc>
        <w:tc>
          <w:tcPr>
            <w:tcW w:w="3754" w:type="dxa"/>
          </w:tcPr>
          <w:p w14:paraId="72E44AD6"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GOV-2, GOV-5</w:t>
            </w:r>
          </w:p>
        </w:tc>
      </w:tr>
    </w:tbl>
    <w:p w14:paraId="20BCDF40" w14:textId="77777777" w:rsidR="00BD159D" w:rsidRPr="00E45723" w:rsidRDefault="00BD159D">
      <w:pPr>
        <w:pStyle w:val="NormalWeb"/>
        <w:suppressAutoHyphens/>
        <w:rPr>
          <w:rFonts w:asciiTheme="minorHAnsi" w:hAnsiTheme="minorHAnsi" w:cs="Calibri"/>
        </w:rPr>
      </w:pPr>
    </w:p>
    <w:p w14:paraId="08CD59F1" w14:textId="77777777" w:rsidR="00BD159D" w:rsidRPr="00E45723" w:rsidRDefault="00FD7771" w:rsidP="00EA3B06">
      <w:pPr>
        <w:pStyle w:val="Heading2"/>
        <w:suppressAutoHyphens/>
        <w:rPr>
          <w:rFonts w:asciiTheme="minorHAnsi" w:hAnsiTheme="minorHAnsi" w:cs="Calibri"/>
        </w:rPr>
      </w:pPr>
      <w:bookmarkStart w:id="23" w:name="_Toc239834911"/>
      <w:r w:rsidRPr="00E45723">
        <w:rPr>
          <w:rFonts w:asciiTheme="minorHAnsi" w:hAnsiTheme="minorHAnsi" w:cs="Calibri"/>
        </w:rPr>
        <w:t>GOV-5 A fenntarthatósági jelentéssel kapcsolatos kockázatkezelés és belső ellenőrzések</w:t>
      </w:r>
      <w:bookmarkEnd w:id="23"/>
    </w:p>
    <w:p w14:paraId="4900352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36. a)] A LIWO Group társasági szintű kockázatkezelési szabályzata rögzíti a kockázatkezelés célját, alapelveit, irányítási mechanizmusát és teljes eljárásrendjét; a szabályzat kiterjed az ESG</w:t>
      </w:r>
      <w:r w:rsidRPr="00E45723">
        <w:rPr>
          <w:rFonts w:asciiTheme="minorHAnsi" w:hAnsiTheme="minorHAnsi" w:cs="Calibri"/>
        </w:rPr>
        <w:noBreakHyphen/>
        <w:t>kockázatok azonosítására és értékelésére is. A szabályozott folyamat fő lépései: azonosítás → elemzés → értékelés → kockázatkezelési terv → jóváhagyás és végrehajtás → monitoring.</w:t>
      </w:r>
    </w:p>
    <w:p w14:paraId="2804521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szervezeti szerepek és felelősségek dokumentáltak: az OKM (kockázatmenedzsment fórum) ügyrendje kijelöli a kockázatkoordinátor feladatait (szabályzatkarbantartás, adatbekérés, beérkező adatok ellenőrzése, kockázati mátrixba illesztés, jelentés</w:t>
      </w:r>
      <w:r w:rsidRPr="00E45723">
        <w:rPr>
          <w:rFonts w:asciiTheme="minorHAnsi" w:hAnsiTheme="minorHAnsi" w:cs="Calibri"/>
        </w:rPr>
        <w:noBreakHyphen/>
        <w:t>összeállítás), valamint a szakterületi delegáltak és kockázatfelelősök feladatait (azonosítás, valószínűség/hatás meghatározása, akciók előkészítése, nyomon követés). Az OKM</w:t>
      </w:r>
      <w:r w:rsidRPr="00E45723">
        <w:rPr>
          <w:rFonts w:asciiTheme="minorHAnsi" w:hAnsiTheme="minorHAnsi" w:cs="Calibri"/>
        </w:rPr>
        <w:noBreakHyphen/>
        <w:t>üléseken a kritikus/fokozott kockázatok és a kapcsolódó akciótervek egyeztetése, véglegesítése történik, a végrehajtás monitoringjával együtt.</w:t>
      </w:r>
    </w:p>
    <w:p w14:paraId="48CE2149"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kockázatkezelési rendszer a fenntarthatósági témákra és a csoport értékláncára is kiterjed (beszállítók, alvállalkozók): szabályozott átvilágítás, dokumentum</w:t>
      </w:r>
      <w:r w:rsidRPr="00E45723">
        <w:rPr>
          <w:rFonts w:asciiTheme="minorHAnsi" w:hAnsiTheme="minorHAnsi" w:cs="Calibri"/>
        </w:rPr>
        <w:noBreakHyphen/>
        <w:t xml:space="preserve"> és bizonyítékkezelés, szükség esetén helyszíni ellenőrzés; a beszállítói kockázatok nyilvántartása és frissítése folyamatos.</w:t>
      </w:r>
    </w:p>
    <w:p w14:paraId="26DFBAB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fenntarthatósági (ESG) megállapítások a pénzügyi és működési kockázatkezelési folyamatokkal összehangoltan kerülnek értékelésre és visszacsatolásra (pénzügyi hatások és lehetőségek kezelése, kockázati megállapítások beépítése a beszámolási és kockázatkezelési folyamatokba).</w:t>
      </w:r>
    </w:p>
    <w:p w14:paraId="700A1BF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36. b)] A LIWO Group strukturált kockázatértékelési megközelítést alkalmaz. A módszertan minőségi és mennyiségi szempontokat egyaránt használ, kockázati mátrix alapján értékelve többek között a bekövetkezési valószínűséget és a hatás súlyosságát; a rangsorolás után akciótervek készülnek, jóváhagyással és határidős végrehajtással. A működés rendszeres monitoringot és jelentéskészítést ír elő. Az értékelés ESG</w:t>
      </w:r>
      <w:r w:rsidRPr="00E45723">
        <w:rPr>
          <w:rFonts w:asciiTheme="minorHAnsi" w:hAnsiTheme="minorHAnsi" w:cs="Calibri"/>
        </w:rPr>
        <w:noBreakHyphen/>
        <w:t xml:space="preserve">kockázatokra is kiterjed a szabályzat </w:t>
      </w:r>
      <w:r w:rsidRPr="00E45723">
        <w:rPr>
          <w:rFonts w:asciiTheme="minorHAnsi" w:hAnsiTheme="minorHAnsi" w:cs="Calibri"/>
        </w:rPr>
        <w:lastRenderedPageBreak/>
        <w:t>kifejezett rendelkezése szerint; az ESG</w:t>
      </w:r>
      <w:r w:rsidRPr="00E45723">
        <w:rPr>
          <w:rFonts w:asciiTheme="minorHAnsi" w:hAnsiTheme="minorHAnsi" w:cs="Calibri"/>
        </w:rPr>
        <w:noBreakHyphen/>
        <w:t>adatok és megállapítások az általános kockázatmenedzsment</w:t>
      </w:r>
      <w:r w:rsidRPr="00E45723">
        <w:rPr>
          <w:rFonts w:asciiTheme="minorHAnsi" w:hAnsiTheme="minorHAnsi" w:cs="Calibri"/>
        </w:rPr>
        <w:noBreakHyphen/>
        <w:t>keretrendszer részeként kerülnek összegyűjtésre és ellenőrzésre.</w:t>
      </w:r>
    </w:p>
    <w:p w14:paraId="4EDF189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értéklánci kitettségek kezelése érdekében a beszállítói/alvállalkozói kockázatértékelés szabályozott átvilágítási mechanizmusra épül (adatbekérés, bizonyítékok vizsgálata, helyszíni ellenőrzés lehetősége, folyamatos nyilvántartás és frissítés).</w:t>
      </w:r>
    </w:p>
    <w:p w14:paraId="5FBF0E2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fenntarthatósági kockázatok pénzügyi hatásai és lehetőségei azonosításra kerülnek, és integráltan épülnek be a pénzügyi jelentéstételi/kockázatkezelési folyamatokba.</w:t>
      </w:r>
    </w:p>
    <w:p w14:paraId="3F8DE773" w14:textId="77777777" w:rsidR="00BD159D" w:rsidRPr="00E45723" w:rsidRDefault="00BD159D">
      <w:pPr>
        <w:pStyle w:val="NormalWeb"/>
        <w:suppressAutoHyphens/>
        <w:rPr>
          <w:rFonts w:asciiTheme="minorHAnsi" w:hAnsiTheme="minorHAnsi" w:cs="Calibri"/>
        </w:rPr>
      </w:pPr>
    </w:p>
    <w:p w14:paraId="6B5EE55E" w14:textId="77777777" w:rsidR="00351B04" w:rsidRPr="00E45723" w:rsidRDefault="00351B04">
      <w:pPr>
        <w:pStyle w:val="NormalWeb"/>
        <w:suppressAutoHyphens/>
        <w:rPr>
          <w:rFonts w:asciiTheme="minorHAnsi" w:hAnsiTheme="minorHAnsi" w:cs="Calibri"/>
        </w:rPr>
      </w:pPr>
    </w:p>
    <w:tbl>
      <w:tblPr>
        <w:tblStyle w:val="Table"/>
        <w:tblW w:w="8864" w:type="dxa"/>
        <w:tblLayout w:type="fixed"/>
        <w:tblLook w:val="0020" w:firstRow="1" w:lastRow="0" w:firstColumn="0" w:lastColumn="0" w:noHBand="0" w:noVBand="0"/>
      </w:tblPr>
      <w:tblGrid>
        <w:gridCol w:w="2490"/>
        <w:gridCol w:w="6374"/>
      </w:tblGrid>
      <w:tr w:rsidR="00BD159D" w:rsidRPr="00E45723" w14:paraId="7577C3F2" w14:textId="77777777" w:rsidTr="005A4858">
        <w:trPr>
          <w:cnfStyle w:val="100000000000" w:firstRow="1" w:lastRow="0" w:firstColumn="0" w:lastColumn="0" w:oddVBand="0" w:evenVBand="0" w:oddHBand="0" w:evenHBand="0" w:firstRowFirstColumn="0" w:firstRowLastColumn="0" w:lastRowFirstColumn="0" w:lastRowLastColumn="0"/>
        </w:trPr>
        <w:tc>
          <w:tcPr>
            <w:tcW w:w="2490" w:type="dxa"/>
            <w:tcBorders>
              <w:bottom w:val="single" w:sz="4" w:space="0" w:color="auto"/>
            </w:tcBorders>
          </w:tcPr>
          <w:p w14:paraId="41F4E9FD" w14:textId="77777777" w:rsidR="00BD159D" w:rsidRPr="00E45723" w:rsidRDefault="00FD7771" w:rsidP="00EA3B06">
            <w:pPr>
              <w:suppressAutoHyphens/>
              <w:spacing w:before="36" w:after="36"/>
              <w:jc w:val="left"/>
              <w:rPr>
                <w:rFonts w:asciiTheme="minorHAnsi" w:hAnsiTheme="minorHAnsi" w:cs="Calibri"/>
              </w:rPr>
            </w:pPr>
            <w:r w:rsidRPr="00E45723">
              <w:rPr>
                <w:rStyle w:val="Strong"/>
                <w:rFonts w:asciiTheme="minorHAnsi" w:hAnsiTheme="minorHAnsi" w:cs="Calibri"/>
              </w:rPr>
              <w:t>Téma</w:t>
            </w:r>
          </w:p>
        </w:tc>
        <w:tc>
          <w:tcPr>
            <w:tcW w:w="6374" w:type="dxa"/>
            <w:tcBorders>
              <w:bottom w:val="single" w:sz="4" w:space="0" w:color="auto"/>
            </w:tcBorders>
          </w:tcPr>
          <w:p w14:paraId="6BC16620" w14:textId="77777777" w:rsidR="00BD159D" w:rsidRPr="00E45723" w:rsidRDefault="00FD7771" w:rsidP="00EA3B06">
            <w:pPr>
              <w:suppressAutoHyphens/>
              <w:spacing w:before="36" w:after="36"/>
              <w:jc w:val="left"/>
              <w:rPr>
                <w:rFonts w:asciiTheme="minorHAnsi" w:hAnsiTheme="minorHAnsi" w:cs="Calibri"/>
              </w:rPr>
            </w:pPr>
            <w:r w:rsidRPr="00E45723">
              <w:rPr>
                <w:rStyle w:val="Strong"/>
                <w:rFonts w:asciiTheme="minorHAnsi" w:hAnsiTheme="minorHAnsi" w:cs="Calibri"/>
              </w:rPr>
              <w:t>LIWO gyakorlat</w:t>
            </w:r>
          </w:p>
        </w:tc>
      </w:tr>
      <w:tr w:rsidR="00BD159D" w:rsidRPr="00E45723" w14:paraId="68ABEB4B" w14:textId="77777777" w:rsidTr="005A4858">
        <w:tc>
          <w:tcPr>
            <w:tcW w:w="2490" w:type="dxa"/>
            <w:tcBorders>
              <w:top w:val="single" w:sz="4" w:space="0" w:color="auto"/>
              <w:left w:val="single" w:sz="4" w:space="0" w:color="auto"/>
              <w:bottom w:val="single" w:sz="4" w:space="0" w:color="auto"/>
              <w:right w:val="single" w:sz="4" w:space="0" w:color="auto"/>
            </w:tcBorders>
          </w:tcPr>
          <w:p w14:paraId="0EA51187"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Keretdokumentum</w:t>
            </w:r>
          </w:p>
        </w:tc>
        <w:tc>
          <w:tcPr>
            <w:tcW w:w="6374" w:type="dxa"/>
            <w:tcBorders>
              <w:top w:val="single" w:sz="4" w:space="0" w:color="auto"/>
              <w:left w:val="single" w:sz="4" w:space="0" w:color="auto"/>
              <w:bottom w:val="single" w:sz="4" w:space="0" w:color="auto"/>
              <w:right w:val="single" w:sz="4" w:space="0" w:color="auto"/>
            </w:tcBorders>
          </w:tcPr>
          <w:p w14:paraId="6D9E3032"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Társasági kockázatkezelési szabályzat: cél, alapelvek, irányítás, teljes folyamat; ESG</w:t>
            </w:r>
            <w:r w:rsidRPr="00E45723">
              <w:rPr>
                <w:rFonts w:asciiTheme="minorHAnsi" w:hAnsiTheme="minorHAnsi" w:cs="Calibri"/>
              </w:rPr>
              <w:noBreakHyphen/>
              <w:t>kockázatok kifejezetten benne.</w:t>
            </w:r>
          </w:p>
        </w:tc>
      </w:tr>
      <w:tr w:rsidR="00BD159D" w:rsidRPr="00E45723" w14:paraId="68904EE7" w14:textId="77777777" w:rsidTr="005A4858">
        <w:tc>
          <w:tcPr>
            <w:tcW w:w="2490" w:type="dxa"/>
            <w:tcBorders>
              <w:top w:val="single" w:sz="4" w:space="0" w:color="auto"/>
              <w:left w:val="single" w:sz="4" w:space="0" w:color="auto"/>
              <w:bottom w:val="single" w:sz="4" w:space="0" w:color="auto"/>
              <w:right w:val="single" w:sz="4" w:space="0" w:color="auto"/>
            </w:tcBorders>
          </w:tcPr>
          <w:p w14:paraId="266E8346"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Folyamatlépések</w:t>
            </w:r>
          </w:p>
        </w:tc>
        <w:tc>
          <w:tcPr>
            <w:tcW w:w="6374" w:type="dxa"/>
            <w:tcBorders>
              <w:top w:val="single" w:sz="4" w:space="0" w:color="auto"/>
              <w:left w:val="single" w:sz="4" w:space="0" w:color="auto"/>
              <w:bottom w:val="single" w:sz="4" w:space="0" w:color="auto"/>
              <w:right w:val="single" w:sz="4" w:space="0" w:color="auto"/>
            </w:tcBorders>
          </w:tcPr>
          <w:p w14:paraId="78AEE4E6" w14:textId="121F0283"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Azonosítás → elemzés → értékelés → terv → jóváhagyásvégrehajtás → monitoring.</w:t>
            </w:r>
          </w:p>
        </w:tc>
      </w:tr>
      <w:tr w:rsidR="00BD159D" w:rsidRPr="00E45723" w14:paraId="1DDFD8CD" w14:textId="77777777" w:rsidTr="005A4858">
        <w:tc>
          <w:tcPr>
            <w:tcW w:w="2490" w:type="dxa"/>
            <w:tcBorders>
              <w:top w:val="single" w:sz="4" w:space="0" w:color="auto"/>
              <w:left w:val="single" w:sz="4" w:space="0" w:color="auto"/>
              <w:bottom w:val="single" w:sz="4" w:space="0" w:color="auto"/>
              <w:right w:val="single" w:sz="4" w:space="0" w:color="auto"/>
            </w:tcBorders>
          </w:tcPr>
          <w:p w14:paraId="032FDDCC"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Szerepek/</w:t>
            </w:r>
            <w:r w:rsidRPr="00E45723">
              <w:rPr>
                <w:rFonts w:ascii="Arial" w:hAnsi="Arial" w:cs="Arial"/>
              </w:rPr>
              <w:t>​</w:t>
            </w:r>
            <w:r w:rsidRPr="00E45723">
              <w:rPr>
                <w:rFonts w:asciiTheme="minorHAnsi" w:hAnsiTheme="minorHAnsi" w:cs="Calibri"/>
              </w:rPr>
              <w:t>felel</w:t>
            </w:r>
            <w:r w:rsidRPr="00E45723">
              <w:rPr>
                <w:rFonts w:cs="Aptos"/>
              </w:rPr>
              <w:t>ő</w:t>
            </w:r>
            <w:r w:rsidRPr="00E45723">
              <w:rPr>
                <w:rFonts w:asciiTheme="minorHAnsi" w:hAnsiTheme="minorHAnsi" w:cs="Calibri"/>
              </w:rPr>
              <w:t>ss</w:t>
            </w:r>
            <w:r w:rsidRPr="00E45723">
              <w:rPr>
                <w:rFonts w:cs="Aptos"/>
              </w:rPr>
              <w:t>é</w:t>
            </w:r>
            <w:r w:rsidRPr="00E45723">
              <w:rPr>
                <w:rFonts w:asciiTheme="minorHAnsi" w:hAnsiTheme="minorHAnsi" w:cs="Calibri"/>
              </w:rPr>
              <w:t>gek</w:t>
            </w:r>
          </w:p>
        </w:tc>
        <w:tc>
          <w:tcPr>
            <w:tcW w:w="6374" w:type="dxa"/>
            <w:tcBorders>
              <w:top w:val="single" w:sz="4" w:space="0" w:color="auto"/>
              <w:left w:val="single" w:sz="4" w:space="0" w:color="auto"/>
              <w:bottom w:val="single" w:sz="4" w:space="0" w:color="auto"/>
              <w:right w:val="single" w:sz="4" w:space="0" w:color="auto"/>
            </w:tcBorders>
          </w:tcPr>
          <w:p w14:paraId="5E5C8179"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OKM ügyrend: kockázatkoordinátor (adatbekérés, ellenőrzés, mátrix, jelentés), szakterületi delegáltak/</w:t>
            </w:r>
            <w:r w:rsidRPr="00E45723">
              <w:rPr>
                <w:rFonts w:ascii="Arial" w:hAnsi="Arial" w:cs="Arial"/>
              </w:rPr>
              <w:t>​</w:t>
            </w:r>
            <w:r w:rsidRPr="00E45723">
              <w:rPr>
                <w:rFonts w:asciiTheme="minorHAnsi" w:hAnsiTheme="minorHAnsi" w:cs="Calibri"/>
              </w:rPr>
              <w:t>kock</w:t>
            </w:r>
            <w:r w:rsidRPr="00E45723">
              <w:rPr>
                <w:rFonts w:cs="Aptos"/>
              </w:rPr>
              <w:t>á</w:t>
            </w:r>
            <w:r w:rsidRPr="00E45723">
              <w:rPr>
                <w:rFonts w:asciiTheme="minorHAnsi" w:hAnsiTheme="minorHAnsi" w:cs="Calibri"/>
              </w:rPr>
              <w:t>zatfelel</w:t>
            </w:r>
            <w:r w:rsidRPr="00E45723">
              <w:rPr>
                <w:rFonts w:cs="Aptos"/>
              </w:rPr>
              <w:t>ő</w:t>
            </w:r>
            <w:r w:rsidRPr="00E45723">
              <w:rPr>
                <w:rFonts w:asciiTheme="minorHAnsi" w:hAnsiTheme="minorHAnsi" w:cs="Calibri"/>
              </w:rPr>
              <w:t>s</w:t>
            </w:r>
            <w:r w:rsidRPr="00E45723">
              <w:rPr>
                <w:rFonts w:cs="Aptos"/>
              </w:rPr>
              <w:t>ö</w:t>
            </w:r>
            <w:r w:rsidRPr="00E45723">
              <w:rPr>
                <w:rFonts w:asciiTheme="minorHAnsi" w:hAnsiTheme="minorHAnsi" w:cs="Calibri"/>
              </w:rPr>
              <w:t>k (azonos</w:t>
            </w:r>
            <w:r w:rsidRPr="00E45723">
              <w:rPr>
                <w:rFonts w:cs="Aptos"/>
              </w:rPr>
              <w:t>í</w:t>
            </w:r>
            <w:r w:rsidRPr="00E45723">
              <w:rPr>
                <w:rFonts w:asciiTheme="minorHAnsi" w:hAnsiTheme="minorHAnsi" w:cs="Calibri"/>
              </w:rPr>
              <w:t>t</w:t>
            </w:r>
            <w:r w:rsidRPr="00E45723">
              <w:rPr>
                <w:rFonts w:cs="Aptos"/>
              </w:rPr>
              <w:t>á</w:t>
            </w:r>
            <w:r w:rsidRPr="00E45723">
              <w:rPr>
                <w:rFonts w:asciiTheme="minorHAnsi" w:hAnsiTheme="minorHAnsi" w:cs="Calibri"/>
              </w:rPr>
              <w:t>s, val</w:t>
            </w:r>
            <w:r w:rsidRPr="00E45723">
              <w:rPr>
                <w:rFonts w:cs="Aptos"/>
              </w:rPr>
              <w:t>ó</w:t>
            </w:r>
            <w:r w:rsidRPr="00E45723">
              <w:rPr>
                <w:rFonts w:asciiTheme="minorHAnsi" w:hAnsiTheme="minorHAnsi" w:cs="Calibri"/>
              </w:rPr>
              <w:t>sz</w:t>
            </w:r>
            <w:r w:rsidRPr="00E45723">
              <w:rPr>
                <w:rFonts w:cs="Aptos"/>
              </w:rPr>
              <w:t>í</w:t>
            </w:r>
            <w:r w:rsidRPr="00E45723">
              <w:rPr>
                <w:rFonts w:asciiTheme="minorHAnsi" w:hAnsiTheme="minorHAnsi" w:cs="Calibri"/>
              </w:rPr>
              <w:t>n</w:t>
            </w:r>
            <w:r w:rsidRPr="00E45723">
              <w:rPr>
                <w:rFonts w:cs="Aptos"/>
              </w:rPr>
              <w:t>ű</w:t>
            </w:r>
            <w:r w:rsidRPr="00E45723">
              <w:rPr>
                <w:rFonts w:asciiTheme="minorHAnsi" w:hAnsiTheme="minorHAnsi" w:cs="Calibri"/>
              </w:rPr>
              <w:t>s</w:t>
            </w:r>
            <w:r w:rsidRPr="00E45723">
              <w:rPr>
                <w:rFonts w:cs="Aptos"/>
              </w:rPr>
              <w:t>é</w:t>
            </w:r>
            <w:r w:rsidRPr="00E45723">
              <w:rPr>
                <w:rFonts w:asciiTheme="minorHAnsi" w:hAnsiTheme="minorHAnsi" w:cs="Calibri"/>
              </w:rPr>
              <w:t>g/</w:t>
            </w:r>
            <w:r w:rsidRPr="00E45723">
              <w:rPr>
                <w:rFonts w:ascii="Arial" w:hAnsi="Arial" w:cs="Arial"/>
              </w:rPr>
              <w:t>​</w:t>
            </w:r>
            <w:r w:rsidRPr="00E45723">
              <w:rPr>
                <w:rFonts w:asciiTheme="minorHAnsi" w:hAnsiTheme="minorHAnsi" w:cs="Calibri"/>
              </w:rPr>
              <w:t>hat</w:t>
            </w:r>
            <w:r w:rsidRPr="00E45723">
              <w:rPr>
                <w:rFonts w:cs="Aptos"/>
              </w:rPr>
              <w:t>á</w:t>
            </w:r>
            <w:r w:rsidRPr="00E45723">
              <w:rPr>
                <w:rFonts w:asciiTheme="minorHAnsi" w:hAnsiTheme="minorHAnsi" w:cs="Calibri"/>
              </w:rPr>
              <w:t>s, akci</w:t>
            </w:r>
            <w:r w:rsidRPr="00E45723">
              <w:rPr>
                <w:rFonts w:cs="Aptos"/>
              </w:rPr>
              <w:t>ó</w:t>
            </w:r>
            <w:r w:rsidRPr="00E45723">
              <w:rPr>
                <w:rFonts w:asciiTheme="minorHAnsi" w:hAnsiTheme="minorHAnsi" w:cs="Calibri"/>
              </w:rPr>
              <w:t>k), OKM</w:t>
            </w:r>
            <w:r w:rsidRPr="00E45723">
              <w:rPr>
                <w:rFonts w:asciiTheme="minorHAnsi" w:hAnsiTheme="minorHAnsi" w:cs="Calibri"/>
              </w:rPr>
              <w:noBreakHyphen/>
            </w:r>
            <w:r w:rsidRPr="00E45723">
              <w:rPr>
                <w:rFonts w:cs="Aptos"/>
              </w:rPr>
              <w:t>ü</w:t>
            </w:r>
            <w:r w:rsidRPr="00E45723">
              <w:rPr>
                <w:rFonts w:asciiTheme="minorHAnsi" w:hAnsiTheme="minorHAnsi" w:cs="Calibri"/>
              </w:rPr>
              <w:t>l</w:t>
            </w:r>
            <w:r w:rsidRPr="00E45723">
              <w:rPr>
                <w:rFonts w:cs="Aptos"/>
              </w:rPr>
              <w:t>é</w:t>
            </w:r>
            <w:r w:rsidRPr="00E45723">
              <w:rPr>
                <w:rFonts w:asciiTheme="minorHAnsi" w:hAnsiTheme="minorHAnsi" w:cs="Calibri"/>
              </w:rPr>
              <w:t>sek d</w:t>
            </w:r>
            <w:r w:rsidRPr="00E45723">
              <w:rPr>
                <w:rFonts w:cs="Aptos"/>
              </w:rPr>
              <w:t>ö</w:t>
            </w:r>
            <w:r w:rsidRPr="00E45723">
              <w:rPr>
                <w:rFonts w:asciiTheme="minorHAnsi" w:hAnsiTheme="minorHAnsi" w:cs="Calibri"/>
              </w:rPr>
              <w:t>nt</w:t>
            </w:r>
            <w:r w:rsidRPr="00E45723">
              <w:rPr>
                <w:rFonts w:cs="Aptos"/>
              </w:rPr>
              <w:t>é</w:t>
            </w:r>
            <w:r w:rsidRPr="00E45723">
              <w:rPr>
                <w:rFonts w:asciiTheme="minorHAnsi" w:hAnsiTheme="minorHAnsi" w:cs="Calibri"/>
              </w:rPr>
              <w:t>si/</w:t>
            </w:r>
            <w:r w:rsidRPr="00E45723">
              <w:rPr>
                <w:rFonts w:ascii="Arial" w:hAnsi="Arial" w:cs="Arial"/>
              </w:rPr>
              <w:t>​</w:t>
            </w:r>
            <w:r w:rsidRPr="00E45723">
              <w:rPr>
                <w:rFonts w:asciiTheme="minorHAnsi" w:hAnsiTheme="minorHAnsi" w:cs="Calibri"/>
              </w:rPr>
              <w:t>nyomonk</w:t>
            </w:r>
            <w:r w:rsidRPr="00E45723">
              <w:rPr>
                <w:rFonts w:cs="Aptos"/>
              </w:rPr>
              <w:t>ö</w:t>
            </w:r>
            <w:r w:rsidRPr="00E45723">
              <w:rPr>
                <w:rFonts w:asciiTheme="minorHAnsi" w:hAnsiTheme="minorHAnsi" w:cs="Calibri"/>
              </w:rPr>
              <w:t>vet</w:t>
            </w:r>
            <w:r w:rsidRPr="00E45723">
              <w:rPr>
                <w:rFonts w:cs="Aptos"/>
              </w:rPr>
              <w:t>é</w:t>
            </w:r>
            <w:r w:rsidRPr="00E45723">
              <w:rPr>
                <w:rFonts w:asciiTheme="minorHAnsi" w:hAnsiTheme="minorHAnsi" w:cs="Calibri"/>
              </w:rPr>
              <w:t>si rendje.</w:t>
            </w:r>
          </w:p>
        </w:tc>
      </w:tr>
      <w:tr w:rsidR="00BD159D" w:rsidRPr="00E45723" w14:paraId="4B80D405" w14:textId="77777777" w:rsidTr="005A4858">
        <w:tc>
          <w:tcPr>
            <w:tcW w:w="2490" w:type="dxa"/>
            <w:tcBorders>
              <w:top w:val="single" w:sz="4" w:space="0" w:color="auto"/>
              <w:left w:val="single" w:sz="4" w:space="0" w:color="auto"/>
              <w:bottom w:val="single" w:sz="4" w:space="0" w:color="auto"/>
              <w:right w:val="single" w:sz="4" w:space="0" w:color="auto"/>
            </w:tcBorders>
          </w:tcPr>
          <w:p w14:paraId="2F8CF2C9"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Értéklánc lefedettsége</w:t>
            </w:r>
          </w:p>
        </w:tc>
        <w:tc>
          <w:tcPr>
            <w:tcW w:w="6374" w:type="dxa"/>
            <w:tcBorders>
              <w:top w:val="single" w:sz="4" w:space="0" w:color="auto"/>
              <w:left w:val="single" w:sz="4" w:space="0" w:color="auto"/>
              <w:bottom w:val="single" w:sz="4" w:space="0" w:color="auto"/>
              <w:right w:val="single" w:sz="4" w:space="0" w:color="auto"/>
            </w:tcBorders>
          </w:tcPr>
          <w:p w14:paraId="4D4AD958" w14:textId="16191459"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Beszállítói/alvállalkozói átvilágítás (ESG-beszámoló), bizonyítékkezelés, helyszíni ellenőrzés, folyamatos nyilvántartás.</w:t>
            </w:r>
          </w:p>
        </w:tc>
      </w:tr>
      <w:tr w:rsidR="00BD159D" w:rsidRPr="00E45723" w14:paraId="7B733071" w14:textId="77777777" w:rsidTr="005A4858">
        <w:tc>
          <w:tcPr>
            <w:tcW w:w="2490" w:type="dxa"/>
            <w:tcBorders>
              <w:top w:val="single" w:sz="4" w:space="0" w:color="auto"/>
              <w:left w:val="single" w:sz="4" w:space="0" w:color="auto"/>
              <w:bottom w:val="single" w:sz="4" w:space="0" w:color="auto"/>
              <w:right w:val="single" w:sz="4" w:space="0" w:color="auto"/>
            </w:tcBorders>
          </w:tcPr>
          <w:p w14:paraId="28528F7F"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Értékelési technika</w:t>
            </w:r>
          </w:p>
        </w:tc>
        <w:tc>
          <w:tcPr>
            <w:tcW w:w="6374" w:type="dxa"/>
            <w:tcBorders>
              <w:top w:val="single" w:sz="4" w:space="0" w:color="auto"/>
              <w:left w:val="single" w:sz="4" w:space="0" w:color="auto"/>
              <w:bottom w:val="single" w:sz="4" w:space="0" w:color="auto"/>
              <w:right w:val="single" w:sz="4" w:space="0" w:color="auto"/>
            </w:tcBorders>
          </w:tcPr>
          <w:p w14:paraId="0257C026" w14:textId="5B2E65EF"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Kockázati mátrix (valószínűség × hatás), rangsorolás, akcióterv, monitoring/jelentés.</w:t>
            </w:r>
          </w:p>
        </w:tc>
      </w:tr>
      <w:tr w:rsidR="00BD159D" w:rsidRPr="00E45723" w14:paraId="3DC25C84" w14:textId="77777777" w:rsidTr="005A4858">
        <w:tc>
          <w:tcPr>
            <w:tcW w:w="2490" w:type="dxa"/>
            <w:tcBorders>
              <w:top w:val="single" w:sz="4" w:space="0" w:color="auto"/>
              <w:left w:val="single" w:sz="4" w:space="0" w:color="auto"/>
              <w:bottom w:val="single" w:sz="4" w:space="0" w:color="auto"/>
              <w:right w:val="single" w:sz="4" w:space="0" w:color="auto"/>
            </w:tcBorders>
          </w:tcPr>
          <w:p w14:paraId="0D165990"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Integráció a pénzüggyel</w:t>
            </w:r>
          </w:p>
        </w:tc>
        <w:tc>
          <w:tcPr>
            <w:tcW w:w="6374" w:type="dxa"/>
            <w:tcBorders>
              <w:top w:val="single" w:sz="4" w:space="0" w:color="auto"/>
              <w:left w:val="single" w:sz="4" w:space="0" w:color="auto"/>
              <w:bottom w:val="single" w:sz="4" w:space="0" w:color="auto"/>
              <w:right w:val="single" w:sz="4" w:space="0" w:color="auto"/>
            </w:tcBorders>
          </w:tcPr>
          <w:p w14:paraId="2D76B31E" w14:textId="77777777" w:rsidR="00BD159D" w:rsidRPr="00E45723" w:rsidRDefault="00FD7771" w:rsidP="00EA3B06">
            <w:pPr>
              <w:suppressAutoHyphens/>
              <w:spacing w:before="36" w:after="36"/>
              <w:jc w:val="left"/>
              <w:rPr>
                <w:rFonts w:asciiTheme="minorHAnsi" w:hAnsiTheme="minorHAnsi" w:cs="Calibri"/>
              </w:rPr>
            </w:pPr>
            <w:r w:rsidRPr="00E45723">
              <w:rPr>
                <w:rFonts w:asciiTheme="minorHAnsi" w:hAnsiTheme="minorHAnsi" w:cs="Calibri"/>
              </w:rPr>
              <w:t>ESG</w:t>
            </w:r>
            <w:r w:rsidRPr="00E45723">
              <w:rPr>
                <w:rFonts w:asciiTheme="minorHAnsi" w:hAnsiTheme="minorHAnsi" w:cs="Calibri"/>
              </w:rPr>
              <w:noBreakHyphen/>
              <w:t>kockázatok/</w:t>
            </w:r>
            <w:r w:rsidRPr="00E45723">
              <w:rPr>
                <w:rFonts w:asciiTheme="minorHAnsi" w:hAnsiTheme="minorHAnsi" w:cs="Calibri"/>
              </w:rPr>
              <w:noBreakHyphen/>
              <w:t>lehetőségek beépítése a pénzügyi jelentésbe és kockázatkezelésbe.</w:t>
            </w:r>
          </w:p>
        </w:tc>
      </w:tr>
    </w:tbl>
    <w:p w14:paraId="64640CE4" w14:textId="4332FCCD"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[ESRS 2 bek. 36. c), ESRS 2 bek. 36. d), ESRS 2 bek. 36. e)] A LIWO Group a fenntarthatósági jelentéstételhez kapcsolódó kockázatkezelési és belső kontrollfolyamatokat szervesen beépítette, illetve folyamatosan építi be a vállalat általános kockázatkezelési és irányítási rendszerébe. </w:t>
      </w:r>
      <w:r w:rsidR="00B75E29" w:rsidRPr="00E45723">
        <w:rPr>
          <w:rFonts w:asciiTheme="minorHAnsi" w:hAnsiTheme="minorHAnsi" w:cs="Calibri"/>
        </w:rPr>
        <w:br/>
      </w:r>
      <w:r w:rsidRPr="00E45723">
        <w:rPr>
          <w:rFonts w:asciiTheme="minorHAnsi" w:hAnsiTheme="minorHAnsi" w:cs="Calibri"/>
        </w:rPr>
        <w:t>A fenntarthatósági szempontból lényeges hatások, kockázatok és lehetőségek azonosítása során strukturált kockázatértékelési megközelítést alkalmazott, amely összhangban áll az ESRS 1 és ESRS 2 előírásaival, valamint a kettős lényegesség (double materiality) elvével.</w:t>
      </w:r>
    </w:p>
    <w:p w14:paraId="6D4F77F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ESG-vel kapcsolatos adatgyűjtés, indikátorok és kockázatok értékelése a meglévő kockázatmenedzsment keretrendszer részeként működik, amely a pénzügyi és működési kockázatok kezelésével azonos logikát követ.</w:t>
      </w:r>
    </w:p>
    <w:p w14:paraId="1CBA4993" w14:textId="63358332" w:rsidR="00BD159D" w:rsidRPr="00E45723" w:rsidRDefault="00FD7771" w:rsidP="00EA3B06">
      <w:pPr>
        <w:pStyle w:val="BodyText"/>
        <w:rPr>
          <w:rFonts w:asciiTheme="minorHAnsi" w:hAnsiTheme="minorHAnsi" w:cs="Calibri"/>
        </w:rPr>
      </w:pPr>
      <w:r w:rsidRPr="00E45723">
        <w:rPr>
          <w:rFonts w:asciiTheme="minorHAnsi" w:hAnsiTheme="minorHAnsi" w:cs="Calibri"/>
        </w:rPr>
        <w:t>A fenntarthatósági jelentés elkészítésének folyamatában a legnagyobb kockázatot az adatszolgáltatás határidő utáni teljesítése jelenti. A</w:t>
      </w:r>
      <w:r w:rsidR="00B75E29" w:rsidRPr="00E45723">
        <w:rPr>
          <w:rFonts w:asciiTheme="minorHAnsi" w:hAnsiTheme="minorHAnsi" w:cs="Calibri"/>
        </w:rPr>
        <w:t xml:space="preserve"> </w:t>
      </w:r>
      <w:r w:rsidRPr="00E45723">
        <w:rPr>
          <w:rFonts w:asciiTheme="minorHAnsi" w:hAnsiTheme="minorHAnsi" w:cs="Calibri"/>
        </w:rPr>
        <w:t>vállalatcsoport méretéből adódóan az adatoknak időben rendelkezésre kell állnia ahhoz, hogy a közzététel előtt a konszolidáció is megfelelő módon elvégezhető legyen. Bizonyos esetekben továbbá kockázatot jelent a tagvállalati adatok pontossága és megbízhatósága, elsősorban a határidők szűkössége miatt. A tagvállalatok egy része által működtetett minőségbiztosítási rendszerek támogatják az adatgyűjtés és az adatok minőségét és pontosságát. </w:t>
      </w:r>
    </w:p>
    <w:p w14:paraId="31A5563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fenntarthatósági jelentéstétel során feltárt kockázati megállapítások és kontrollhiányosságok — például adatmegbízhatósági, dokumentáltsági vagy értéklánc-átvilágítási kérdések — a </w:t>
      </w:r>
      <w:r w:rsidRPr="00E45723">
        <w:rPr>
          <w:rFonts w:asciiTheme="minorHAnsi" w:hAnsiTheme="minorHAnsi" w:cs="Calibri"/>
        </w:rPr>
        <w:lastRenderedPageBreak/>
        <w:t>kockázati lista frissítésén keresztül kerülnek visszacsatolásra a társasági kockázatkezelési folyamatokba. A kockázatkoordinátor feladata a beérkező adatok ellenőrzése, hiánypótlás kezdeményezése és a kockázati mátrix aktualizálása, amely biztosítja, hogy a fenntarthatósági tematikájú kockázatok a megfelelő kezelés és monitoring alá kerüljenek.</w:t>
      </w:r>
    </w:p>
    <w:p w14:paraId="2EE905D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szakterületek által előállított fenntarthatósági adatok az irányítási folyamatokba épülnek be, és azok pontosságáért az adott terület vezetői felelősek.</w:t>
      </w:r>
    </w:p>
    <w:p w14:paraId="3C9314F4" w14:textId="1AA06683" w:rsidR="00BD159D" w:rsidRPr="00E45723" w:rsidRDefault="00FD7771" w:rsidP="00EA3B06">
      <w:pPr>
        <w:pStyle w:val="BodyText"/>
        <w:rPr>
          <w:rFonts w:asciiTheme="minorHAnsi" w:hAnsiTheme="minorHAnsi" w:cs="Calibri"/>
        </w:rPr>
      </w:pPr>
      <w:r w:rsidRPr="00E45723">
        <w:rPr>
          <w:rFonts w:asciiTheme="minorHAnsi" w:hAnsiTheme="minorHAnsi" w:cs="Calibri"/>
        </w:rPr>
        <w:t>Mivel a fenntarthatósági jelentéstétel 2025. év vonatkozásában valósul meg először a teljes cégcsoportra kiterjedően, a társaság a tapasztalatokat figyelembe véve a következő évtől kezdődően alakítja ki a fenntarthatósági kockázatokhoz kapcsolódó végleges belső kontrollintézkedések körét és gyakoriságát, valamint ezeknek a társasági a szabályozási keretrendszerbe történő teljes körű integrációját.</w:t>
      </w:r>
    </w:p>
    <w:p w14:paraId="71979F6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fenntarthatósági jelentéstétellel összefüggő kockázati megállapítások így beépülnek a társaság éves kockázatkezelési jelentésébe és a kapcsolódó belső irányítási folyamatokba, biztosítva a folyamatos kontrollt és a szükséges intézkedések végrehajtását.</w:t>
      </w:r>
    </w:p>
    <w:p w14:paraId="01393681" w14:textId="77777777" w:rsidR="00BD159D" w:rsidRPr="00E45723" w:rsidRDefault="00FD7771" w:rsidP="00EA3B06">
      <w:pPr>
        <w:pStyle w:val="Stlus2"/>
        <w:suppressAutoHyphens/>
        <w:rPr>
          <w:rFonts w:asciiTheme="minorHAnsi" w:hAnsiTheme="minorHAnsi" w:cs="Calibri"/>
        </w:rPr>
      </w:pPr>
      <w:bookmarkStart w:id="24" w:name="_Toc230089760"/>
      <w:bookmarkStart w:id="25" w:name="_Toc239834912"/>
      <w:r w:rsidRPr="00E45723">
        <w:rPr>
          <w:rFonts w:asciiTheme="minorHAnsi" w:hAnsiTheme="minorHAnsi" w:cs="Calibri"/>
        </w:rPr>
        <w:t>Kettős lényegességi elemzés</w:t>
      </w:r>
      <w:bookmarkEnd w:id="24"/>
      <w:bookmarkEnd w:id="25"/>
    </w:p>
    <w:p w14:paraId="0AECA31F" w14:textId="77777777" w:rsidR="00BD159D" w:rsidRPr="00E45723" w:rsidRDefault="00FD7771" w:rsidP="00EA3B06">
      <w:pPr>
        <w:pStyle w:val="Heading2"/>
        <w:suppressAutoHyphens/>
        <w:rPr>
          <w:rFonts w:asciiTheme="minorHAnsi" w:hAnsiTheme="minorHAnsi" w:cs="Calibri"/>
        </w:rPr>
      </w:pPr>
      <w:bookmarkStart w:id="26" w:name="_Toc239834913"/>
      <w:r w:rsidRPr="00E45723">
        <w:rPr>
          <w:rFonts w:asciiTheme="minorHAnsi" w:hAnsiTheme="minorHAnsi" w:cs="Calibri"/>
        </w:rPr>
        <w:t>SBM-2 Az érdekelt felek érdekei és nézetei</w:t>
      </w:r>
      <w:bookmarkEnd w:id="26"/>
    </w:p>
    <w:p w14:paraId="333A8ED7"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A bevonás célja és módszertani alapja</w:t>
      </w:r>
    </w:p>
    <w:p w14:paraId="6886A46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45 a, b)] A LIWO Group az érdekelt felek bevonását a kettős lényegességi elemzés (DMA) szerves részeként végzi, a CSRD</w:t>
      </w:r>
      <w:r w:rsidRPr="00E45723">
        <w:rPr>
          <w:rFonts w:asciiTheme="minorHAnsi" w:hAnsiTheme="minorHAnsi" w:cs="Calibri"/>
        </w:rPr>
        <w:noBreakHyphen/>
        <w:t xml:space="preserve"> és ESRS</w:t>
      </w:r>
      <w:r w:rsidRPr="00E45723">
        <w:rPr>
          <w:rFonts w:asciiTheme="minorHAnsi" w:hAnsiTheme="minorHAnsi" w:cs="Calibri"/>
        </w:rPr>
        <w:noBreakHyphen/>
        <w:t>elvárásoknak megfelelően. A bevonás célja, hogy a vállalat értéklánca mentén azonosítsa és rangsorolja a fenntarthatósági hatásokat, kockázatokat és lehetőségeket (IRO</w:t>
      </w:r>
      <w:r w:rsidRPr="00E45723">
        <w:rPr>
          <w:rFonts w:asciiTheme="minorHAnsi" w:hAnsiTheme="minorHAnsi" w:cs="Calibri"/>
        </w:rPr>
        <w:noBreakHyphen/>
        <w:t>kat), figyelembe véve a cégcsoport szerteágazó szolgáltatási területeit (létesítményüzemeltetés, takarítási szolgáltatások, egészségügyi higiéniai szolgáltatások).</w:t>
      </w:r>
    </w:p>
    <w:p w14:paraId="105D36B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módszertan keretét a Cégcsoport által alkalmazott ESG</w:t>
      </w:r>
      <w:r w:rsidRPr="00E45723">
        <w:rPr>
          <w:rFonts w:asciiTheme="minorHAnsi" w:hAnsiTheme="minorHAnsi" w:cs="Calibri"/>
        </w:rPr>
        <w:noBreakHyphen/>
        <w:t>keretrendszer és a DMA</w:t>
      </w:r>
      <w:r w:rsidRPr="00E45723">
        <w:rPr>
          <w:rFonts w:asciiTheme="minorHAnsi" w:hAnsiTheme="minorHAnsi" w:cs="Calibri"/>
        </w:rPr>
        <w:noBreakHyphen/>
        <w:t>folyamat adja, amely magában foglalja a stakeholder</w:t>
      </w:r>
      <w:r w:rsidRPr="00E45723">
        <w:rPr>
          <w:rFonts w:asciiTheme="minorHAnsi" w:hAnsiTheme="minorHAnsi" w:cs="Calibri"/>
        </w:rPr>
        <w:noBreakHyphen/>
        <w:t>azonosítást, az érdekelt felek státusz és súly szerinti kategorizálását, valamint a releváns témák validálását.</w:t>
      </w:r>
    </w:p>
    <w:p w14:paraId="63096E1C"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Érdekelt felek azonosítása és csoportosítása</w:t>
      </w:r>
    </w:p>
    <w:p w14:paraId="7BD221A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a következő fő érintetti csoportokat azonosítja: </w:t>
      </w:r>
    </w:p>
    <w:p w14:paraId="4761083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Munkavállalók és menedzsment (hazai és külföldi operációkban dolgozó kollégák) </w:t>
      </w:r>
    </w:p>
    <w:p w14:paraId="7083E61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Ügyfelek (nagyvállalati, közintézményi és egészségügyi intézmények; FM és takarítási megrendelők) </w:t>
      </w:r>
    </w:p>
    <w:p w14:paraId="0F1ED33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Beszállítók és alvállalkozók </w:t>
      </w:r>
    </w:p>
    <w:p w14:paraId="2C9A2E0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Tulajdonosok, befektetők, finanszírozók </w:t>
      </w:r>
    </w:p>
    <w:p w14:paraId="31E4100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Hatóságok és szabályozó szervek </w:t>
      </w:r>
    </w:p>
    <w:p w14:paraId="15483F8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Helyi közösségek és iparági szakmai szereplők</w:t>
      </w:r>
    </w:p>
    <w:p w14:paraId="0FB8F29C" w14:textId="1AB4476F"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csoportosítás a DMA</w:t>
      </w:r>
      <w:r w:rsidRPr="00E45723">
        <w:rPr>
          <w:rFonts w:asciiTheme="minorHAnsi" w:hAnsiTheme="minorHAnsi" w:cs="Calibri"/>
        </w:rPr>
        <w:noBreakHyphen/>
        <w:t xml:space="preserve">dokumentumban bemutatott érdekelt felek mátrix alapján történt, </w:t>
      </w:r>
      <w:r w:rsidR="00B75E29" w:rsidRPr="00E45723">
        <w:rPr>
          <w:rFonts w:asciiTheme="minorHAnsi" w:hAnsiTheme="minorHAnsi" w:cs="Calibri"/>
        </w:rPr>
        <w:br/>
      </w:r>
      <w:r w:rsidRPr="00E45723">
        <w:rPr>
          <w:rFonts w:asciiTheme="minorHAnsi" w:hAnsiTheme="minorHAnsi" w:cs="Calibri"/>
        </w:rPr>
        <w:t>a szereplők „befolyás – érintettség” szerinti pozicionálásával.</w:t>
      </w:r>
    </w:p>
    <w:p w14:paraId="45400DBC"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lastRenderedPageBreak/>
        <w:t>A bevonás módjai</w:t>
      </w:r>
    </w:p>
    <w:p w14:paraId="455BAE9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Group több módszert alkalmaz, amelyek különböző típusú érintettek eltérő elvárásaihoz igazodnak:</w:t>
      </w:r>
    </w:p>
    <w:p w14:paraId="69452FF7"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Strukturált interjúk és stakeholder</w:t>
      </w:r>
      <w:r w:rsidRPr="00E45723">
        <w:rPr>
          <w:rFonts w:asciiTheme="minorHAnsi" w:hAnsiTheme="minorHAnsi" w:cs="Calibri"/>
        </w:rPr>
        <w:noBreakHyphen/>
        <w:t>workshopok: A kulcsfontosságú üzleti és operációs területek képviselőivel, valamint kiemelt ügyfelekkel végzett interjúk és workshopok szolgáltak a leglényegesebb témák kvalitatív feltárására.</w:t>
      </w:r>
    </w:p>
    <w:p w14:paraId="1E4E0C8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Kérdőíves felmérések és visszajelzési csatornák: A LIWO Group munkavállalói, beszállítói és helyi operációi körében standardizált kérdőíves felmérés történt a fenntarthatósági prioritások és kockázatok értékelésére.</w:t>
      </w:r>
    </w:p>
    <w:p w14:paraId="3343127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Operatív egyeztetések és rendszeres üzleti kapcsolattartás: A cégcsoport szolgáltatásait igénybe vevő ügyfelekkel – különösen a közintézményi és egészségügyi szektorban – rendszeres egyeztetések történnek a szolgáltatásminőség, higiéniai elvárások és erőforrásigények kapcsán.</w:t>
      </w:r>
    </w:p>
    <w:p w14:paraId="2F2882B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Dokumentumelemzés és benchmark: A bevonási folyamatot kiegészítette az érdekelt felek által korábban megfogalmazott elvárások, auditok, minőségbiztosítási visszajelzések és szerződéses kötelezettségek rendszerezett elemzése.</w:t>
      </w:r>
    </w:p>
    <w:p w14:paraId="402BDA15"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Az érdekelt felek visszajelzéseinek beépítése a döntéshozatalba</w:t>
      </w:r>
    </w:p>
    <w:p w14:paraId="6D5A4087" w14:textId="77777777" w:rsidR="00BD159D" w:rsidRPr="00E45723" w:rsidRDefault="00FD7771" w:rsidP="00FD7771">
      <w:pPr>
        <w:numPr>
          <w:ilvl w:val="0"/>
          <w:numId w:val="6"/>
        </w:numPr>
        <w:suppressAutoHyphens/>
        <w:spacing w:before="100" w:beforeAutospacing="1" w:afterAutospacing="1"/>
        <w:rPr>
          <w:rFonts w:asciiTheme="minorHAnsi" w:hAnsiTheme="minorHAnsi" w:cs="Calibri"/>
        </w:rPr>
      </w:pPr>
      <w:r w:rsidRPr="00E45723">
        <w:rPr>
          <w:rStyle w:val="Strong"/>
          <w:rFonts w:asciiTheme="minorHAnsi" w:hAnsiTheme="minorHAnsi" w:cs="Calibri"/>
          <w:b w:val="0"/>
          <w:bCs w:val="0"/>
        </w:rPr>
        <w:t>Frissítik a lényegességi mátrixot és a prioritásokat</w:t>
      </w:r>
      <w:r w:rsidRPr="00E45723">
        <w:rPr>
          <w:rFonts w:asciiTheme="minorHAnsi" w:hAnsiTheme="minorHAnsi" w:cs="Calibri"/>
        </w:rPr>
        <w:t xml:space="preserve"> – a munkavállalói, ügyfél- és beszállítói visszajelzések alapján a lényeges ESG-témák, valamint azok rangsora pontosításra kerül; a leányvállalati validáció tapasztalatai is beépülnek.</w:t>
      </w:r>
    </w:p>
    <w:p w14:paraId="3A6A6046" w14:textId="77777777" w:rsidR="00BD159D" w:rsidRPr="00E45723" w:rsidRDefault="00FD7771" w:rsidP="00FD7771">
      <w:pPr>
        <w:numPr>
          <w:ilvl w:val="0"/>
          <w:numId w:val="6"/>
        </w:numPr>
        <w:suppressAutoHyphens/>
        <w:spacing w:before="100" w:beforeAutospacing="1" w:afterAutospacing="1"/>
        <w:rPr>
          <w:rFonts w:asciiTheme="minorHAnsi" w:hAnsiTheme="minorHAnsi" w:cs="Calibri"/>
        </w:rPr>
      </w:pPr>
      <w:r w:rsidRPr="00E45723">
        <w:rPr>
          <w:rStyle w:val="Strong"/>
          <w:rFonts w:asciiTheme="minorHAnsi" w:hAnsiTheme="minorHAnsi" w:cs="Calibri"/>
          <w:b w:val="0"/>
          <w:bCs w:val="0"/>
        </w:rPr>
        <w:t>Meghatározzák és pontosítják az IRO-k körét</w:t>
      </w:r>
      <w:r w:rsidRPr="00E45723">
        <w:rPr>
          <w:rFonts w:asciiTheme="minorHAnsi" w:hAnsiTheme="minorHAnsi" w:cs="Calibri"/>
        </w:rPr>
        <w:t xml:space="preserve"> – a beérkező inputok szisztematikus elemzését követően a közös témák és aggályok „cselekvésre alkalmas” javaslatokká fordítódnak, amelyek az ESG-stratégiába és a jelentéstételbe is átvezethetők.</w:t>
      </w:r>
    </w:p>
    <w:p w14:paraId="1DFC2031" w14:textId="77777777" w:rsidR="00BD159D" w:rsidRPr="00E45723" w:rsidRDefault="00FD7771" w:rsidP="00FD7771">
      <w:pPr>
        <w:numPr>
          <w:ilvl w:val="0"/>
          <w:numId w:val="6"/>
        </w:numPr>
        <w:suppressAutoHyphens/>
        <w:spacing w:before="100" w:beforeAutospacing="1" w:afterAutospacing="1"/>
        <w:rPr>
          <w:rFonts w:asciiTheme="minorHAnsi" w:hAnsiTheme="minorHAnsi" w:cs="Calibri"/>
        </w:rPr>
      </w:pPr>
      <w:r w:rsidRPr="00E45723">
        <w:rPr>
          <w:rStyle w:val="Strong"/>
          <w:rFonts w:asciiTheme="minorHAnsi" w:hAnsiTheme="minorHAnsi" w:cs="Calibri"/>
          <w:b w:val="0"/>
          <w:bCs w:val="0"/>
        </w:rPr>
        <w:t>Átvezetésre kerülnek az irányítási fórumokon és az operatív működésben</w:t>
      </w:r>
      <w:r w:rsidRPr="00E45723">
        <w:rPr>
          <w:rFonts w:asciiTheme="minorHAnsi" w:hAnsiTheme="minorHAnsi" w:cs="Calibri"/>
        </w:rPr>
        <w:t xml:space="preserve"> – a releváns visszajelzések kockázati eseményként is értelmezhetők, a kockázati mátrixok szerinti minősítéssel; </w:t>
      </w:r>
      <w:r w:rsidRPr="00E45723">
        <w:rPr>
          <w:rStyle w:val="Emphasis"/>
          <w:rFonts w:asciiTheme="minorHAnsi" w:hAnsiTheme="minorHAnsi" w:cs="Calibri"/>
          <w:i w:val="0"/>
          <w:iCs w:val="0"/>
        </w:rPr>
        <w:t>fokozott/kritikus</w:t>
      </w:r>
      <w:r w:rsidRPr="00E45723">
        <w:rPr>
          <w:rFonts w:asciiTheme="minorHAnsi" w:hAnsiTheme="minorHAnsi" w:cs="Calibri"/>
        </w:rPr>
        <w:t xml:space="preserve"> besorolás esetén vezetői döntés és </w:t>
      </w:r>
      <w:r w:rsidRPr="00E45723">
        <w:rPr>
          <w:rStyle w:val="Strong"/>
          <w:rFonts w:asciiTheme="minorHAnsi" w:hAnsiTheme="minorHAnsi" w:cs="Calibri"/>
          <w:b w:val="0"/>
          <w:bCs w:val="0"/>
        </w:rPr>
        <w:t>kötelező akcióterv</w:t>
      </w:r>
      <w:r w:rsidRPr="00E45723">
        <w:rPr>
          <w:rFonts w:asciiTheme="minorHAnsi" w:hAnsiTheme="minorHAnsi" w:cs="Calibri"/>
        </w:rPr>
        <w:t xml:space="preserve"> készítése, jóváhagyása és nyomon követése történik.</w:t>
      </w:r>
    </w:p>
    <w:p w14:paraId="6C6BCB91" w14:textId="77777777" w:rsidR="00BD159D" w:rsidRPr="00E45723" w:rsidRDefault="00FD7771" w:rsidP="00FD7771">
      <w:pPr>
        <w:numPr>
          <w:ilvl w:val="0"/>
          <w:numId w:val="6"/>
        </w:numPr>
        <w:suppressAutoHyphens/>
        <w:spacing w:before="100" w:beforeAutospacing="1" w:afterAutospacing="1"/>
        <w:rPr>
          <w:rFonts w:asciiTheme="minorHAnsi" w:hAnsiTheme="minorHAnsi" w:cs="Calibri"/>
        </w:rPr>
      </w:pPr>
      <w:r w:rsidRPr="00E45723">
        <w:rPr>
          <w:rStyle w:val="Strong"/>
          <w:rFonts w:asciiTheme="minorHAnsi" w:hAnsiTheme="minorHAnsi" w:cs="Calibri"/>
          <w:b w:val="0"/>
          <w:bCs w:val="0"/>
        </w:rPr>
        <w:t>Visszacsatolás és transzparencia</w:t>
      </w:r>
      <w:r w:rsidRPr="00E45723">
        <w:rPr>
          <w:rFonts w:asciiTheme="minorHAnsi" w:hAnsiTheme="minorHAnsi" w:cs="Calibri"/>
        </w:rPr>
        <w:t xml:space="preserve"> – a LIWO Group törekszik arra, hogy belső és – ahol releváns – külső kommunikációban is egyértelműen bemutassa, a stakeholder inputok milyen döntéseket, intézkedéseket és módosításokat indukáltak (bizalom és folyamatos részvétel erősítése).</w:t>
      </w:r>
    </w:p>
    <w:p w14:paraId="7E6D7CB9" w14:textId="77777777" w:rsidR="00BD159D" w:rsidRPr="00E45723" w:rsidRDefault="00FD7771" w:rsidP="00FD7771">
      <w:pPr>
        <w:numPr>
          <w:ilvl w:val="0"/>
          <w:numId w:val="6"/>
        </w:numPr>
        <w:suppressAutoHyphens/>
        <w:spacing w:before="100" w:beforeAutospacing="1" w:afterAutospacing="1"/>
        <w:rPr>
          <w:rFonts w:asciiTheme="minorHAnsi" w:hAnsiTheme="minorHAnsi" w:cs="Calibri"/>
        </w:rPr>
      </w:pPr>
      <w:r w:rsidRPr="00E45723">
        <w:rPr>
          <w:rStyle w:val="Strong"/>
          <w:rFonts w:asciiTheme="minorHAnsi" w:hAnsiTheme="minorHAnsi" w:cs="Calibri"/>
          <w:b w:val="0"/>
          <w:bCs w:val="0"/>
        </w:rPr>
        <w:t>Panaszok és bejelentések tanulságainak hasznosítása</w:t>
      </w:r>
      <w:r w:rsidRPr="00E45723">
        <w:rPr>
          <w:rFonts w:asciiTheme="minorHAnsi" w:hAnsiTheme="minorHAnsi" w:cs="Calibri"/>
        </w:rPr>
        <w:t xml:space="preserve"> – a DMA fejlesztési irányként nevesíti a whistleblowing/etikai működés további erősítését; benchmark gyakorlatként a beérkező jelzések strukturált nyomon követése és rendszeres összesített riportolása támogatja a korrekciós intézkedések azonosítását és végrehajtását.</w:t>
      </w:r>
    </w:p>
    <w:p w14:paraId="4956B992"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Folyamatfejlesztés és nyomon követés</w:t>
      </w:r>
    </w:p>
    <w:p w14:paraId="1F19F354"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stakeholder</w:t>
      </w:r>
      <w:r w:rsidRPr="00E45723">
        <w:rPr>
          <w:rFonts w:asciiTheme="minorHAnsi" w:hAnsiTheme="minorHAnsi" w:cs="Calibri"/>
        </w:rPr>
        <w:noBreakHyphen/>
        <w:t>bevonás nem egyszeri tevékenység, hanem ciklikus, dokumentált folyamat. A LIWO a DMA lezárását követően vállalta, hogy: tovább fejleszti a bevonási eszközöket (pl. több módszer, strukturáltabb interjúk), rendszeresíti a visszajelzések monitorozását, erősíti a leányvállalatok bevonását, biztosítja, hogy az érdekelt fél inputok nyomon követhetők és auditálhatók legyenek.</w:t>
      </w:r>
    </w:p>
    <w:tbl>
      <w:tblPr>
        <w:tblStyle w:val="Table"/>
        <w:tblW w:w="8824" w:type="dxa"/>
        <w:tblLayout w:type="fixed"/>
        <w:tblLook w:val="0020" w:firstRow="1" w:lastRow="0" w:firstColumn="0" w:lastColumn="0" w:noHBand="0" w:noVBand="0"/>
      </w:tblPr>
      <w:tblGrid>
        <w:gridCol w:w="1907"/>
        <w:gridCol w:w="3867"/>
        <w:gridCol w:w="3050"/>
      </w:tblGrid>
      <w:tr w:rsidR="00BD159D" w:rsidRPr="00E45723" w14:paraId="298B5F5D" w14:textId="77777777" w:rsidTr="00086AFB">
        <w:trPr>
          <w:cnfStyle w:val="100000000000" w:firstRow="1" w:lastRow="0" w:firstColumn="0" w:lastColumn="0" w:oddVBand="0" w:evenVBand="0" w:oddHBand="0" w:evenHBand="0" w:firstRowFirstColumn="0" w:firstRowLastColumn="0" w:lastRowFirstColumn="0" w:lastRowLastColumn="0"/>
        </w:trPr>
        <w:tc>
          <w:tcPr>
            <w:tcW w:w="1907" w:type="dxa"/>
            <w:tcBorders>
              <w:top w:val="single" w:sz="4" w:space="0" w:color="auto"/>
              <w:left w:val="single" w:sz="4" w:space="0" w:color="auto"/>
              <w:bottom w:val="single" w:sz="4" w:space="0" w:color="auto"/>
              <w:right w:val="single" w:sz="4" w:space="0" w:color="auto"/>
            </w:tcBorders>
          </w:tcPr>
          <w:p w14:paraId="4198967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Érintett csoport </w:t>
            </w:r>
          </w:p>
        </w:tc>
        <w:tc>
          <w:tcPr>
            <w:tcW w:w="3867" w:type="dxa"/>
            <w:tcBorders>
              <w:top w:val="single" w:sz="4" w:space="0" w:color="auto"/>
              <w:left w:val="single" w:sz="4" w:space="0" w:color="auto"/>
              <w:bottom w:val="single" w:sz="4" w:space="0" w:color="auto"/>
              <w:right w:val="single" w:sz="4" w:space="0" w:color="auto"/>
            </w:tcBorders>
          </w:tcPr>
          <w:p w14:paraId="15D10882"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Érdekelt érdekei és céljai </w:t>
            </w:r>
          </w:p>
        </w:tc>
        <w:tc>
          <w:tcPr>
            <w:tcW w:w="3050" w:type="dxa"/>
            <w:tcBorders>
              <w:top w:val="single" w:sz="4" w:space="0" w:color="auto"/>
              <w:left w:val="single" w:sz="4" w:space="0" w:color="auto"/>
              <w:bottom w:val="single" w:sz="4" w:space="0" w:color="auto"/>
              <w:right w:val="single" w:sz="4" w:space="0" w:color="auto"/>
            </w:tcBorders>
          </w:tcPr>
          <w:p w14:paraId="0F401C53"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Bevonás formája </w:t>
            </w:r>
          </w:p>
        </w:tc>
      </w:tr>
      <w:tr w:rsidR="00BD159D" w:rsidRPr="00E45723" w14:paraId="64AAC3A0" w14:textId="77777777" w:rsidTr="00086AFB">
        <w:tc>
          <w:tcPr>
            <w:tcW w:w="1907" w:type="dxa"/>
            <w:tcBorders>
              <w:top w:val="single" w:sz="4" w:space="0" w:color="auto"/>
              <w:left w:val="single" w:sz="4" w:space="0" w:color="auto"/>
              <w:bottom w:val="single" w:sz="4" w:space="0" w:color="auto"/>
              <w:right w:val="single" w:sz="4" w:space="0" w:color="auto"/>
            </w:tcBorders>
          </w:tcPr>
          <w:p w14:paraId="62D64A0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Munkavállalók</w:t>
            </w:r>
          </w:p>
        </w:tc>
        <w:tc>
          <w:tcPr>
            <w:tcW w:w="3867" w:type="dxa"/>
            <w:tcBorders>
              <w:top w:val="single" w:sz="4" w:space="0" w:color="auto"/>
              <w:left w:val="single" w:sz="4" w:space="0" w:color="auto"/>
              <w:bottom w:val="single" w:sz="4" w:space="0" w:color="auto"/>
              <w:right w:val="single" w:sz="4" w:space="0" w:color="auto"/>
            </w:tcBorders>
          </w:tcPr>
          <w:p w14:paraId="51E1CC53"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Biztonságos munkakörnyezet, stabil foglalkoztatás, jövedelem, képzés és fejlődés, munkavédelem</w:t>
            </w:r>
          </w:p>
        </w:tc>
        <w:tc>
          <w:tcPr>
            <w:tcW w:w="3050" w:type="dxa"/>
            <w:tcBorders>
              <w:top w:val="single" w:sz="4" w:space="0" w:color="auto"/>
              <w:left w:val="single" w:sz="4" w:space="0" w:color="auto"/>
              <w:bottom w:val="single" w:sz="4" w:space="0" w:color="auto"/>
              <w:right w:val="single" w:sz="4" w:space="0" w:color="auto"/>
            </w:tcBorders>
          </w:tcPr>
          <w:p w14:paraId="5E685C53"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 xml:space="preserve">Belső kommunikáció, munkavédelmi oktatások, </w:t>
            </w:r>
            <w:r w:rsidRPr="00E45723">
              <w:rPr>
                <w:rFonts w:asciiTheme="minorHAnsi" w:hAnsiTheme="minorHAnsi" w:cs="Calibri"/>
              </w:rPr>
              <w:lastRenderedPageBreak/>
              <w:t>elégedettségi felmérések, képzések</w:t>
            </w:r>
          </w:p>
        </w:tc>
      </w:tr>
      <w:tr w:rsidR="00BD159D" w:rsidRPr="00E45723" w14:paraId="44053239" w14:textId="77777777" w:rsidTr="00086AFB">
        <w:tc>
          <w:tcPr>
            <w:tcW w:w="1907" w:type="dxa"/>
            <w:tcBorders>
              <w:top w:val="single" w:sz="4" w:space="0" w:color="auto"/>
              <w:left w:val="single" w:sz="4" w:space="0" w:color="auto"/>
              <w:bottom w:val="single" w:sz="4" w:space="0" w:color="auto"/>
              <w:right w:val="single" w:sz="4" w:space="0" w:color="auto"/>
            </w:tcBorders>
          </w:tcPr>
          <w:p w14:paraId="061FCB6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lastRenderedPageBreak/>
              <w:t>Menedzsment</w:t>
            </w:r>
          </w:p>
        </w:tc>
        <w:tc>
          <w:tcPr>
            <w:tcW w:w="3867" w:type="dxa"/>
            <w:tcBorders>
              <w:top w:val="single" w:sz="4" w:space="0" w:color="auto"/>
              <w:left w:val="single" w:sz="4" w:space="0" w:color="auto"/>
              <w:bottom w:val="single" w:sz="4" w:space="0" w:color="auto"/>
              <w:right w:val="single" w:sz="4" w:space="0" w:color="auto"/>
            </w:tcBorders>
          </w:tcPr>
          <w:p w14:paraId="0CCB3F68"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Stratégiai célok teljesítése, működési hatékonyság, kockázatkezelés, ESG-megfelelés</w:t>
            </w:r>
          </w:p>
        </w:tc>
        <w:tc>
          <w:tcPr>
            <w:tcW w:w="3050" w:type="dxa"/>
            <w:tcBorders>
              <w:top w:val="single" w:sz="4" w:space="0" w:color="auto"/>
              <w:left w:val="single" w:sz="4" w:space="0" w:color="auto"/>
              <w:bottom w:val="single" w:sz="4" w:space="0" w:color="auto"/>
              <w:right w:val="single" w:sz="4" w:space="0" w:color="auto"/>
            </w:tcBorders>
          </w:tcPr>
          <w:p w14:paraId="6C4C3E76"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Vezetői értekezletek, riportálás, stratégiai tervezés</w:t>
            </w:r>
          </w:p>
        </w:tc>
      </w:tr>
      <w:tr w:rsidR="00BD159D" w:rsidRPr="00E45723" w14:paraId="239B3893" w14:textId="77777777" w:rsidTr="00086AFB">
        <w:tc>
          <w:tcPr>
            <w:tcW w:w="1907" w:type="dxa"/>
            <w:tcBorders>
              <w:top w:val="single" w:sz="4" w:space="0" w:color="auto"/>
              <w:left w:val="single" w:sz="4" w:space="0" w:color="auto"/>
              <w:bottom w:val="single" w:sz="4" w:space="0" w:color="auto"/>
              <w:right w:val="single" w:sz="4" w:space="0" w:color="auto"/>
            </w:tcBorders>
          </w:tcPr>
          <w:p w14:paraId="16648A3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Részvényesek, befektetők</w:t>
            </w:r>
          </w:p>
        </w:tc>
        <w:tc>
          <w:tcPr>
            <w:tcW w:w="3867" w:type="dxa"/>
            <w:tcBorders>
              <w:top w:val="single" w:sz="4" w:space="0" w:color="auto"/>
              <w:left w:val="single" w:sz="4" w:space="0" w:color="auto"/>
              <w:bottom w:val="single" w:sz="4" w:space="0" w:color="auto"/>
              <w:right w:val="single" w:sz="4" w:space="0" w:color="auto"/>
            </w:tcBorders>
          </w:tcPr>
          <w:p w14:paraId="2A16AA09"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Hosszú távú értékteremtés, pénzügyi stabilitás, átláthatóság, ESG-teljesítmény</w:t>
            </w:r>
          </w:p>
        </w:tc>
        <w:tc>
          <w:tcPr>
            <w:tcW w:w="3050" w:type="dxa"/>
            <w:tcBorders>
              <w:top w:val="single" w:sz="4" w:space="0" w:color="auto"/>
              <w:left w:val="single" w:sz="4" w:space="0" w:color="auto"/>
              <w:bottom w:val="single" w:sz="4" w:space="0" w:color="auto"/>
              <w:right w:val="single" w:sz="4" w:space="0" w:color="auto"/>
            </w:tcBorders>
          </w:tcPr>
          <w:p w14:paraId="4285D723"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Tulajdonosi egyeztetések, pénzügyi és ESG riportok</w:t>
            </w:r>
          </w:p>
        </w:tc>
      </w:tr>
      <w:tr w:rsidR="00BD159D" w:rsidRPr="00E45723" w14:paraId="689FE56C" w14:textId="77777777" w:rsidTr="00086AFB">
        <w:tc>
          <w:tcPr>
            <w:tcW w:w="1907" w:type="dxa"/>
            <w:tcBorders>
              <w:top w:val="single" w:sz="4" w:space="0" w:color="auto"/>
              <w:left w:val="single" w:sz="4" w:space="0" w:color="auto"/>
              <w:bottom w:val="single" w:sz="4" w:space="0" w:color="auto"/>
              <w:right w:val="single" w:sz="4" w:space="0" w:color="auto"/>
            </w:tcBorders>
          </w:tcPr>
          <w:p w14:paraId="14D6379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Hitelezők</w:t>
            </w:r>
          </w:p>
        </w:tc>
        <w:tc>
          <w:tcPr>
            <w:tcW w:w="3867" w:type="dxa"/>
            <w:tcBorders>
              <w:top w:val="single" w:sz="4" w:space="0" w:color="auto"/>
              <w:left w:val="single" w:sz="4" w:space="0" w:color="auto"/>
              <w:bottom w:val="single" w:sz="4" w:space="0" w:color="auto"/>
              <w:right w:val="single" w:sz="4" w:space="0" w:color="auto"/>
            </w:tcBorders>
          </w:tcPr>
          <w:p w14:paraId="791F940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Fizetőképesség, kockázatkezelés, pénzügyi megbízhatóság</w:t>
            </w:r>
          </w:p>
        </w:tc>
        <w:tc>
          <w:tcPr>
            <w:tcW w:w="3050" w:type="dxa"/>
            <w:tcBorders>
              <w:top w:val="single" w:sz="4" w:space="0" w:color="auto"/>
              <w:left w:val="single" w:sz="4" w:space="0" w:color="auto"/>
              <w:bottom w:val="single" w:sz="4" w:space="0" w:color="auto"/>
              <w:right w:val="single" w:sz="4" w:space="0" w:color="auto"/>
            </w:tcBorders>
          </w:tcPr>
          <w:p w14:paraId="4B7F2AF5"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Pénzügyi jelentések, szerződéses egyeztetések</w:t>
            </w:r>
          </w:p>
        </w:tc>
      </w:tr>
      <w:tr w:rsidR="00BD159D" w:rsidRPr="00E45723" w14:paraId="4B74FC8D" w14:textId="77777777" w:rsidTr="00086AFB">
        <w:tc>
          <w:tcPr>
            <w:tcW w:w="1907" w:type="dxa"/>
            <w:tcBorders>
              <w:top w:val="single" w:sz="4" w:space="0" w:color="auto"/>
              <w:left w:val="single" w:sz="4" w:space="0" w:color="auto"/>
              <w:bottom w:val="single" w:sz="4" w:space="0" w:color="auto"/>
              <w:right w:val="single" w:sz="4" w:space="0" w:color="auto"/>
            </w:tcBorders>
          </w:tcPr>
          <w:p w14:paraId="59315A1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Bérlők</w:t>
            </w:r>
          </w:p>
        </w:tc>
        <w:tc>
          <w:tcPr>
            <w:tcW w:w="3867" w:type="dxa"/>
            <w:tcBorders>
              <w:top w:val="single" w:sz="4" w:space="0" w:color="auto"/>
              <w:left w:val="single" w:sz="4" w:space="0" w:color="auto"/>
              <w:bottom w:val="single" w:sz="4" w:space="0" w:color="auto"/>
              <w:right w:val="single" w:sz="4" w:space="0" w:color="auto"/>
            </w:tcBorders>
          </w:tcPr>
          <w:p w14:paraId="5559255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Megbízható, folyamatos szolgáltatás, megfelelő higiéniai és műszaki színvonal</w:t>
            </w:r>
          </w:p>
        </w:tc>
        <w:tc>
          <w:tcPr>
            <w:tcW w:w="3050" w:type="dxa"/>
            <w:tcBorders>
              <w:top w:val="single" w:sz="4" w:space="0" w:color="auto"/>
              <w:left w:val="single" w:sz="4" w:space="0" w:color="auto"/>
              <w:bottom w:val="single" w:sz="4" w:space="0" w:color="auto"/>
              <w:right w:val="single" w:sz="4" w:space="0" w:color="auto"/>
            </w:tcBorders>
          </w:tcPr>
          <w:p w14:paraId="57FACC1B"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Operatív kapcsolattartás, szerződéses egyeztetések, visszajelzési csatornák</w:t>
            </w:r>
          </w:p>
        </w:tc>
      </w:tr>
      <w:tr w:rsidR="00BD159D" w:rsidRPr="00E45723" w14:paraId="238B3C22" w14:textId="77777777" w:rsidTr="00086AFB">
        <w:tc>
          <w:tcPr>
            <w:tcW w:w="1907" w:type="dxa"/>
            <w:tcBorders>
              <w:top w:val="single" w:sz="4" w:space="0" w:color="auto"/>
              <w:left w:val="single" w:sz="4" w:space="0" w:color="auto"/>
              <w:bottom w:val="single" w:sz="4" w:space="0" w:color="auto"/>
              <w:right w:val="single" w:sz="4" w:space="0" w:color="auto"/>
            </w:tcBorders>
          </w:tcPr>
          <w:p w14:paraId="620997C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Beruházási partnerek, beszállítók, alvállalkozók</w:t>
            </w:r>
          </w:p>
        </w:tc>
        <w:tc>
          <w:tcPr>
            <w:tcW w:w="3867" w:type="dxa"/>
            <w:tcBorders>
              <w:top w:val="single" w:sz="4" w:space="0" w:color="auto"/>
              <w:left w:val="single" w:sz="4" w:space="0" w:color="auto"/>
              <w:bottom w:val="single" w:sz="4" w:space="0" w:color="auto"/>
              <w:right w:val="single" w:sz="4" w:space="0" w:color="auto"/>
            </w:tcBorders>
          </w:tcPr>
          <w:p w14:paraId="251045A6"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Stabil üzleti kapcsolat, időben történő teljesítés és kifizetés, munkavédelmi és etikai elvárások, átlátható folyamatok</w:t>
            </w:r>
          </w:p>
        </w:tc>
        <w:tc>
          <w:tcPr>
            <w:tcW w:w="3050" w:type="dxa"/>
            <w:tcBorders>
              <w:top w:val="single" w:sz="4" w:space="0" w:color="auto"/>
              <w:left w:val="single" w:sz="4" w:space="0" w:color="auto"/>
              <w:bottom w:val="single" w:sz="4" w:space="0" w:color="auto"/>
              <w:right w:val="single" w:sz="4" w:space="0" w:color="auto"/>
            </w:tcBorders>
          </w:tcPr>
          <w:p w14:paraId="7C4CA60D"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Beszállítói kiválasztás és értékelés, szerződések, auditok</w:t>
            </w:r>
          </w:p>
        </w:tc>
      </w:tr>
      <w:tr w:rsidR="00BD159D" w:rsidRPr="00E45723" w14:paraId="535A23C6" w14:textId="77777777" w:rsidTr="00086AFB">
        <w:tc>
          <w:tcPr>
            <w:tcW w:w="1907" w:type="dxa"/>
            <w:tcBorders>
              <w:top w:val="single" w:sz="4" w:space="0" w:color="auto"/>
              <w:left w:val="single" w:sz="4" w:space="0" w:color="auto"/>
              <w:bottom w:val="single" w:sz="4" w:space="0" w:color="auto"/>
              <w:right w:val="single" w:sz="4" w:space="0" w:color="auto"/>
            </w:tcBorders>
          </w:tcPr>
          <w:p w14:paraId="2F8E9E1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Üzemeltetési partnerek</w:t>
            </w:r>
          </w:p>
        </w:tc>
        <w:tc>
          <w:tcPr>
            <w:tcW w:w="3867" w:type="dxa"/>
            <w:tcBorders>
              <w:top w:val="single" w:sz="4" w:space="0" w:color="auto"/>
              <w:left w:val="single" w:sz="4" w:space="0" w:color="auto"/>
              <w:bottom w:val="single" w:sz="4" w:space="0" w:color="auto"/>
              <w:right w:val="single" w:sz="4" w:space="0" w:color="auto"/>
            </w:tcBorders>
          </w:tcPr>
          <w:p w14:paraId="0D54E6D4"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Együttműködés, szolgáltatásminőség, biztonságos működés</w:t>
            </w:r>
          </w:p>
        </w:tc>
        <w:tc>
          <w:tcPr>
            <w:tcW w:w="3050" w:type="dxa"/>
            <w:tcBorders>
              <w:top w:val="single" w:sz="4" w:space="0" w:color="auto"/>
              <w:left w:val="single" w:sz="4" w:space="0" w:color="auto"/>
              <w:bottom w:val="single" w:sz="4" w:space="0" w:color="auto"/>
              <w:right w:val="single" w:sz="4" w:space="0" w:color="auto"/>
            </w:tcBorders>
          </w:tcPr>
          <w:p w14:paraId="0D280525"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Operatív egyeztetések, teljesítményértékelések</w:t>
            </w:r>
          </w:p>
        </w:tc>
      </w:tr>
      <w:tr w:rsidR="00BD159D" w:rsidRPr="00E45723" w14:paraId="40A1CB56" w14:textId="77777777" w:rsidTr="00086AFB">
        <w:tc>
          <w:tcPr>
            <w:tcW w:w="1907" w:type="dxa"/>
            <w:tcBorders>
              <w:top w:val="single" w:sz="4" w:space="0" w:color="auto"/>
              <w:left w:val="single" w:sz="4" w:space="0" w:color="auto"/>
              <w:bottom w:val="single" w:sz="4" w:space="0" w:color="auto"/>
              <w:right w:val="single" w:sz="4" w:space="0" w:color="auto"/>
            </w:tcBorders>
          </w:tcPr>
          <w:p w14:paraId="441B39C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Egyéb beszállítók</w:t>
            </w:r>
          </w:p>
        </w:tc>
        <w:tc>
          <w:tcPr>
            <w:tcW w:w="3867" w:type="dxa"/>
            <w:tcBorders>
              <w:top w:val="single" w:sz="4" w:space="0" w:color="auto"/>
              <w:left w:val="single" w:sz="4" w:space="0" w:color="auto"/>
              <w:bottom w:val="single" w:sz="4" w:space="0" w:color="auto"/>
              <w:right w:val="single" w:sz="4" w:space="0" w:color="auto"/>
            </w:tcBorders>
          </w:tcPr>
          <w:p w14:paraId="63842869"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Kiszámítható együttműködés, szerződéses megfelelés</w:t>
            </w:r>
          </w:p>
        </w:tc>
        <w:tc>
          <w:tcPr>
            <w:tcW w:w="3050" w:type="dxa"/>
            <w:tcBorders>
              <w:top w:val="single" w:sz="4" w:space="0" w:color="auto"/>
              <w:left w:val="single" w:sz="4" w:space="0" w:color="auto"/>
              <w:bottom w:val="single" w:sz="4" w:space="0" w:color="auto"/>
              <w:right w:val="single" w:sz="4" w:space="0" w:color="auto"/>
            </w:tcBorders>
          </w:tcPr>
          <w:p w14:paraId="600F28EC"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Beszállítói kapcsolattartás, szerződéses kommunikáció</w:t>
            </w:r>
          </w:p>
        </w:tc>
      </w:tr>
      <w:tr w:rsidR="00BD159D" w:rsidRPr="00E45723" w14:paraId="0CF9EFB8" w14:textId="77777777" w:rsidTr="00086AFB">
        <w:tc>
          <w:tcPr>
            <w:tcW w:w="1907" w:type="dxa"/>
            <w:tcBorders>
              <w:top w:val="single" w:sz="4" w:space="0" w:color="auto"/>
              <w:left w:val="single" w:sz="4" w:space="0" w:color="auto"/>
              <w:bottom w:val="single" w:sz="4" w:space="0" w:color="auto"/>
              <w:right w:val="single" w:sz="4" w:space="0" w:color="auto"/>
            </w:tcBorders>
          </w:tcPr>
          <w:p w14:paraId="1A0287C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Helyi közösségek, civil szervezetek</w:t>
            </w:r>
          </w:p>
        </w:tc>
        <w:tc>
          <w:tcPr>
            <w:tcW w:w="3867" w:type="dxa"/>
            <w:tcBorders>
              <w:top w:val="single" w:sz="4" w:space="0" w:color="auto"/>
              <w:left w:val="single" w:sz="4" w:space="0" w:color="auto"/>
              <w:bottom w:val="single" w:sz="4" w:space="0" w:color="auto"/>
              <w:right w:val="single" w:sz="4" w:space="0" w:color="auto"/>
            </w:tcBorders>
          </w:tcPr>
          <w:p w14:paraId="6E1F6F20"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Környezeti és társadalmi hatások minimalizálása, átlátható működés</w:t>
            </w:r>
          </w:p>
        </w:tc>
        <w:tc>
          <w:tcPr>
            <w:tcW w:w="3050" w:type="dxa"/>
            <w:tcBorders>
              <w:top w:val="single" w:sz="4" w:space="0" w:color="auto"/>
              <w:left w:val="single" w:sz="4" w:space="0" w:color="auto"/>
              <w:bottom w:val="single" w:sz="4" w:space="0" w:color="auto"/>
              <w:right w:val="single" w:sz="4" w:space="0" w:color="auto"/>
            </w:tcBorders>
          </w:tcPr>
          <w:p w14:paraId="46F7014E"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Lakossági fórumok, panaszkezelési mechanizmusok, társadalmi programok</w:t>
            </w:r>
          </w:p>
        </w:tc>
      </w:tr>
      <w:tr w:rsidR="00BD159D" w:rsidRPr="00E45723" w14:paraId="6C1FED72" w14:textId="77777777" w:rsidTr="00086AFB">
        <w:tc>
          <w:tcPr>
            <w:tcW w:w="1907" w:type="dxa"/>
            <w:tcBorders>
              <w:top w:val="single" w:sz="4" w:space="0" w:color="auto"/>
              <w:left w:val="single" w:sz="4" w:space="0" w:color="auto"/>
              <w:bottom w:val="single" w:sz="4" w:space="0" w:color="auto"/>
              <w:right w:val="single" w:sz="4" w:space="0" w:color="auto"/>
            </w:tcBorders>
          </w:tcPr>
          <w:p w14:paraId="6B6E2C4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Hitelintézetek</w:t>
            </w:r>
          </w:p>
        </w:tc>
        <w:tc>
          <w:tcPr>
            <w:tcW w:w="3867" w:type="dxa"/>
            <w:tcBorders>
              <w:top w:val="single" w:sz="4" w:space="0" w:color="auto"/>
              <w:left w:val="single" w:sz="4" w:space="0" w:color="auto"/>
              <w:bottom w:val="single" w:sz="4" w:space="0" w:color="auto"/>
              <w:right w:val="single" w:sz="4" w:space="0" w:color="auto"/>
            </w:tcBorders>
          </w:tcPr>
          <w:p w14:paraId="7CA56FBD"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Pénzügyi stabilitás, kockázatkezelés, ESG-szempontok figyelembevétele</w:t>
            </w:r>
          </w:p>
        </w:tc>
        <w:tc>
          <w:tcPr>
            <w:tcW w:w="3050" w:type="dxa"/>
            <w:tcBorders>
              <w:top w:val="single" w:sz="4" w:space="0" w:color="auto"/>
              <w:left w:val="single" w:sz="4" w:space="0" w:color="auto"/>
              <w:bottom w:val="single" w:sz="4" w:space="0" w:color="auto"/>
              <w:right w:val="single" w:sz="4" w:space="0" w:color="auto"/>
            </w:tcBorders>
          </w:tcPr>
          <w:p w14:paraId="71BC9EAB"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Pénzügyi és ESG jelentések, egyeztetések</w:t>
            </w:r>
          </w:p>
        </w:tc>
      </w:tr>
      <w:tr w:rsidR="00BD159D" w:rsidRPr="00E45723" w14:paraId="5DE0490B" w14:textId="77777777" w:rsidTr="00086AFB">
        <w:tc>
          <w:tcPr>
            <w:tcW w:w="1907" w:type="dxa"/>
            <w:tcBorders>
              <w:top w:val="single" w:sz="4" w:space="0" w:color="auto"/>
              <w:left w:val="single" w:sz="4" w:space="0" w:color="auto"/>
              <w:bottom w:val="single" w:sz="4" w:space="0" w:color="auto"/>
              <w:right w:val="single" w:sz="4" w:space="0" w:color="auto"/>
            </w:tcBorders>
          </w:tcPr>
          <w:p w14:paraId="1FE51AD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Biztosítók</w:t>
            </w:r>
          </w:p>
        </w:tc>
        <w:tc>
          <w:tcPr>
            <w:tcW w:w="3867" w:type="dxa"/>
            <w:tcBorders>
              <w:top w:val="single" w:sz="4" w:space="0" w:color="auto"/>
              <w:left w:val="single" w:sz="4" w:space="0" w:color="auto"/>
              <w:bottom w:val="single" w:sz="4" w:space="0" w:color="auto"/>
              <w:right w:val="single" w:sz="4" w:space="0" w:color="auto"/>
            </w:tcBorders>
          </w:tcPr>
          <w:p w14:paraId="3343574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Kockázatok kezelése, megfelelőség, baleset- és káresemények megelőzése</w:t>
            </w:r>
          </w:p>
        </w:tc>
        <w:tc>
          <w:tcPr>
            <w:tcW w:w="3050" w:type="dxa"/>
            <w:tcBorders>
              <w:top w:val="single" w:sz="4" w:space="0" w:color="auto"/>
              <w:left w:val="single" w:sz="4" w:space="0" w:color="auto"/>
              <w:bottom w:val="single" w:sz="4" w:space="0" w:color="auto"/>
              <w:right w:val="single" w:sz="4" w:space="0" w:color="auto"/>
            </w:tcBorders>
          </w:tcPr>
          <w:p w14:paraId="397879A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Kockázatértékelések, szerződéses kapcsolattartás</w:t>
            </w:r>
          </w:p>
        </w:tc>
      </w:tr>
      <w:tr w:rsidR="00BD159D" w:rsidRPr="00E45723" w14:paraId="610A3D35" w14:textId="77777777" w:rsidTr="00086AFB">
        <w:tc>
          <w:tcPr>
            <w:tcW w:w="1907" w:type="dxa"/>
            <w:tcBorders>
              <w:top w:val="single" w:sz="4" w:space="0" w:color="auto"/>
              <w:left w:val="single" w:sz="4" w:space="0" w:color="auto"/>
              <w:bottom w:val="single" w:sz="4" w:space="0" w:color="auto"/>
              <w:right w:val="single" w:sz="4" w:space="0" w:color="auto"/>
            </w:tcBorders>
          </w:tcPr>
          <w:p w14:paraId="005F267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Hivatalok, hatóságok</w:t>
            </w:r>
          </w:p>
        </w:tc>
        <w:tc>
          <w:tcPr>
            <w:tcW w:w="3867" w:type="dxa"/>
            <w:tcBorders>
              <w:top w:val="single" w:sz="4" w:space="0" w:color="auto"/>
              <w:left w:val="single" w:sz="4" w:space="0" w:color="auto"/>
              <w:bottom w:val="single" w:sz="4" w:space="0" w:color="auto"/>
              <w:right w:val="single" w:sz="4" w:space="0" w:color="auto"/>
            </w:tcBorders>
          </w:tcPr>
          <w:p w14:paraId="5D53FD58"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Jogszabályi megfelelés, munkavédelmi és környezetvédelmi előírások betartása</w:t>
            </w:r>
          </w:p>
        </w:tc>
        <w:tc>
          <w:tcPr>
            <w:tcW w:w="3050" w:type="dxa"/>
            <w:tcBorders>
              <w:top w:val="single" w:sz="4" w:space="0" w:color="auto"/>
              <w:left w:val="single" w:sz="4" w:space="0" w:color="auto"/>
              <w:bottom w:val="single" w:sz="4" w:space="0" w:color="auto"/>
              <w:right w:val="single" w:sz="4" w:space="0" w:color="auto"/>
            </w:tcBorders>
          </w:tcPr>
          <w:p w14:paraId="7A2B0FCE"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Hatósági ellenőrzések, adatszolgáltatás, engedélyezési eljárások</w:t>
            </w:r>
          </w:p>
        </w:tc>
      </w:tr>
      <w:tr w:rsidR="00BD159D" w:rsidRPr="00E45723" w14:paraId="07A5BE7D" w14:textId="77777777" w:rsidTr="00086AFB">
        <w:tc>
          <w:tcPr>
            <w:tcW w:w="1907" w:type="dxa"/>
            <w:tcBorders>
              <w:top w:val="single" w:sz="4" w:space="0" w:color="auto"/>
              <w:left w:val="single" w:sz="4" w:space="0" w:color="auto"/>
              <w:bottom w:val="single" w:sz="4" w:space="0" w:color="auto"/>
              <w:right w:val="single" w:sz="4" w:space="0" w:color="auto"/>
            </w:tcBorders>
          </w:tcPr>
          <w:p w14:paraId="60DAFF5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Önkormányzat</w:t>
            </w:r>
          </w:p>
        </w:tc>
        <w:tc>
          <w:tcPr>
            <w:tcW w:w="3867" w:type="dxa"/>
            <w:tcBorders>
              <w:top w:val="single" w:sz="4" w:space="0" w:color="auto"/>
              <w:left w:val="single" w:sz="4" w:space="0" w:color="auto"/>
              <w:bottom w:val="single" w:sz="4" w:space="0" w:color="auto"/>
              <w:right w:val="single" w:sz="4" w:space="0" w:color="auto"/>
            </w:tcBorders>
          </w:tcPr>
          <w:p w14:paraId="4C823AFE"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Helyi közérdekek védelme, közösségi és környezeti hatások kezelése</w:t>
            </w:r>
          </w:p>
        </w:tc>
        <w:tc>
          <w:tcPr>
            <w:tcW w:w="3050" w:type="dxa"/>
            <w:tcBorders>
              <w:top w:val="single" w:sz="4" w:space="0" w:color="auto"/>
              <w:left w:val="single" w:sz="4" w:space="0" w:color="auto"/>
              <w:bottom w:val="single" w:sz="4" w:space="0" w:color="auto"/>
              <w:right w:val="single" w:sz="4" w:space="0" w:color="auto"/>
            </w:tcBorders>
          </w:tcPr>
          <w:p w14:paraId="3B1DF751"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Hivatalos egyeztetések, hatósági kapcsolattartás</w:t>
            </w:r>
          </w:p>
        </w:tc>
      </w:tr>
    </w:tbl>
    <w:p w14:paraId="7C896FA3" w14:textId="77777777" w:rsidR="00BD159D" w:rsidRPr="00E45723" w:rsidRDefault="00BD159D">
      <w:pPr>
        <w:suppressAutoHyphens/>
        <w:rPr>
          <w:rFonts w:asciiTheme="minorHAnsi" w:hAnsiTheme="minorHAnsi" w:cs="Calibri"/>
        </w:rPr>
      </w:pPr>
    </w:p>
    <w:p w14:paraId="3F8CC331" w14:textId="77777777" w:rsidR="00BD159D" w:rsidRPr="00E45723" w:rsidRDefault="00FD7771" w:rsidP="00EA3B06">
      <w:pPr>
        <w:pStyle w:val="Heading2"/>
        <w:suppressAutoHyphens/>
        <w:rPr>
          <w:rFonts w:asciiTheme="minorHAnsi" w:hAnsiTheme="minorHAnsi" w:cs="Calibri"/>
        </w:rPr>
      </w:pPr>
      <w:bookmarkStart w:id="27" w:name="_Toc239834914"/>
      <w:r w:rsidRPr="00E45723">
        <w:rPr>
          <w:rFonts w:asciiTheme="minorHAnsi" w:hAnsiTheme="minorHAnsi" w:cs="Calibri"/>
        </w:rPr>
        <w:t>SBM-3 Lényeges hatások, kockázatok és lehetőségek, valamint azok kölcsönhatása a stratégiával és az üzleti modellel</w:t>
      </w:r>
      <w:bookmarkEnd w:id="27"/>
    </w:p>
    <w:p w14:paraId="1628F5C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48 f)] A Cégcsoport stratégiája és üzleti modellje erős működési ellenállóképességet biztosít a lényeges fenntarthatósági hatásokkal és kockázatokkal szemben. A vállalat működését több, formalizált irányítási mechanizmus védi:</w:t>
      </w:r>
    </w:p>
    <w:p w14:paraId="3C68EDD7"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 xml:space="preserve">Kockázatkezelési </w:t>
      </w:r>
      <w:r w:rsidRPr="00E45723">
        <w:rPr>
          <w:rStyle w:val="BadgeCharacter"/>
          <w:rFonts w:asciiTheme="minorHAnsi" w:hAnsiTheme="minorHAnsi" w:cs="Calibri"/>
        </w:rPr>
        <w:t>rendszer</w:t>
      </w:r>
    </w:p>
    <w:p w14:paraId="20792D3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Cégcsoport egységes, mátrix</w:t>
      </w:r>
      <w:r w:rsidRPr="00E45723">
        <w:rPr>
          <w:rFonts w:asciiTheme="minorHAnsi" w:hAnsiTheme="minorHAnsi" w:cs="Calibri"/>
        </w:rPr>
        <w:noBreakHyphen/>
        <w:t>alapú kockázatértékelést alkalmaz, amely a hatás × valószínűség logikáján működik. A kritikus és fokozott kockázatokhoz kötelező akciótervek tartoznak, vezetői szintű jóváhagyással. Ez a szerkezet biztosítja, hogy az üzleti modell működési zavarokra, munkaerő</w:t>
      </w:r>
      <w:r w:rsidRPr="00E45723">
        <w:rPr>
          <w:rFonts w:asciiTheme="minorHAnsi" w:hAnsiTheme="minorHAnsi" w:cs="Calibri"/>
        </w:rPr>
        <w:noBreakHyphen/>
        <w:t>kockázatokra és szolgáltatásminőségi kihívásokra gyorsan reagáljon.</w:t>
      </w:r>
    </w:p>
    <w:p w14:paraId="63C793B4"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Operatív és pénzügyi ellenállóképesség</w:t>
      </w:r>
    </w:p>
    <w:p w14:paraId="7A7A5799"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A csoport mérete, földrajzi diverzifikációja és standardizált FM</w:t>
      </w:r>
      <w:r w:rsidRPr="00E45723">
        <w:rPr>
          <w:rFonts w:asciiTheme="minorHAnsi" w:hAnsiTheme="minorHAnsi" w:cs="Calibri"/>
        </w:rPr>
        <w:noBreakHyphen/>
        <w:t>folyamatai csökkentik az egyes országok vagy ügyfélportfóliók kockázati kitettségét. A DMA a vállalat számára releváns pénzügyi és működési ESG</w:t>
      </w:r>
      <w:r w:rsidRPr="00E45723">
        <w:rPr>
          <w:rFonts w:asciiTheme="minorHAnsi" w:hAnsiTheme="minorHAnsi" w:cs="Calibri"/>
        </w:rPr>
        <w:noBreakHyphen/>
        <w:t>kockázatokat (pl. munkaerő</w:t>
      </w:r>
      <w:r w:rsidRPr="00E45723">
        <w:rPr>
          <w:rFonts w:asciiTheme="minorHAnsi" w:hAnsiTheme="minorHAnsi" w:cs="Calibri"/>
        </w:rPr>
        <w:noBreakHyphen/>
        <w:t>hiány, energia</w:t>
      </w:r>
      <w:r w:rsidRPr="00E45723">
        <w:rPr>
          <w:rFonts w:asciiTheme="minorHAnsi" w:hAnsiTheme="minorHAnsi" w:cs="Calibri"/>
        </w:rPr>
        <w:noBreakHyphen/>
        <w:t>kitettség, szolgáltatásminőségi zavarok) azonosította, amelyek kezelésére a stratégia tartalmaz kontrollmechanizmusokat.</w:t>
      </w:r>
    </w:p>
    <w:p w14:paraId="427F8869"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Lehetőségek kihasználása</w:t>
      </w:r>
    </w:p>
    <w:p w14:paraId="31A0F97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LIWO Group technológiai (robotizáció, automatizált higiéniai rendszerek) és folyamatinnovációi erősítik a hatékonyságot, javítják a munkaerő</w:t>
      </w:r>
      <w:r w:rsidRPr="00E45723">
        <w:rPr>
          <w:rFonts w:asciiTheme="minorHAnsi" w:hAnsiTheme="minorHAnsi" w:cs="Calibri"/>
        </w:rPr>
        <w:noBreakHyphen/>
        <w:t>helyettesítési képességet és csökkentik a szolgáltatás erőforrás</w:t>
      </w:r>
      <w:r w:rsidRPr="00E45723">
        <w:rPr>
          <w:rFonts w:asciiTheme="minorHAnsi" w:hAnsiTheme="minorHAnsi" w:cs="Calibri"/>
        </w:rPr>
        <w:noBreakHyphen/>
        <w:t>igényét – ez a működési ellenállóképesség direkt forrása, és fenntarthatósági lehetőség is.</w:t>
      </w:r>
    </w:p>
    <w:p w14:paraId="079005FB"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Integráció a döntéshozatalba</w:t>
      </w:r>
    </w:p>
    <w:p w14:paraId="3B42324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lényeges IRO</w:t>
      </w:r>
      <w:r w:rsidRPr="00E45723">
        <w:rPr>
          <w:rFonts w:asciiTheme="minorHAnsi" w:hAnsiTheme="minorHAnsi" w:cs="Calibri"/>
        </w:rPr>
        <w:noBreakHyphen/>
        <w:t>kat a kockázatkezelési rendszer és az ESG</w:t>
      </w:r>
      <w:r w:rsidRPr="00E45723">
        <w:rPr>
          <w:rFonts w:asciiTheme="minorHAnsi" w:hAnsiTheme="minorHAnsi" w:cs="Calibri"/>
        </w:rPr>
        <w:noBreakHyphen/>
        <w:t>stratégia együtt kezeli; a kezelési terv minden kritikus pontnál vezetői döntéshez kötött. Ez biztosítja, hogy az üzleti modell alkalmazkodóképes, kontrollált és előrejelzésekre támaszkodó maradjon.</w:t>
      </w:r>
    </w:p>
    <w:p w14:paraId="7590455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48 g)] A LIWO FM Zrt. esetében nem értelmezhető változás az előző jelentési időszakhoz képest, mivel a jelen dokumentum a vállalat első, egyben önkéntes CSRD</w:t>
      </w:r>
      <w:r w:rsidRPr="00E45723">
        <w:rPr>
          <w:rFonts w:asciiTheme="minorHAnsi" w:hAnsiTheme="minorHAnsi" w:cs="Calibri"/>
        </w:rPr>
        <w:noBreakHyphen/>
        <w:t>szerinti fenntarthatósági jelentése.</w:t>
      </w:r>
    </w:p>
    <w:p w14:paraId="3AC1934B" w14:textId="77777777" w:rsidR="00BD159D" w:rsidRPr="00E45723" w:rsidRDefault="00FD7771">
      <w:pPr>
        <w:rPr>
          <w:rFonts w:asciiTheme="minorHAnsi" w:hAnsiTheme="minorHAnsi" w:cs="Calibri"/>
        </w:rPr>
      </w:pPr>
      <w:r w:rsidRPr="00E45723">
        <w:rPr>
          <w:rFonts w:asciiTheme="minorHAnsi" w:hAnsiTheme="minorHAnsi" w:cs="Calibri"/>
        </w:rPr>
        <w:t>[ESRS 2 bek. 48 h)] A Társaság a kettős lényegességi elemzés során azonosított hatásokat, kockázatokat és lehetőségeket (IRO-kat) szisztematikusan összevetette az alkalmazandó ESRS tematikus standardok közzétételi követelményeivel annak érdekében, hogy meghatározza, mely témák fedhetők le közvetlenül az ESRS szerinti közzétételek keretében, és mely területeken indokolt kiegészítő, entitás-specifikus információk bemutatása.  Azokban az esetekben, ahol az azonosított lényeges IRO-kra az ESRS standardok megfelelő és releváns közzétételi követelményt tartalmaznak, a Társaság az információkat az adott tematikus standard szerinti bontásban mutatja be.  A LIWO Cégcsoport kiegészítő, entitás-specifikus közzétételeket alkalmaz azon területeken, ahol a lényeges hatások, kockázatok és lehetőségek a standard közzétételek keretében nem, vagy nem kellő részletességgel jelennek meg, ugyanakkor az üzleti modell és a fenntarthatósági teljesítmény megértése szempontjából relevánsak. Ilyen entitás-specifikus közzétételnek minősül különösen a Cégcsoport kutatás-fejlesztési és innovációs tevékenységének bemutatása (S4-E1), ideértve az automatizált és robotizált takarítási megoldások, valamint az UV-C alapú fertőtlenítési technológiák fejlesztését és alkalmazását.</w:t>
      </w:r>
    </w:p>
    <w:p w14:paraId="3DFA6C75" w14:textId="77777777" w:rsidR="00BD159D" w:rsidRPr="00E45723" w:rsidRDefault="00FD7771">
      <w:pPr>
        <w:rPr>
          <w:rFonts w:asciiTheme="minorHAnsi" w:hAnsiTheme="minorHAnsi" w:cs="Calibri"/>
        </w:rPr>
      </w:pPr>
      <w:r w:rsidRPr="00E45723">
        <w:rPr>
          <w:rFonts w:asciiTheme="minorHAnsi" w:hAnsiTheme="minorHAnsi" w:cs="Calibri"/>
        </w:rPr>
        <w:t>Az ESRS követelményeinek megfelelően a Társaság kettős lényegességi elemzést végzett, amelynek keretében azonosította és értékelte a releváns fenntarthatósági hatásokat, kockázatokat és lehetőségeket. Az elemzés eredményeit az alábbi táblázat foglalja össze; a Cégcsoport a továbbiakban ezen megállapításokra építve mutatja be jelenlegi működését, valamint a tervezett intézkedéseket és fejlesztési irányokat.</w:t>
      </w:r>
    </w:p>
    <w:tbl>
      <w:tblPr>
        <w:tblStyle w:val="Table"/>
        <w:tblW w:w="8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94"/>
        <w:gridCol w:w="2849"/>
        <w:gridCol w:w="1458"/>
        <w:gridCol w:w="1158"/>
        <w:gridCol w:w="1565"/>
      </w:tblGrid>
      <w:tr w:rsidR="00BD159D" w:rsidRPr="00E45723" w14:paraId="34719602" w14:textId="77777777" w:rsidTr="005A4858">
        <w:trPr>
          <w:cnfStyle w:val="100000000000" w:firstRow="1" w:lastRow="0" w:firstColumn="0" w:lastColumn="0" w:oddVBand="0" w:evenVBand="0" w:oddHBand="0" w:evenHBand="0" w:firstRowFirstColumn="0" w:firstRowLastColumn="0" w:lastRowFirstColumn="0" w:lastRowLastColumn="0"/>
          <w:jc w:val="center"/>
        </w:trPr>
        <w:tc>
          <w:tcPr>
            <w:tcW w:w="1894" w:type="dxa"/>
            <w:tcBorders>
              <w:bottom w:val="none" w:sz="0" w:space="0" w:color="auto"/>
            </w:tcBorders>
            <w:shd w:val="clear" w:color="000000" w:fill="auto"/>
            <w:vAlign w:val="center"/>
          </w:tcPr>
          <w:p w14:paraId="18B9943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ESRS Téma, altéma</w:t>
            </w:r>
          </w:p>
        </w:tc>
        <w:tc>
          <w:tcPr>
            <w:tcW w:w="2849" w:type="dxa"/>
            <w:tcBorders>
              <w:bottom w:val="none" w:sz="0" w:space="0" w:color="auto"/>
            </w:tcBorders>
            <w:shd w:val="clear" w:color="000000" w:fill="auto"/>
            <w:vAlign w:val="center"/>
          </w:tcPr>
          <w:p w14:paraId="2278E392"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IRO (Hatás, Kockázat, Lehetőség) neve</w:t>
            </w:r>
          </w:p>
        </w:tc>
        <w:tc>
          <w:tcPr>
            <w:tcW w:w="1458" w:type="dxa"/>
            <w:tcBorders>
              <w:bottom w:val="none" w:sz="0" w:space="0" w:color="auto"/>
            </w:tcBorders>
            <w:shd w:val="clear" w:color="000000" w:fill="auto"/>
            <w:vAlign w:val="center"/>
          </w:tcPr>
          <w:p w14:paraId="12BF11B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Aktuális vagy lehetséges hatások/</w:t>
            </w:r>
            <w:r w:rsidRPr="00E45723">
              <w:rPr>
                <w:rFonts w:ascii="Arial" w:hAnsi="Arial" w:cs="Arial"/>
                <w:sz w:val="20"/>
              </w:rPr>
              <w:t>​</w:t>
            </w:r>
            <w:r w:rsidRPr="00E45723">
              <w:rPr>
                <w:rFonts w:asciiTheme="minorHAnsi" w:hAnsiTheme="minorHAnsi" w:cs="Calibri"/>
                <w:sz w:val="20"/>
              </w:rPr>
              <w:t>kock</w:t>
            </w:r>
            <w:r w:rsidRPr="00E45723">
              <w:rPr>
                <w:rFonts w:cs="Aptos"/>
                <w:sz w:val="20"/>
              </w:rPr>
              <w:t>á</w:t>
            </w:r>
            <w:r w:rsidRPr="00E45723">
              <w:rPr>
                <w:rFonts w:asciiTheme="minorHAnsi" w:hAnsiTheme="minorHAnsi" w:cs="Calibri"/>
                <w:sz w:val="20"/>
              </w:rPr>
              <w:t>zatok/</w:t>
            </w:r>
            <w:r w:rsidRPr="00E45723">
              <w:rPr>
                <w:rFonts w:ascii="Arial" w:hAnsi="Arial" w:cs="Arial"/>
                <w:sz w:val="20"/>
              </w:rPr>
              <w:t>​</w:t>
            </w:r>
            <w:r w:rsidRPr="00E45723">
              <w:rPr>
                <w:rFonts w:asciiTheme="minorHAnsi" w:hAnsiTheme="minorHAnsi" w:cs="Calibri"/>
                <w:sz w:val="20"/>
              </w:rPr>
              <w:t>lehet</w:t>
            </w:r>
            <w:r w:rsidRPr="00E45723">
              <w:rPr>
                <w:rFonts w:cs="Aptos"/>
                <w:sz w:val="20"/>
              </w:rPr>
              <w:t>ő</w:t>
            </w:r>
            <w:r w:rsidRPr="00E45723">
              <w:rPr>
                <w:rFonts w:asciiTheme="minorHAnsi" w:hAnsiTheme="minorHAnsi" w:cs="Calibri"/>
                <w:sz w:val="20"/>
              </w:rPr>
              <w:t>s</w:t>
            </w:r>
            <w:r w:rsidRPr="00E45723">
              <w:rPr>
                <w:rFonts w:cs="Aptos"/>
                <w:sz w:val="20"/>
              </w:rPr>
              <w:t>é</w:t>
            </w:r>
            <w:r w:rsidRPr="00E45723">
              <w:rPr>
                <w:rFonts w:asciiTheme="minorHAnsi" w:hAnsiTheme="minorHAnsi" w:cs="Calibri"/>
                <w:sz w:val="20"/>
              </w:rPr>
              <w:t>gek le</w:t>
            </w:r>
            <w:r w:rsidRPr="00E45723">
              <w:rPr>
                <w:rFonts w:cs="Aptos"/>
                <w:sz w:val="20"/>
              </w:rPr>
              <w:t>í</w:t>
            </w:r>
            <w:r w:rsidRPr="00E45723">
              <w:rPr>
                <w:rFonts w:asciiTheme="minorHAnsi" w:hAnsiTheme="minorHAnsi" w:cs="Calibri"/>
                <w:sz w:val="20"/>
              </w:rPr>
              <w:t>r</w:t>
            </w:r>
            <w:r w:rsidRPr="00E45723">
              <w:rPr>
                <w:rFonts w:cs="Aptos"/>
                <w:sz w:val="20"/>
              </w:rPr>
              <w:t>á</w:t>
            </w:r>
            <w:r w:rsidRPr="00E45723">
              <w:rPr>
                <w:rFonts w:asciiTheme="minorHAnsi" w:hAnsiTheme="minorHAnsi" w:cs="Calibri"/>
                <w:sz w:val="20"/>
              </w:rPr>
              <w:t>sa</w:t>
            </w:r>
          </w:p>
        </w:tc>
        <w:tc>
          <w:tcPr>
            <w:tcW w:w="1158" w:type="dxa"/>
            <w:tcBorders>
              <w:bottom w:val="none" w:sz="0" w:space="0" w:color="auto"/>
            </w:tcBorders>
            <w:shd w:val="clear" w:color="000000" w:fill="auto"/>
            <w:vAlign w:val="center"/>
          </w:tcPr>
          <w:p w14:paraId="47182DE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Időtáv (rövid/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w:t>
            </w:r>
            <w:r w:rsidRPr="00E45723">
              <w:rPr>
                <w:rFonts w:cs="Aptos"/>
                <w:sz w:val="20"/>
              </w:rPr>
              <w:t>é</w:t>
            </w:r>
            <w:r w:rsidRPr="00E45723">
              <w:rPr>
                <w:rFonts w:asciiTheme="minorHAnsi" w:hAnsiTheme="minorHAnsi" w:cs="Calibri"/>
                <w:sz w:val="20"/>
              </w:rPr>
              <w:t>p/</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r w:rsidRPr="00E45723">
              <w:rPr>
                <w:rFonts w:asciiTheme="minorHAnsi" w:hAnsiTheme="minorHAnsi" w:cs="Calibri"/>
                <w:sz w:val="20"/>
              </w:rPr>
              <w:t>)</w:t>
            </w:r>
          </w:p>
        </w:tc>
        <w:tc>
          <w:tcPr>
            <w:tcW w:w="1565" w:type="dxa"/>
            <w:tcBorders>
              <w:bottom w:val="none" w:sz="0" w:space="0" w:color="auto"/>
            </w:tcBorders>
            <w:shd w:val="clear" w:color="000000" w:fill="auto"/>
            <w:vAlign w:val="center"/>
          </w:tcPr>
          <w:p w14:paraId="05A5607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Értéklánc érintettség (saját működés, upstream, downstream)</w:t>
            </w:r>
          </w:p>
        </w:tc>
      </w:tr>
      <w:tr w:rsidR="00BD159D" w:rsidRPr="00E45723" w14:paraId="27D826C4" w14:textId="77777777" w:rsidTr="005A4858">
        <w:trPr>
          <w:trHeight w:val="726"/>
          <w:jc w:val="center"/>
        </w:trPr>
        <w:tc>
          <w:tcPr>
            <w:tcW w:w="1894" w:type="dxa"/>
            <w:shd w:val="clear" w:color="000000" w:fill="auto"/>
          </w:tcPr>
          <w:p w14:paraId="0494A51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E1: Éghajlatváltozás mérséklése</w:t>
            </w:r>
          </w:p>
        </w:tc>
        <w:tc>
          <w:tcPr>
            <w:tcW w:w="2849" w:type="dxa"/>
            <w:shd w:val="clear" w:color="000000" w:fill="auto"/>
          </w:tcPr>
          <w:p w14:paraId="558E3F71" w14:textId="5C97BBCC"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Cégcsoport ~850 járműves flottájának energiafelhaszná</w:t>
            </w:r>
            <w:r w:rsidR="00B75E29" w:rsidRPr="00E45723">
              <w:rPr>
                <w:rFonts w:asciiTheme="minorHAnsi" w:hAnsiTheme="minorHAnsi" w:cs="Calibri"/>
                <w:sz w:val="20"/>
              </w:rPr>
              <w:t>-</w:t>
            </w:r>
            <w:r w:rsidRPr="00E45723">
              <w:rPr>
                <w:rFonts w:asciiTheme="minorHAnsi" w:hAnsiTheme="minorHAnsi" w:cs="Calibri"/>
                <w:sz w:val="20"/>
              </w:rPr>
              <w:t>lása és kibocsátása jelentős; az elektromos flotta kiépítése megkezdődött (~10 db).</w:t>
            </w:r>
          </w:p>
        </w:tc>
        <w:tc>
          <w:tcPr>
            <w:tcW w:w="1458" w:type="dxa"/>
            <w:shd w:val="clear" w:color="000000" w:fill="auto"/>
            <w:vAlign w:val="center"/>
          </w:tcPr>
          <w:p w14:paraId="4D24B4F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143EEBDB" w14:textId="77777777" w:rsidR="00BD159D" w:rsidRPr="00E45723" w:rsidRDefault="00BD159D" w:rsidP="00EA3B06">
            <w:pPr>
              <w:suppressAutoHyphens/>
              <w:spacing w:before="36" w:after="36"/>
              <w:jc w:val="left"/>
              <w:rPr>
                <w:rFonts w:asciiTheme="minorHAnsi" w:hAnsiTheme="minorHAnsi" w:cs="Calibri"/>
                <w:sz w:val="20"/>
              </w:rPr>
            </w:pPr>
          </w:p>
        </w:tc>
        <w:tc>
          <w:tcPr>
            <w:tcW w:w="1158" w:type="dxa"/>
            <w:shd w:val="clear" w:color="000000" w:fill="auto"/>
            <w:vAlign w:val="center"/>
          </w:tcPr>
          <w:p w14:paraId="4CEAE3A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6A2C9F9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p w14:paraId="4CF32B7D"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50D06B1" w14:textId="77777777" w:rsidTr="005A4858">
        <w:trPr>
          <w:trHeight w:val="1095"/>
          <w:jc w:val="center"/>
        </w:trPr>
        <w:tc>
          <w:tcPr>
            <w:tcW w:w="1894" w:type="dxa"/>
            <w:vMerge w:val="restart"/>
            <w:shd w:val="clear" w:color="000000" w:fill="auto"/>
          </w:tcPr>
          <w:p w14:paraId="2A53E43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lastRenderedPageBreak/>
              <w:t>E1: Energia</w:t>
            </w:r>
          </w:p>
        </w:tc>
        <w:tc>
          <w:tcPr>
            <w:tcW w:w="2849" w:type="dxa"/>
            <w:shd w:val="clear" w:color="000000" w:fill="auto"/>
          </w:tcPr>
          <w:p w14:paraId="6F665ECD"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működés energiafelhasználása közepes; LED-világítás bevezetve, 50 kW saját napenergia-termelés működik, a mosodáknál napelem telepítés tervezett.</w:t>
            </w:r>
          </w:p>
        </w:tc>
        <w:tc>
          <w:tcPr>
            <w:tcW w:w="1458" w:type="dxa"/>
            <w:shd w:val="clear" w:color="000000" w:fill="auto"/>
            <w:vAlign w:val="center"/>
          </w:tcPr>
          <w:p w14:paraId="454FDC5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tc>
        <w:tc>
          <w:tcPr>
            <w:tcW w:w="1158" w:type="dxa"/>
            <w:shd w:val="clear" w:color="000000" w:fill="auto"/>
            <w:vAlign w:val="center"/>
          </w:tcPr>
          <w:p w14:paraId="23C5488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627C491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3638145B" w14:textId="77777777" w:rsidTr="005A4858">
        <w:trPr>
          <w:trHeight w:val="1095"/>
          <w:jc w:val="center"/>
        </w:trPr>
        <w:tc>
          <w:tcPr>
            <w:tcW w:w="1894" w:type="dxa"/>
            <w:vMerge/>
            <w:shd w:val="clear" w:color="000000" w:fill="auto"/>
          </w:tcPr>
          <w:p w14:paraId="6FC6A07F"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32080D11"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új, energiahatékonyabb klímagépek beszerzése rövid távon jelentős beruházási költséget jelent, azonban közép- és hosszú távon költségmegtakarítást eredményez az alacsonyabb energiafelhasználás révén. A klímák árnyékosabb, védettebb helyekre történő telepítése – például nem tetőre – csökkenti a berendezések hőterhelését, ami mérsékli a karbantartási igényt, növeli az élettartamot, és ezáltal tovább javítja a beruházás megtérülését.</w:t>
            </w:r>
          </w:p>
        </w:tc>
        <w:tc>
          <w:tcPr>
            <w:tcW w:w="1458" w:type="dxa"/>
            <w:shd w:val="clear" w:color="000000" w:fill="auto"/>
            <w:vAlign w:val="center"/>
          </w:tcPr>
          <w:p w14:paraId="79EA126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Lehetőség</w:t>
            </w:r>
          </w:p>
        </w:tc>
        <w:tc>
          <w:tcPr>
            <w:tcW w:w="1158" w:type="dxa"/>
            <w:shd w:val="clear" w:color="000000" w:fill="auto"/>
            <w:vAlign w:val="center"/>
          </w:tcPr>
          <w:p w14:paraId="23D1C3D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41535D8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41E7039B" w14:textId="77777777" w:rsidTr="005A4858">
        <w:trPr>
          <w:trHeight w:val="1095"/>
          <w:jc w:val="center"/>
        </w:trPr>
        <w:tc>
          <w:tcPr>
            <w:tcW w:w="1894" w:type="dxa"/>
            <w:vMerge/>
            <w:shd w:val="clear" w:color="000000" w:fill="auto"/>
          </w:tcPr>
          <w:p w14:paraId="2071BAC1"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461653D5"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zöld szolgáltatások erősítik az ügyfélkapcsolatokat és a versenyelőnyt, miközben hosszú távon költségcsökkentést és új bevételeket támogatnak.</w:t>
            </w:r>
          </w:p>
        </w:tc>
        <w:tc>
          <w:tcPr>
            <w:tcW w:w="1458" w:type="dxa"/>
            <w:shd w:val="clear" w:color="000000" w:fill="auto"/>
            <w:vAlign w:val="center"/>
          </w:tcPr>
          <w:p w14:paraId="619AE46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0E39FF7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620A583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Downstream</w:t>
            </w:r>
          </w:p>
        </w:tc>
      </w:tr>
      <w:tr w:rsidR="00BD159D" w:rsidRPr="00E45723" w14:paraId="0A21DA95" w14:textId="77777777" w:rsidTr="005A4858">
        <w:trPr>
          <w:jc w:val="center"/>
        </w:trPr>
        <w:tc>
          <w:tcPr>
            <w:tcW w:w="1894" w:type="dxa"/>
            <w:shd w:val="clear" w:color="000000" w:fill="auto"/>
          </w:tcPr>
          <w:p w14:paraId="5682320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E2: Légszennyezés</w:t>
            </w:r>
          </w:p>
        </w:tc>
        <w:tc>
          <w:tcPr>
            <w:tcW w:w="2849" w:type="dxa"/>
            <w:shd w:val="clear" w:color="000000" w:fill="auto"/>
          </w:tcPr>
          <w:p w14:paraId="5BC69694"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Cégcsoport nagy létszámú flottájának kibocsátása jelentős; áramszünet esetén aggregátorhasználat és havi üzempróba további környezeti terhelést okoz.</w:t>
            </w:r>
          </w:p>
        </w:tc>
        <w:tc>
          <w:tcPr>
            <w:tcW w:w="1458" w:type="dxa"/>
            <w:shd w:val="clear" w:color="000000" w:fill="auto"/>
            <w:vAlign w:val="center"/>
          </w:tcPr>
          <w:p w14:paraId="6C8B89A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tc>
        <w:tc>
          <w:tcPr>
            <w:tcW w:w="1158" w:type="dxa"/>
            <w:shd w:val="clear" w:color="000000" w:fill="auto"/>
            <w:vAlign w:val="center"/>
          </w:tcPr>
          <w:p w14:paraId="402C95F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098338A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0AD8BB09" w14:textId="77777777" w:rsidTr="005A4858">
        <w:trPr>
          <w:jc w:val="center"/>
        </w:trPr>
        <w:tc>
          <w:tcPr>
            <w:tcW w:w="1894" w:type="dxa"/>
            <w:vMerge w:val="restart"/>
            <w:shd w:val="clear" w:color="000000" w:fill="auto"/>
          </w:tcPr>
          <w:p w14:paraId="4FCB2D2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E2: Vízszennyezés</w:t>
            </w:r>
          </w:p>
        </w:tc>
        <w:tc>
          <w:tcPr>
            <w:tcW w:w="2849" w:type="dxa"/>
            <w:shd w:val="clear" w:color="000000" w:fill="auto"/>
          </w:tcPr>
          <w:p w14:paraId="40909673"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felhasznált vegyi anyagok vízterhelése jelentős; a tisztítószerek nagy része kezelés nélkül jut a vízhálózatba, miközben a szürkevíz-visszagyűjtés nem jellemző.</w:t>
            </w:r>
          </w:p>
        </w:tc>
        <w:tc>
          <w:tcPr>
            <w:tcW w:w="1458" w:type="dxa"/>
            <w:shd w:val="clear" w:color="000000" w:fill="auto"/>
            <w:vAlign w:val="center"/>
          </w:tcPr>
          <w:p w14:paraId="05E88CB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tc>
        <w:tc>
          <w:tcPr>
            <w:tcW w:w="1158" w:type="dxa"/>
            <w:shd w:val="clear" w:color="000000" w:fill="auto"/>
            <w:vAlign w:val="center"/>
          </w:tcPr>
          <w:p w14:paraId="456B71F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46000BF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Downstream</w:t>
            </w:r>
          </w:p>
        </w:tc>
      </w:tr>
      <w:tr w:rsidR="00BD159D" w:rsidRPr="00E45723" w14:paraId="01A0BD17" w14:textId="77777777" w:rsidTr="005A4858">
        <w:trPr>
          <w:jc w:val="center"/>
        </w:trPr>
        <w:tc>
          <w:tcPr>
            <w:tcW w:w="1894" w:type="dxa"/>
            <w:vMerge/>
            <w:shd w:val="clear" w:color="000000" w:fill="auto"/>
          </w:tcPr>
          <w:p w14:paraId="378BFEBE"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10B89AE4"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Ecolabel tisztítószerek használata csökkenti a víz- és talajszennyezést</w:t>
            </w:r>
          </w:p>
        </w:tc>
        <w:tc>
          <w:tcPr>
            <w:tcW w:w="1458" w:type="dxa"/>
            <w:shd w:val="clear" w:color="000000" w:fill="auto"/>
            <w:vAlign w:val="center"/>
          </w:tcPr>
          <w:p w14:paraId="151AC47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3EEFE67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1468556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43813375" w14:textId="77777777" w:rsidTr="005A4858">
        <w:trPr>
          <w:jc w:val="center"/>
        </w:trPr>
        <w:tc>
          <w:tcPr>
            <w:tcW w:w="1894" w:type="dxa"/>
            <w:shd w:val="clear" w:color="000000" w:fill="auto"/>
          </w:tcPr>
          <w:p w14:paraId="0E82D41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E2: Aggodalomra okot adó anyag</w:t>
            </w:r>
          </w:p>
        </w:tc>
        <w:tc>
          <w:tcPr>
            <w:tcW w:w="2849" w:type="dxa"/>
            <w:shd w:val="clear" w:color="000000" w:fill="auto"/>
          </w:tcPr>
          <w:p w14:paraId="4C0ECA00"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főtevékenységhez kapcsolódó vegyianyag-használat folyamatos környezeti és egészségügyi kockázatot jelent, ami növelheti a megfelelési és felelősségvállalási költségeket.</w:t>
            </w:r>
          </w:p>
        </w:tc>
        <w:tc>
          <w:tcPr>
            <w:tcW w:w="1458" w:type="dxa"/>
            <w:shd w:val="clear" w:color="000000" w:fill="auto"/>
            <w:vAlign w:val="center"/>
          </w:tcPr>
          <w:p w14:paraId="6E6832F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tc>
        <w:tc>
          <w:tcPr>
            <w:tcW w:w="1158" w:type="dxa"/>
            <w:shd w:val="clear" w:color="000000" w:fill="auto"/>
            <w:vAlign w:val="center"/>
          </w:tcPr>
          <w:p w14:paraId="2E77D82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46ABAFB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Upstream/</w:t>
            </w:r>
            <w:r w:rsidRPr="00E45723">
              <w:rPr>
                <w:rFonts w:ascii="Arial" w:hAnsi="Arial" w:cs="Arial"/>
                <w:sz w:val="20"/>
              </w:rPr>
              <w:t>​</w:t>
            </w:r>
            <w:r w:rsidRPr="00E45723">
              <w:rPr>
                <w:rFonts w:asciiTheme="minorHAnsi" w:hAnsiTheme="minorHAnsi" w:cs="Calibri"/>
                <w:sz w:val="20"/>
              </w:rPr>
              <w:t>Downstream</w:t>
            </w:r>
          </w:p>
        </w:tc>
      </w:tr>
      <w:tr w:rsidR="00BD159D" w:rsidRPr="00E45723" w14:paraId="1617DB11" w14:textId="77777777" w:rsidTr="005A4858">
        <w:trPr>
          <w:jc w:val="center"/>
        </w:trPr>
        <w:tc>
          <w:tcPr>
            <w:tcW w:w="1894" w:type="dxa"/>
            <w:shd w:val="clear" w:color="000000" w:fill="auto"/>
          </w:tcPr>
          <w:p w14:paraId="4E9FF4E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lastRenderedPageBreak/>
              <w:t>E3: Vízfogyasztás</w:t>
            </w:r>
          </w:p>
        </w:tc>
        <w:tc>
          <w:tcPr>
            <w:tcW w:w="2849" w:type="dxa"/>
            <w:shd w:val="clear" w:color="000000" w:fill="auto"/>
          </w:tcPr>
          <w:p w14:paraId="698252B9"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jelentős vízfelhasználás (mosodai, autómosási, takarítási tevékenységek) az RWI leányvállalatnál költség- és működési kockázatot jelent; a vízhatékonysági intézkedések ezt részben mérséklik, ugyanakkor a működés továbbra is érzékeny a vízdíjak és szabályozás változására.</w:t>
            </w:r>
          </w:p>
        </w:tc>
        <w:tc>
          <w:tcPr>
            <w:tcW w:w="1458" w:type="dxa"/>
            <w:shd w:val="clear" w:color="000000" w:fill="auto"/>
            <w:vAlign w:val="center"/>
          </w:tcPr>
          <w:p w14:paraId="47AC6E2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tc>
        <w:tc>
          <w:tcPr>
            <w:tcW w:w="1158" w:type="dxa"/>
            <w:shd w:val="clear" w:color="000000" w:fill="auto"/>
            <w:vAlign w:val="center"/>
          </w:tcPr>
          <w:p w14:paraId="3D09C98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3B85C65E"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1B831E50" w14:textId="77777777" w:rsidTr="005A4858">
        <w:trPr>
          <w:jc w:val="center"/>
        </w:trPr>
        <w:tc>
          <w:tcPr>
            <w:tcW w:w="1894" w:type="dxa"/>
            <w:shd w:val="clear" w:color="000000" w:fill="auto"/>
          </w:tcPr>
          <w:p w14:paraId="2C3BE9A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E5: Erőforrás beáramlás beleértve az erőforrás felhasználást is</w:t>
            </w:r>
          </w:p>
        </w:tc>
        <w:tc>
          <w:tcPr>
            <w:tcW w:w="2849" w:type="dxa"/>
            <w:shd w:val="clear" w:color="000000" w:fill="auto"/>
          </w:tcPr>
          <w:p w14:paraId="117E7FC9"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magas anyagfelhasználás (pl. szemeteszsákok, higiéniai termékek, egyszer használatos papírok, takarítószerek) növeli a hulladéktermelést és a környezeti terhelést, miközben emeli a működési, beszerzési és hulladékkezelési költségeket, valamint fokozza a szabályozási kockázatokat.</w:t>
            </w:r>
          </w:p>
        </w:tc>
        <w:tc>
          <w:tcPr>
            <w:tcW w:w="1458" w:type="dxa"/>
            <w:shd w:val="clear" w:color="000000" w:fill="auto"/>
            <w:vAlign w:val="center"/>
          </w:tcPr>
          <w:p w14:paraId="3CF901A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37C085D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kockázat</w:t>
            </w:r>
          </w:p>
        </w:tc>
        <w:tc>
          <w:tcPr>
            <w:tcW w:w="1158" w:type="dxa"/>
            <w:shd w:val="clear" w:color="000000" w:fill="auto"/>
            <w:vAlign w:val="center"/>
          </w:tcPr>
          <w:p w14:paraId="6FDC12E0"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68CCFFE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Upstream/</w:t>
            </w:r>
            <w:r w:rsidRPr="00E45723">
              <w:rPr>
                <w:rFonts w:ascii="Arial" w:hAnsi="Arial" w:cs="Arial"/>
                <w:sz w:val="20"/>
              </w:rPr>
              <w:t>​</w:t>
            </w:r>
            <w:r w:rsidRPr="00E45723">
              <w:rPr>
                <w:rFonts w:asciiTheme="minorHAnsi" w:hAnsiTheme="minorHAnsi" w:cs="Calibri"/>
                <w:sz w:val="20"/>
              </w:rPr>
              <w:t>Downstream</w:t>
            </w:r>
          </w:p>
        </w:tc>
      </w:tr>
      <w:tr w:rsidR="00BD159D" w:rsidRPr="00E45723" w14:paraId="60FA1B06" w14:textId="77777777" w:rsidTr="005A4858">
        <w:trPr>
          <w:trHeight w:val="1339"/>
          <w:jc w:val="center"/>
        </w:trPr>
        <w:tc>
          <w:tcPr>
            <w:tcW w:w="1894" w:type="dxa"/>
            <w:vMerge w:val="restart"/>
            <w:shd w:val="clear" w:color="000000" w:fill="auto"/>
          </w:tcPr>
          <w:p w14:paraId="102E962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E5: Termékekhez és szolgáltatásokhoz kapcsolódó erőforrás-beáramlás</w:t>
            </w:r>
          </w:p>
        </w:tc>
        <w:tc>
          <w:tcPr>
            <w:tcW w:w="2849" w:type="dxa"/>
            <w:shd w:val="clear" w:color="000000" w:fill="auto"/>
          </w:tcPr>
          <w:p w14:paraId="66439E73"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újrahasznosított anyagok (pl. WC-papír, törlőkendő) használata és szélesebb körű bevezetése csökkenti a környezeti terhelést, miközben mérsékli a beszerzési költségeket, és hosszú távon verseny- és reputációs előnyt biztosít a Cégcsoport számára.</w:t>
            </w:r>
          </w:p>
        </w:tc>
        <w:tc>
          <w:tcPr>
            <w:tcW w:w="1458" w:type="dxa"/>
            <w:shd w:val="clear" w:color="000000" w:fill="auto"/>
            <w:vAlign w:val="center"/>
          </w:tcPr>
          <w:p w14:paraId="4B228FC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Potenciális pozitív hatás</w:t>
            </w:r>
          </w:p>
          <w:p w14:paraId="07F26B4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7A0A868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p>
        </w:tc>
        <w:tc>
          <w:tcPr>
            <w:tcW w:w="1565" w:type="dxa"/>
            <w:shd w:val="clear" w:color="000000" w:fill="auto"/>
            <w:vAlign w:val="center"/>
          </w:tcPr>
          <w:p w14:paraId="00D75C3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Upstream</w:t>
            </w:r>
          </w:p>
        </w:tc>
      </w:tr>
      <w:tr w:rsidR="00BD159D" w:rsidRPr="00E45723" w14:paraId="515F60F2" w14:textId="77777777" w:rsidTr="005A4858">
        <w:trPr>
          <w:trHeight w:val="1019"/>
          <w:jc w:val="center"/>
        </w:trPr>
        <w:tc>
          <w:tcPr>
            <w:tcW w:w="1894" w:type="dxa"/>
            <w:vMerge/>
            <w:shd w:val="clear" w:color="000000" w:fill="auto"/>
          </w:tcPr>
          <w:p w14:paraId="75EB9BFB"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6ACBD994"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anyag- és csomagolóanyag-felhasználás csökkentése (pl. utántöltés, koncentrátumok, újrahasználat) mérsékli a környezeti terhelést és a működési költségeket.</w:t>
            </w:r>
          </w:p>
        </w:tc>
        <w:tc>
          <w:tcPr>
            <w:tcW w:w="1458" w:type="dxa"/>
            <w:shd w:val="clear" w:color="000000" w:fill="auto"/>
            <w:vAlign w:val="center"/>
          </w:tcPr>
          <w:p w14:paraId="2966E41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6B496B1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p>
        </w:tc>
        <w:tc>
          <w:tcPr>
            <w:tcW w:w="1565" w:type="dxa"/>
            <w:shd w:val="clear" w:color="000000" w:fill="auto"/>
            <w:vAlign w:val="center"/>
          </w:tcPr>
          <w:p w14:paraId="7A9F6E8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Upstream/</w:t>
            </w:r>
            <w:r w:rsidRPr="00E45723">
              <w:rPr>
                <w:rFonts w:ascii="Arial" w:hAnsi="Arial" w:cs="Arial"/>
                <w:sz w:val="20"/>
              </w:rPr>
              <w:t>​</w:t>
            </w:r>
            <w:r w:rsidRPr="00E45723">
              <w:rPr>
                <w:rFonts w:asciiTheme="minorHAnsi" w:hAnsiTheme="minorHAnsi" w:cs="Calibri"/>
                <w:sz w:val="20"/>
              </w:rPr>
              <w:t>Downstream</w:t>
            </w:r>
          </w:p>
        </w:tc>
      </w:tr>
      <w:tr w:rsidR="00BD159D" w:rsidRPr="00E45723" w14:paraId="4964725F" w14:textId="77777777" w:rsidTr="005A4858">
        <w:trPr>
          <w:jc w:val="center"/>
        </w:trPr>
        <w:tc>
          <w:tcPr>
            <w:tcW w:w="1894" w:type="dxa"/>
            <w:shd w:val="clear" w:color="000000" w:fill="auto"/>
          </w:tcPr>
          <w:p w14:paraId="5316F72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Biztos foglalkoztatás</w:t>
            </w:r>
          </w:p>
        </w:tc>
        <w:tc>
          <w:tcPr>
            <w:tcW w:w="2849" w:type="dxa"/>
            <w:shd w:val="clear" w:color="000000" w:fill="auto"/>
          </w:tcPr>
          <w:p w14:paraId="3314B22B"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jogkövető működés és a munkavállalói jogok erősítik a munkáltatói márkát, miközben a fluktuáció tudatos nyomon követése támogatja a költséghatékonyabb munkaerőmegtartást és toborzást.</w:t>
            </w:r>
          </w:p>
        </w:tc>
        <w:tc>
          <w:tcPr>
            <w:tcW w:w="1458" w:type="dxa"/>
            <w:shd w:val="clear" w:color="000000" w:fill="auto"/>
            <w:vAlign w:val="center"/>
          </w:tcPr>
          <w:p w14:paraId="3C03E00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7BB6668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1F8817C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43059CF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40CE3C77" w14:textId="77777777" w:rsidTr="005A4858">
        <w:trPr>
          <w:jc w:val="center"/>
        </w:trPr>
        <w:tc>
          <w:tcPr>
            <w:tcW w:w="1894" w:type="dxa"/>
            <w:shd w:val="clear" w:color="000000" w:fill="auto"/>
          </w:tcPr>
          <w:p w14:paraId="2D8485E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Munkaidő</w:t>
            </w:r>
          </w:p>
        </w:tc>
        <w:tc>
          <w:tcPr>
            <w:tcW w:w="2849" w:type="dxa"/>
            <w:shd w:val="clear" w:color="000000" w:fill="auto"/>
          </w:tcPr>
          <w:p w14:paraId="501184CC"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nehezen tervezhető, magas túlóraszám növeli a bérköltségeket és a működési kockázatokat, miközben a munkavállalói elvárások miatti kiszámíthatatlanság fokozza a fluktuációt.</w:t>
            </w:r>
          </w:p>
        </w:tc>
        <w:tc>
          <w:tcPr>
            <w:tcW w:w="1458" w:type="dxa"/>
            <w:shd w:val="clear" w:color="000000" w:fill="auto"/>
            <w:vAlign w:val="center"/>
          </w:tcPr>
          <w:p w14:paraId="4B20617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34473C5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kockázat</w:t>
            </w:r>
          </w:p>
        </w:tc>
        <w:tc>
          <w:tcPr>
            <w:tcW w:w="1158" w:type="dxa"/>
            <w:shd w:val="clear" w:color="000000" w:fill="auto"/>
            <w:vAlign w:val="center"/>
          </w:tcPr>
          <w:p w14:paraId="2BE38F7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5404376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068DE4D2" w14:textId="77777777" w:rsidTr="005A4858">
        <w:trPr>
          <w:jc w:val="center"/>
        </w:trPr>
        <w:tc>
          <w:tcPr>
            <w:tcW w:w="1894" w:type="dxa"/>
            <w:shd w:val="clear" w:color="000000" w:fill="auto"/>
          </w:tcPr>
          <w:p w14:paraId="42F2771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lastRenderedPageBreak/>
              <w:t>S1: Megfelelő bérek</w:t>
            </w:r>
          </w:p>
        </w:tc>
        <w:tc>
          <w:tcPr>
            <w:tcW w:w="2849" w:type="dxa"/>
            <w:shd w:val="clear" w:color="000000" w:fill="auto"/>
          </w:tcPr>
          <w:p w14:paraId="6ACFDA10"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versenyképes, minimálbér feletti bérezés csökkenti a fluktuációt és növeli az elköteleződést, ezáltal támogatja a stabil működést és mérsékli a toborzási költségeket.</w:t>
            </w:r>
          </w:p>
        </w:tc>
        <w:tc>
          <w:tcPr>
            <w:tcW w:w="1458" w:type="dxa"/>
            <w:shd w:val="clear" w:color="000000" w:fill="auto"/>
            <w:vAlign w:val="center"/>
          </w:tcPr>
          <w:p w14:paraId="42ED8BC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2E19183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13C26FD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254942A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1E4E5137" w14:textId="77777777" w:rsidTr="005A4858">
        <w:trPr>
          <w:jc w:val="center"/>
        </w:trPr>
        <w:tc>
          <w:tcPr>
            <w:tcW w:w="1894" w:type="dxa"/>
            <w:shd w:val="clear" w:color="000000" w:fill="auto"/>
          </w:tcPr>
          <w:p w14:paraId="0C9006F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Szociális párbeszéd</w:t>
            </w:r>
          </w:p>
        </w:tc>
        <w:tc>
          <w:tcPr>
            <w:tcW w:w="2849" w:type="dxa"/>
            <w:shd w:val="clear" w:color="000000" w:fill="auto"/>
          </w:tcPr>
          <w:p w14:paraId="0C67C777"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Belső kommunikáció, visszajelzések begyűjtésének fejlesztése tervezett.</w:t>
            </w:r>
            <w:r w:rsidRPr="00E45723">
              <w:rPr>
                <w:rFonts w:asciiTheme="minorHAnsi" w:hAnsiTheme="minorHAnsi" w:cs="Calibri"/>
                <w:sz w:val="20"/>
              </w:rPr>
              <w:tab/>
            </w:r>
          </w:p>
        </w:tc>
        <w:tc>
          <w:tcPr>
            <w:tcW w:w="1458" w:type="dxa"/>
            <w:shd w:val="clear" w:color="000000" w:fill="auto"/>
            <w:vAlign w:val="center"/>
          </w:tcPr>
          <w:p w14:paraId="045BC74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Potenciális pozitív hatás</w:t>
            </w:r>
          </w:p>
          <w:p w14:paraId="4FF86DE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089CBD2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0010C47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471CE1D1" w14:textId="77777777" w:rsidTr="005A4858">
        <w:trPr>
          <w:jc w:val="center"/>
        </w:trPr>
        <w:tc>
          <w:tcPr>
            <w:tcW w:w="1894" w:type="dxa"/>
            <w:shd w:val="clear" w:color="000000" w:fill="auto"/>
          </w:tcPr>
          <w:p w14:paraId="3D8E7D1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Egészségvédelem és biztonság</w:t>
            </w:r>
          </w:p>
        </w:tc>
        <w:tc>
          <w:tcPr>
            <w:tcW w:w="2849" w:type="dxa"/>
            <w:shd w:val="clear" w:color="000000" w:fill="auto"/>
          </w:tcPr>
          <w:p w14:paraId="1E6238EC"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munkavállalók többségének vegyszerekkel való folyamatos érintkezése egészségügyi kockázatot jelent, ami növelheti a megbetegedések, a munkakiesés, valamint az egészségügyi és jogi költségeket.</w:t>
            </w:r>
          </w:p>
        </w:tc>
        <w:tc>
          <w:tcPr>
            <w:tcW w:w="1458" w:type="dxa"/>
            <w:shd w:val="clear" w:color="000000" w:fill="auto"/>
            <w:vAlign w:val="center"/>
          </w:tcPr>
          <w:p w14:paraId="392E6D7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452AE6E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kockázat</w:t>
            </w:r>
          </w:p>
        </w:tc>
        <w:tc>
          <w:tcPr>
            <w:tcW w:w="1158" w:type="dxa"/>
            <w:shd w:val="clear" w:color="000000" w:fill="auto"/>
            <w:vAlign w:val="center"/>
          </w:tcPr>
          <w:p w14:paraId="19E99A0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Hosszú</w:t>
            </w:r>
          </w:p>
        </w:tc>
        <w:tc>
          <w:tcPr>
            <w:tcW w:w="1565" w:type="dxa"/>
            <w:shd w:val="clear" w:color="000000" w:fill="auto"/>
            <w:vAlign w:val="center"/>
          </w:tcPr>
          <w:p w14:paraId="31C7553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274D053E" w14:textId="77777777" w:rsidTr="005A4858">
        <w:trPr>
          <w:jc w:val="center"/>
        </w:trPr>
        <w:tc>
          <w:tcPr>
            <w:tcW w:w="1894" w:type="dxa"/>
            <w:shd w:val="clear" w:color="000000" w:fill="auto"/>
          </w:tcPr>
          <w:p w14:paraId="3A0FE9A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Nemek közötti egyenlőség és egyenlő értékű munkáért egyenlő bér</w:t>
            </w:r>
          </w:p>
        </w:tc>
        <w:tc>
          <w:tcPr>
            <w:tcW w:w="2849" w:type="dxa"/>
            <w:shd w:val="clear" w:color="000000" w:fill="auto"/>
          </w:tcPr>
          <w:p w14:paraId="0F83F754" w14:textId="440C56FA"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 xml:space="preserve">A nemek közötti egyenlőség </w:t>
            </w:r>
            <w:r w:rsidR="00B75E29" w:rsidRPr="00E45723">
              <w:rPr>
                <w:rFonts w:asciiTheme="minorHAnsi" w:hAnsiTheme="minorHAnsi" w:cs="Calibri"/>
                <w:sz w:val="20"/>
              </w:rPr>
              <w:br/>
            </w:r>
            <w:r w:rsidRPr="00E45723">
              <w:rPr>
                <w:rFonts w:asciiTheme="minorHAnsi" w:hAnsiTheme="minorHAnsi" w:cs="Calibri"/>
                <w:sz w:val="20"/>
              </w:rPr>
              <w:t>és az egyenlő bér elvének érvényesítése erősíti a munkáltatói vonzerőt, miközben csökkenti a fluktuációt és a jogi kockázatokat.</w:t>
            </w:r>
          </w:p>
        </w:tc>
        <w:tc>
          <w:tcPr>
            <w:tcW w:w="1458" w:type="dxa"/>
            <w:shd w:val="clear" w:color="000000" w:fill="auto"/>
            <w:vAlign w:val="center"/>
          </w:tcPr>
          <w:p w14:paraId="54B3F97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1775A9D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18024B2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2B09855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6F22E611" w14:textId="77777777" w:rsidTr="005A4858">
        <w:trPr>
          <w:jc w:val="center"/>
        </w:trPr>
        <w:tc>
          <w:tcPr>
            <w:tcW w:w="1894" w:type="dxa"/>
            <w:shd w:val="clear" w:color="000000" w:fill="auto"/>
          </w:tcPr>
          <w:p w14:paraId="50CEDC8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Képzés és készségfejlesztés</w:t>
            </w:r>
          </w:p>
        </w:tc>
        <w:tc>
          <w:tcPr>
            <w:tcW w:w="2849" w:type="dxa"/>
            <w:shd w:val="clear" w:color="000000" w:fill="auto"/>
          </w:tcPr>
          <w:p w14:paraId="2AF04D44"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képzési lehetőségek és gyakornoki programok fejlesztik a kompetenciákat és a foglalkoztathatóságot, miközben erősítik a munkaerő-utánpótlást és a hosszú távú működési stabilitást.</w:t>
            </w:r>
          </w:p>
        </w:tc>
        <w:tc>
          <w:tcPr>
            <w:tcW w:w="1458" w:type="dxa"/>
            <w:shd w:val="clear" w:color="000000" w:fill="auto"/>
            <w:vAlign w:val="center"/>
          </w:tcPr>
          <w:p w14:paraId="5FD0F21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6DE3FB4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p>
        </w:tc>
        <w:tc>
          <w:tcPr>
            <w:tcW w:w="1565" w:type="dxa"/>
            <w:shd w:val="clear" w:color="000000" w:fill="auto"/>
            <w:vAlign w:val="center"/>
          </w:tcPr>
          <w:p w14:paraId="5E2C937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58999D1F" w14:textId="77777777" w:rsidTr="005A4858">
        <w:trPr>
          <w:trHeight w:val="1458"/>
          <w:jc w:val="center"/>
        </w:trPr>
        <w:tc>
          <w:tcPr>
            <w:tcW w:w="1894" w:type="dxa"/>
            <w:vMerge w:val="restart"/>
            <w:shd w:val="clear" w:color="000000" w:fill="auto"/>
          </w:tcPr>
          <w:p w14:paraId="28E11B3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A fogyatékossággal élő személyek foglalkoztatása és integrációja</w:t>
            </w:r>
          </w:p>
        </w:tc>
        <w:tc>
          <w:tcPr>
            <w:tcW w:w="2849" w:type="dxa"/>
            <w:shd w:val="clear" w:color="000000" w:fill="auto"/>
          </w:tcPr>
          <w:p w14:paraId="5EDD6BA3"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megváltozott munkaképességűek foglalkoztatása (Lengyelországban és Csehországban stratégiai együttműködések révén) enyhíti a munkaerőhiányt, miközben csökkentheti a foglalkoztatási költségeket támogatások és kedvezmények révén.</w:t>
            </w:r>
          </w:p>
        </w:tc>
        <w:tc>
          <w:tcPr>
            <w:tcW w:w="1458" w:type="dxa"/>
            <w:shd w:val="clear" w:color="000000" w:fill="auto"/>
            <w:vAlign w:val="center"/>
          </w:tcPr>
          <w:p w14:paraId="6F772C9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49F5CD8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75D9C06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p>
        </w:tc>
        <w:tc>
          <w:tcPr>
            <w:tcW w:w="1565" w:type="dxa"/>
            <w:shd w:val="clear" w:color="000000" w:fill="auto"/>
            <w:vAlign w:val="center"/>
          </w:tcPr>
          <w:p w14:paraId="3DB80B6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3E09AC74" w14:textId="77777777" w:rsidTr="005A4858">
        <w:trPr>
          <w:trHeight w:val="1708"/>
          <w:jc w:val="center"/>
        </w:trPr>
        <w:tc>
          <w:tcPr>
            <w:tcW w:w="1894" w:type="dxa"/>
            <w:vMerge/>
            <w:shd w:val="clear" w:color="000000" w:fill="auto"/>
          </w:tcPr>
          <w:p w14:paraId="182D8508"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2555446C"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Magyarországon a hátrányos helyzetű csoportok (pl. megváltozott munkaképességűek, fogvatartottak) integrációjának erősítése növeli a rendelkezésre álló munkaerőt, miközben csökkenti a költségeket és javítja a társadalmi megítélést.</w:t>
            </w:r>
          </w:p>
        </w:tc>
        <w:tc>
          <w:tcPr>
            <w:tcW w:w="1458" w:type="dxa"/>
            <w:shd w:val="clear" w:color="000000" w:fill="auto"/>
            <w:vAlign w:val="center"/>
          </w:tcPr>
          <w:p w14:paraId="532EA5C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Potenciális pozitív hatás</w:t>
            </w:r>
          </w:p>
          <w:p w14:paraId="3F9A5BC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1FC063C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Hosszú</w:t>
            </w:r>
          </w:p>
        </w:tc>
        <w:tc>
          <w:tcPr>
            <w:tcW w:w="1565" w:type="dxa"/>
            <w:shd w:val="clear" w:color="000000" w:fill="auto"/>
            <w:vAlign w:val="center"/>
          </w:tcPr>
          <w:p w14:paraId="32C155E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497DD66D" w14:textId="77777777" w:rsidTr="005A4858">
        <w:trPr>
          <w:jc w:val="center"/>
        </w:trPr>
        <w:tc>
          <w:tcPr>
            <w:tcW w:w="1894" w:type="dxa"/>
            <w:shd w:val="clear" w:color="000000" w:fill="auto"/>
          </w:tcPr>
          <w:p w14:paraId="1429ABB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lastRenderedPageBreak/>
              <w:t>S1: A munkahelyi erőszak és zaklatás elleni intézkedések</w:t>
            </w:r>
          </w:p>
          <w:p w14:paraId="1DAC7F11"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7D9379E0"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Érzékenyítő képzés, etikai képzés, visszaélést bejelentő rendszer működtetése.</w:t>
            </w:r>
            <w:r w:rsidRPr="00E45723">
              <w:rPr>
                <w:rFonts w:asciiTheme="minorHAnsi" w:hAnsiTheme="minorHAnsi" w:cs="Calibri"/>
                <w:sz w:val="20"/>
              </w:rPr>
              <w:tab/>
            </w:r>
          </w:p>
        </w:tc>
        <w:tc>
          <w:tcPr>
            <w:tcW w:w="1458" w:type="dxa"/>
            <w:shd w:val="clear" w:color="000000" w:fill="auto"/>
            <w:vAlign w:val="center"/>
          </w:tcPr>
          <w:p w14:paraId="1DB78A40"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253F871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112EBFB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7CFCDA35" w14:textId="77777777" w:rsidTr="005A4858">
        <w:trPr>
          <w:jc w:val="center"/>
        </w:trPr>
        <w:tc>
          <w:tcPr>
            <w:tcW w:w="1894" w:type="dxa"/>
            <w:shd w:val="clear" w:color="000000" w:fill="auto"/>
          </w:tcPr>
          <w:p w14:paraId="7B97F29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Sokszínűség</w:t>
            </w:r>
          </w:p>
        </w:tc>
        <w:tc>
          <w:tcPr>
            <w:tcW w:w="2849" w:type="dxa"/>
            <w:shd w:val="clear" w:color="000000" w:fill="auto"/>
          </w:tcPr>
          <w:p w14:paraId="0F430A70"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sokszínű és befogadó munkahely erősíti az innovációt és a problémamegoldást, miközben támogatja a stabil munkaerő-ellátást és a hosszú távú versenyképességet.</w:t>
            </w:r>
          </w:p>
        </w:tc>
        <w:tc>
          <w:tcPr>
            <w:tcW w:w="1458" w:type="dxa"/>
            <w:shd w:val="clear" w:color="000000" w:fill="auto"/>
            <w:vAlign w:val="center"/>
          </w:tcPr>
          <w:p w14:paraId="19F4345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4888DCA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4585AD7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p>
        </w:tc>
        <w:tc>
          <w:tcPr>
            <w:tcW w:w="1565" w:type="dxa"/>
            <w:shd w:val="clear" w:color="000000" w:fill="auto"/>
            <w:vAlign w:val="center"/>
          </w:tcPr>
          <w:p w14:paraId="345D5E7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0BADECD6" w14:textId="77777777" w:rsidTr="005A4858">
        <w:trPr>
          <w:jc w:val="center"/>
        </w:trPr>
        <w:tc>
          <w:tcPr>
            <w:tcW w:w="1894" w:type="dxa"/>
            <w:shd w:val="clear" w:color="000000" w:fill="auto"/>
          </w:tcPr>
          <w:p w14:paraId="0B4C163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S1: Megfelelő lakhatás</w:t>
            </w:r>
          </w:p>
        </w:tc>
        <w:tc>
          <w:tcPr>
            <w:tcW w:w="2849" w:type="dxa"/>
            <w:shd w:val="clear" w:color="000000" w:fill="auto"/>
          </w:tcPr>
          <w:p w14:paraId="00FC4838"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munkásszállások biztosítása javítja a munkavállalók életminőségét és stabilitását, ezáltal támogatja a munkaerő-megtartást és a működési stabilitást.</w:t>
            </w:r>
          </w:p>
        </w:tc>
        <w:tc>
          <w:tcPr>
            <w:tcW w:w="1458" w:type="dxa"/>
            <w:shd w:val="clear" w:color="000000" w:fill="auto"/>
            <w:vAlign w:val="center"/>
          </w:tcPr>
          <w:p w14:paraId="696B4DD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5495B4C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0E4517C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1BEC2930" w14:textId="77777777" w:rsidTr="005A4858">
        <w:trPr>
          <w:jc w:val="center"/>
        </w:trPr>
        <w:tc>
          <w:tcPr>
            <w:tcW w:w="1894" w:type="dxa"/>
            <w:shd w:val="clear" w:color="000000" w:fill="auto"/>
          </w:tcPr>
          <w:p w14:paraId="2A63826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S2: Biztos foglalkoztatás</w:t>
            </w:r>
          </w:p>
        </w:tc>
        <w:tc>
          <w:tcPr>
            <w:tcW w:w="2849" w:type="dxa"/>
            <w:shd w:val="clear" w:color="000000" w:fill="auto"/>
          </w:tcPr>
          <w:p w14:paraId="468F10F2"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alvállalkozók jogkövető működésének biztosítása védi a munkavállalói jogokat, miközben csökkenti a jogi és reputációs kockázatokat és erősíti a stabil üzleti kapcsolatokat.</w:t>
            </w:r>
          </w:p>
        </w:tc>
        <w:tc>
          <w:tcPr>
            <w:tcW w:w="1458" w:type="dxa"/>
            <w:shd w:val="clear" w:color="000000" w:fill="auto"/>
            <w:vAlign w:val="center"/>
          </w:tcPr>
          <w:p w14:paraId="7989F81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3CFF84F0"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319BCB5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40D3E45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Upstream</w:t>
            </w:r>
          </w:p>
        </w:tc>
      </w:tr>
      <w:tr w:rsidR="00BD159D" w:rsidRPr="00E45723" w14:paraId="73D5C907" w14:textId="77777777" w:rsidTr="005A4858">
        <w:trPr>
          <w:jc w:val="center"/>
        </w:trPr>
        <w:tc>
          <w:tcPr>
            <w:tcW w:w="1894" w:type="dxa"/>
            <w:shd w:val="clear" w:color="000000" w:fill="auto"/>
          </w:tcPr>
          <w:p w14:paraId="4DF4DDC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S2: Munkaidő</w:t>
            </w:r>
          </w:p>
        </w:tc>
        <w:tc>
          <w:tcPr>
            <w:tcW w:w="2849" w:type="dxa"/>
            <w:shd w:val="clear" w:color="000000" w:fill="auto"/>
          </w:tcPr>
          <w:p w14:paraId="45ECA569"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alvállalkozók magas túlóraterhelése egészségügyi és biztonsági kockázatokat hordoz, miközben növeli a jogi és reputációs kitettséget, valamint a potenciális költségeket.</w:t>
            </w:r>
          </w:p>
        </w:tc>
        <w:tc>
          <w:tcPr>
            <w:tcW w:w="1458" w:type="dxa"/>
            <w:shd w:val="clear" w:color="000000" w:fill="auto"/>
            <w:vAlign w:val="center"/>
          </w:tcPr>
          <w:p w14:paraId="229274A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679102E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kockázat</w:t>
            </w:r>
          </w:p>
        </w:tc>
        <w:tc>
          <w:tcPr>
            <w:tcW w:w="1158" w:type="dxa"/>
            <w:shd w:val="clear" w:color="000000" w:fill="auto"/>
            <w:vAlign w:val="center"/>
          </w:tcPr>
          <w:p w14:paraId="41293D8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6629FCD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Upstream</w:t>
            </w:r>
          </w:p>
        </w:tc>
      </w:tr>
      <w:tr w:rsidR="00BD159D" w:rsidRPr="00E45723" w14:paraId="68705151" w14:textId="77777777" w:rsidTr="005A4858">
        <w:trPr>
          <w:trHeight w:val="1220"/>
          <w:jc w:val="center"/>
        </w:trPr>
        <w:tc>
          <w:tcPr>
            <w:tcW w:w="1894" w:type="dxa"/>
            <w:vMerge w:val="restart"/>
            <w:shd w:val="clear" w:color="000000" w:fill="auto"/>
          </w:tcPr>
          <w:p w14:paraId="6B8DF439"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S2: Egészségvédelem és biztonság</w:t>
            </w:r>
          </w:p>
        </w:tc>
        <w:tc>
          <w:tcPr>
            <w:tcW w:w="2849" w:type="dxa"/>
            <w:shd w:val="clear" w:color="000000" w:fill="auto"/>
          </w:tcPr>
          <w:p w14:paraId="3FDF1117"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munkavállalók és az alvállalkozók munkabiztonsági képzése és ellenőrzése csökkenti a baleseti és jogi kockázatokat, miközben támogatja a biztonságosabb és költséghatékonyabb működést.</w:t>
            </w:r>
          </w:p>
        </w:tc>
        <w:tc>
          <w:tcPr>
            <w:tcW w:w="1458" w:type="dxa"/>
            <w:shd w:val="clear" w:color="000000" w:fill="auto"/>
            <w:vAlign w:val="center"/>
          </w:tcPr>
          <w:p w14:paraId="6B9F65D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5D13A63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55DBE75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7046D54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Upstream</w:t>
            </w:r>
          </w:p>
        </w:tc>
      </w:tr>
      <w:tr w:rsidR="00BD159D" w:rsidRPr="00E45723" w14:paraId="007F39E1" w14:textId="77777777" w:rsidTr="005A4858">
        <w:trPr>
          <w:trHeight w:val="1031"/>
          <w:jc w:val="center"/>
        </w:trPr>
        <w:tc>
          <w:tcPr>
            <w:tcW w:w="1894" w:type="dxa"/>
            <w:vMerge/>
            <w:shd w:val="clear" w:color="000000" w:fill="auto"/>
          </w:tcPr>
          <w:p w14:paraId="37EC7282"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04F1B627"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Az értékláncban dolgozók vegyszerekkel való érintkezése egészségügyi kockázatot jelent, ami növeli a felelősségi, egészségügyi és jogi költségeket, valamint a reputációs kitettséget.</w:t>
            </w:r>
          </w:p>
        </w:tc>
        <w:tc>
          <w:tcPr>
            <w:tcW w:w="1458" w:type="dxa"/>
            <w:shd w:val="clear" w:color="000000" w:fill="auto"/>
            <w:vAlign w:val="center"/>
          </w:tcPr>
          <w:p w14:paraId="47E5B03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negatív hatás</w:t>
            </w:r>
          </w:p>
          <w:p w14:paraId="51A6E53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kockázat</w:t>
            </w:r>
          </w:p>
        </w:tc>
        <w:tc>
          <w:tcPr>
            <w:tcW w:w="1158" w:type="dxa"/>
            <w:shd w:val="clear" w:color="000000" w:fill="auto"/>
            <w:vAlign w:val="center"/>
          </w:tcPr>
          <w:p w14:paraId="0AB4F6CE"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5B6D05A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Upstream</w:t>
            </w:r>
          </w:p>
        </w:tc>
      </w:tr>
      <w:tr w:rsidR="00BD159D" w:rsidRPr="00E45723" w14:paraId="6B583628" w14:textId="77777777" w:rsidTr="005A4858">
        <w:trPr>
          <w:jc w:val="center"/>
        </w:trPr>
        <w:tc>
          <w:tcPr>
            <w:tcW w:w="1894" w:type="dxa"/>
            <w:shd w:val="clear" w:color="000000" w:fill="auto"/>
          </w:tcPr>
          <w:p w14:paraId="2BDC2E87"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S2: Egyenlő bánásmód és esélyegyenlőség</w:t>
            </w:r>
          </w:p>
        </w:tc>
        <w:tc>
          <w:tcPr>
            <w:tcW w:w="2849" w:type="dxa"/>
            <w:shd w:val="clear" w:color="000000" w:fill="auto"/>
          </w:tcPr>
          <w:p w14:paraId="38F1B6F4"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hátrányos helyzetű munkavállalók foglalkoztatása erősíti a társadalmi szerepvállalást, miközben támogatások révén csökkentheti a költségeket és javítja a hosszú távú munkaerőellátást.</w:t>
            </w:r>
          </w:p>
        </w:tc>
        <w:tc>
          <w:tcPr>
            <w:tcW w:w="1458" w:type="dxa"/>
            <w:shd w:val="clear" w:color="000000" w:fill="auto"/>
            <w:vAlign w:val="center"/>
          </w:tcPr>
          <w:p w14:paraId="2C047FA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43A2E784"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5B987A5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r w:rsidRPr="00E45723">
              <w:rPr>
                <w:rFonts w:ascii="Arial" w:hAnsi="Arial" w:cs="Arial"/>
                <w:sz w:val="20"/>
              </w:rPr>
              <w:t>​</w:t>
            </w:r>
            <w:r w:rsidRPr="00E45723">
              <w:rPr>
                <w:rFonts w:asciiTheme="minorHAnsi" w:hAnsiTheme="minorHAnsi" w:cs="Calibri"/>
                <w:sz w:val="20"/>
              </w:rPr>
              <w:t>Hossz</w:t>
            </w:r>
            <w:r w:rsidRPr="00E45723">
              <w:rPr>
                <w:rFonts w:cs="Aptos"/>
                <w:sz w:val="20"/>
              </w:rPr>
              <w:t>ú</w:t>
            </w:r>
          </w:p>
        </w:tc>
        <w:tc>
          <w:tcPr>
            <w:tcW w:w="1565" w:type="dxa"/>
            <w:shd w:val="clear" w:color="000000" w:fill="auto"/>
            <w:vAlign w:val="center"/>
          </w:tcPr>
          <w:p w14:paraId="039AF93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Upstream</w:t>
            </w:r>
          </w:p>
        </w:tc>
      </w:tr>
      <w:tr w:rsidR="00BD159D" w:rsidRPr="00E45723" w14:paraId="47E34858" w14:textId="77777777" w:rsidTr="005A4858">
        <w:trPr>
          <w:jc w:val="center"/>
        </w:trPr>
        <w:tc>
          <w:tcPr>
            <w:tcW w:w="1894" w:type="dxa"/>
            <w:shd w:val="clear" w:color="000000" w:fill="auto"/>
          </w:tcPr>
          <w:p w14:paraId="322281B0"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lastRenderedPageBreak/>
              <w:t>S4: A (minőségi) információhoz való hozzáférés</w:t>
            </w:r>
          </w:p>
        </w:tc>
        <w:tc>
          <w:tcPr>
            <w:tcW w:w="2849" w:type="dxa"/>
            <w:shd w:val="clear" w:color="000000" w:fill="auto"/>
          </w:tcPr>
          <w:p w14:paraId="70D5F8CD"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transzparens működés (teljes körű dokumentáció, digitalizált panaszkezelés és ügyfélszolgálat) erősíti a bizalmat és az ügyfélkapcsolatokat, miközben csökkenti a reputációs és működési kockázatokat.</w:t>
            </w:r>
          </w:p>
        </w:tc>
        <w:tc>
          <w:tcPr>
            <w:tcW w:w="1458" w:type="dxa"/>
            <w:shd w:val="clear" w:color="000000" w:fill="auto"/>
            <w:vAlign w:val="center"/>
          </w:tcPr>
          <w:p w14:paraId="5BB6D5B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1030E60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Közepes</w:t>
            </w:r>
          </w:p>
        </w:tc>
        <w:tc>
          <w:tcPr>
            <w:tcW w:w="1565" w:type="dxa"/>
            <w:shd w:val="clear" w:color="000000" w:fill="auto"/>
            <w:vAlign w:val="center"/>
          </w:tcPr>
          <w:p w14:paraId="3EF4941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Downstream</w:t>
            </w:r>
          </w:p>
        </w:tc>
      </w:tr>
      <w:tr w:rsidR="00BD159D" w:rsidRPr="00E45723" w14:paraId="2536B466" w14:textId="77777777" w:rsidTr="005A4858">
        <w:trPr>
          <w:trHeight w:val="899"/>
          <w:jc w:val="center"/>
        </w:trPr>
        <w:tc>
          <w:tcPr>
            <w:tcW w:w="1894" w:type="dxa"/>
            <w:vMerge w:val="restart"/>
            <w:shd w:val="clear" w:color="000000" w:fill="auto"/>
          </w:tcPr>
          <w:p w14:paraId="755B4510"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S4: Egészségvédelem és biztonság</w:t>
            </w:r>
          </w:p>
        </w:tc>
        <w:tc>
          <w:tcPr>
            <w:tcW w:w="2849" w:type="dxa"/>
            <w:shd w:val="clear" w:color="000000" w:fill="auto"/>
          </w:tcPr>
          <w:p w14:paraId="497562A2"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közösségi terek higiéniájának biztosítása csökkenti a fertőzési kockázatokat, miközben mérsékli az egészségügyi és reputációs költségeket.</w:t>
            </w:r>
          </w:p>
        </w:tc>
        <w:tc>
          <w:tcPr>
            <w:tcW w:w="1458" w:type="dxa"/>
            <w:shd w:val="clear" w:color="000000" w:fill="auto"/>
            <w:vAlign w:val="center"/>
          </w:tcPr>
          <w:p w14:paraId="3755C96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711B509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3FF0E16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170490E1"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Downstream</w:t>
            </w:r>
          </w:p>
        </w:tc>
      </w:tr>
      <w:tr w:rsidR="00BD159D" w:rsidRPr="00E45723" w14:paraId="1D7AB290" w14:textId="77777777" w:rsidTr="005A4858">
        <w:trPr>
          <w:trHeight w:val="1220"/>
          <w:jc w:val="center"/>
        </w:trPr>
        <w:tc>
          <w:tcPr>
            <w:tcW w:w="1894" w:type="dxa"/>
            <w:vMerge/>
            <w:shd w:val="clear" w:color="000000" w:fill="auto"/>
          </w:tcPr>
          <w:p w14:paraId="3EB36A6C" w14:textId="77777777" w:rsidR="00BD159D" w:rsidRPr="00E45723" w:rsidRDefault="00BD159D" w:rsidP="00EA3B06">
            <w:pPr>
              <w:suppressAutoHyphens/>
              <w:spacing w:before="36" w:after="36"/>
              <w:jc w:val="left"/>
              <w:rPr>
                <w:rFonts w:asciiTheme="minorHAnsi" w:hAnsiTheme="minorHAnsi" w:cs="Calibri"/>
                <w:sz w:val="20"/>
              </w:rPr>
            </w:pPr>
          </w:p>
        </w:tc>
        <w:tc>
          <w:tcPr>
            <w:tcW w:w="2849" w:type="dxa"/>
            <w:shd w:val="clear" w:color="000000" w:fill="auto"/>
          </w:tcPr>
          <w:p w14:paraId="04068203"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standardizált takarítási eljárások és színkódok alkalmazása csökkenti a szennyeződések és fertőzések kockázatát, miközben támogatja a biztonságos és hatékony működést</w:t>
            </w:r>
          </w:p>
        </w:tc>
        <w:tc>
          <w:tcPr>
            <w:tcW w:w="1458" w:type="dxa"/>
            <w:shd w:val="clear" w:color="000000" w:fill="auto"/>
            <w:vAlign w:val="center"/>
          </w:tcPr>
          <w:p w14:paraId="08B6593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5689B905"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Rövid/</w:t>
            </w:r>
            <w:r w:rsidRPr="00E45723">
              <w:rPr>
                <w:rFonts w:ascii="Arial" w:hAnsi="Arial" w:cs="Arial"/>
                <w:sz w:val="20"/>
              </w:rPr>
              <w:t>​</w:t>
            </w:r>
            <w:r w:rsidRPr="00E45723">
              <w:rPr>
                <w:rFonts w:asciiTheme="minorHAnsi" w:hAnsiTheme="minorHAnsi" w:cs="Calibri"/>
                <w:sz w:val="20"/>
              </w:rPr>
              <w:t>K</w:t>
            </w:r>
            <w:r w:rsidRPr="00E45723">
              <w:rPr>
                <w:rFonts w:cs="Aptos"/>
                <w:sz w:val="20"/>
              </w:rPr>
              <w:t>ö</w:t>
            </w:r>
            <w:r w:rsidRPr="00E45723">
              <w:rPr>
                <w:rFonts w:asciiTheme="minorHAnsi" w:hAnsiTheme="minorHAnsi" w:cs="Calibri"/>
                <w:sz w:val="20"/>
              </w:rPr>
              <w:t>zepes</w:t>
            </w:r>
          </w:p>
        </w:tc>
        <w:tc>
          <w:tcPr>
            <w:tcW w:w="1565" w:type="dxa"/>
            <w:shd w:val="clear" w:color="000000" w:fill="auto"/>
            <w:vAlign w:val="center"/>
          </w:tcPr>
          <w:p w14:paraId="7C8BE26F"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Downstream</w:t>
            </w:r>
          </w:p>
        </w:tc>
      </w:tr>
      <w:tr w:rsidR="00BD159D" w:rsidRPr="00E45723" w14:paraId="7EB3F703" w14:textId="77777777" w:rsidTr="005A4858">
        <w:trPr>
          <w:jc w:val="center"/>
        </w:trPr>
        <w:tc>
          <w:tcPr>
            <w:tcW w:w="1894" w:type="dxa"/>
            <w:shd w:val="clear" w:color="000000" w:fill="auto"/>
          </w:tcPr>
          <w:p w14:paraId="07210A1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G1: Vállalati kultúra</w:t>
            </w:r>
          </w:p>
        </w:tc>
        <w:tc>
          <w:tcPr>
            <w:tcW w:w="2849" w:type="dxa"/>
            <w:shd w:val="clear" w:color="000000" w:fill="auto"/>
          </w:tcPr>
          <w:p w14:paraId="198BFA28"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transzparens működés és nyílt kommunikáció erősíti a munkavállalói bizalmat és elkötelezettséget, miközben csökkenti a fluktuációt és a kapcsolódó költségeket.</w:t>
            </w:r>
          </w:p>
        </w:tc>
        <w:tc>
          <w:tcPr>
            <w:tcW w:w="1458" w:type="dxa"/>
            <w:shd w:val="clear" w:color="000000" w:fill="auto"/>
            <w:vAlign w:val="center"/>
          </w:tcPr>
          <w:p w14:paraId="2A088B0D"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24CB463E"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25528E2B"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Hosszú</w:t>
            </w:r>
          </w:p>
        </w:tc>
        <w:tc>
          <w:tcPr>
            <w:tcW w:w="1565" w:type="dxa"/>
            <w:shd w:val="clear" w:color="000000" w:fill="auto"/>
            <w:vAlign w:val="center"/>
          </w:tcPr>
          <w:p w14:paraId="6B24D2B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1E7C4C87" w14:textId="77777777" w:rsidTr="005A4858">
        <w:trPr>
          <w:jc w:val="center"/>
        </w:trPr>
        <w:tc>
          <w:tcPr>
            <w:tcW w:w="1894" w:type="dxa"/>
            <w:shd w:val="clear" w:color="000000" w:fill="auto"/>
          </w:tcPr>
          <w:p w14:paraId="5918342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G1: A visszaélést bejelentő személyek védelme</w:t>
            </w:r>
          </w:p>
        </w:tc>
        <w:tc>
          <w:tcPr>
            <w:tcW w:w="2849" w:type="dxa"/>
            <w:shd w:val="clear" w:color="000000" w:fill="auto"/>
          </w:tcPr>
          <w:p w14:paraId="1094FAE9"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visszaélés-bejelentési rendszer erősíti az átláthatóságot és a jogszabályi megfelelést, miközben csökkenti a jogi és reputációs kockázatokat.</w:t>
            </w:r>
          </w:p>
        </w:tc>
        <w:tc>
          <w:tcPr>
            <w:tcW w:w="1458" w:type="dxa"/>
            <w:shd w:val="clear" w:color="000000" w:fill="auto"/>
            <w:vAlign w:val="center"/>
          </w:tcPr>
          <w:p w14:paraId="3E6A681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p w14:paraId="132894C6"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Pénzügyi lehetőség</w:t>
            </w:r>
          </w:p>
        </w:tc>
        <w:tc>
          <w:tcPr>
            <w:tcW w:w="1158" w:type="dxa"/>
            <w:shd w:val="clear" w:color="000000" w:fill="auto"/>
            <w:vAlign w:val="center"/>
          </w:tcPr>
          <w:p w14:paraId="16E035EA"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Hosszú</w:t>
            </w:r>
          </w:p>
        </w:tc>
        <w:tc>
          <w:tcPr>
            <w:tcW w:w="1565" w:type="dxa"/>
            <w:shd w:val="clear" w:color="000000" w:fill="auto"/>
            <w:vAlign w:val="center"/>
          </w:tcPr>
          <w:p w14:paraId="32811E83"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p>
        </w:tc>
      </w:tr>
      <w:tr w:rsidR="00BD159D" w:rsidRPr="00E45723" w14:paraId="57AA80E5" w14:textId="77777777" w:rsidTr="005A4858">
        <w:trPr>
          <w:jc w:val="center"/>
        </w:trPr>
        <w:tc>
          <w:tcPr>
            <w:tcW w:w="1894" w:type="dxa"/>
            <w:shd w:val="clear" w:color="000000" w:fill="auto"/>
          </w:tcPr>
          <w:p w14:paraId="21908EB8"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G1: Megelőzés és felderítés, beleértve a képzést is</w:t>
            </w:r>
          </w:p>
        </w:tc>
        <w:tc>
          <w:tcPr>
            <w:tcW w:w="2849" w:type="dxa"/>
            <w:shd w:val="clear" w:color="000000" w:fill="auto"/>
          </w:tcPr>
          <w:p w14:paraId="41BFDABF" w14:textId="77777777" w:rsidR="00BD159D" w:rsidRPr="00E45723" w:rsidRDefault="00FD7771" w:rsidP="00086AFB">
            <w:pPr>
              <w:suppressAutoHyphens/>
              <w:spacing w:before="36" w:after="36"/>
              <w:rPr>
                <w:rFonts w:asciiTheme="minorHAnsi" w:hAnsiTheme="minorHAnsi" w:cs="Calibri"/>
                <w:sz w:val="20"/>
              </w:rPr>
            </w:pPr>
            <w:r w:rsidRPr="00E45723">
              <w:rPr>
                <w:rFonts w:asciiTheme="minorHAnsi" w:hAnsiTheme="minorHAnsi" w:cs="Calibri"/>
                <w:sz w:val="20"/>
              </w:rPr>
              <w:t>A korrupcióellenes intézkedések és képzések erősítik az etikus és átlátható működést, miközben csökkentik a jogi és reputációs kockázatokat.</w:t>
            </w:r>
          </w:p>
        </w:tc>
        <w:tc>
          <w:tcPr>
            <w:tcW w:w="1458" w:type="dxa"/>
            <w:shd w:val="clear" w:color="000000" w:fill="auto"/>
            <w:vAlign w:val="center"/>
          </w:tcPr>
          <w:p w14:paraId="7837AA2C"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Valós pozitív hatás</w:t>
            </w:r>
          </w:p>
        </w:tc>
        <w:tc>
          <w:tcPr>
            <w:tcW w:w="1158" w:type="dxa"/>
            <w:shd w:val="clear" w:color="000000" w:fill="auto"/>
            <w:vAlign w:val="center"/>
          </w:tcPr>
          <w:p w14:paraId="0A88638E"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Hosszú</w:t>
            </w:r>
          </w:p>
        </w:tc>
        <w:tc>
          <w:tcPr>
            <w:tcW w:w="1565" w:type="dxa"/>
            <w:shd w:val="clear" w:color="000000" w:fill="auto"/>
            <w:vAlign w:val="center"/>
          </w:tcPr>
          <w:p w14:paraId="2D6004F2" w14:textId="77777777" w:rsidR="00BD159D" w:rsidRPr="00E45723" w:rsidRDefault="00FD7771" w:rsidP="00EA3B06">
            <w:pPr>
              <w:suppressAutoHyphens/>
              <w:spacing w:before="36" w:after="36"/>
              <w:jc w:val="left"/>
              <w:rPr>
                <w:rFonts w:asciiTheme="minorHAnsi" w:hAnsiTheme="minorHAnsi" w:cs="Calibri"/>
                <w:sz w:val="20"/>
              </w:rPr>
            </w:pPr>
            <w:r w:rsidRPr="00E45723">
              <w:rPr>
                <w:rFonts w:asciiTheme="minorHAnsi" w:hAnsiTheme="minorHAnsi" w:cs="Calibri"/>
                <w:sz w:val="20"/>
              </w:rPr>
              <w:t>Saját működés/</w:t>
            </w:r>
            <w:r w:rsidRPr="00E45723">
              <w:rPr>
                <w:rFonts w:ascii="Arial" w:hAnsi="Arial" w:cs="Arial"/>
                <w:sz w:val="20"/>
              </w:rPr>
              <w:t>​</w:t>
            </w:r>
            <w:r w:rsidRPr="00E45723">
              <w:rPr>
                <w:rFonts w:asciiTheme="minorHAnsi" w:hAnsiTheme="minorHAnsi" w:cs="Calibri"/>
                <w:sz w:val="20"/>
              </w:rPr>
              <w:t>Upstream</w:t>
            </w:r>
          </w:p>
        </w:tc>
      </w:tr>
    </w:tbl>
    <w:p w14:paraId="431FA7E2" w14:textId="77777777" w:rsidR="00BD159D" w:rsidRPr="00E45723" w:rsidRDefault="00BD159D">
      <w:pPr>
        <w:suppressAutoHyphens/>
        <w:rPr>
          <w:rFonts w:asciiTheme="minorHAnsi" w:hAnsiTheme="minorHAnsi" w:cs="Calibri"/>
        </w:rPr>
      </w:pPr>
    </w:p>
    <w:p w14:paraId="30786903" w14:textId="77777777" w:rsidR="00BD159D" w:rsidRPr="00E45723" w:rsidRDefault="00FD7771" w:rsidP="00EA3B06">
      <w:pPr>
        <w:pStyle w:val="Heading2"/>
        <w:suppressAutoHyphens/>
        <w:rPr>
          <w:rFonts w:asciiTheme="minorHAnsi" w:hAnsiTheme="minorHAnsi" w:cs="Calibri"/>
        </w:rPr>
      </w:pPr>
      <w:bookmarkStart w:id="28" w:name="_Toc239834915"/>
      <w:r w:rsidRPr="00E45723">
        <w:rPr>
          <w:rFonts w:asciiTheme="minorHAnsi" w:hAnsiTheme="minorHAnsi" w:cs="Calibri"/>
        </w:rPr>
        <w:t>IRO-1 A lényeges hatások, kockázatok és lehetőségek azonosítására és értékelésére szolgáló folyamatok leírása</w:t>
      </w:r>
      <w:bookmarkEnd w:id="28"/>
    </w:p>
    <w:p w14:paraId="16615EC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53 a), ESRS 2 bek. 53 b)] A LIWO Cégcsoport kettős lényegességi (DMA) értékelése strukturált, több szakaszból álló folyamat mentén valósult meg, amely a környezeti és társadalmi hatások, valamint a pénzügyi kockázatok és lehetőségek szisztematikus, összehasonlítható és dokumentált értékelését biztosítja. A folyamat a korábban, külső szakértő bevonásával készült IRO-azonosításra, érintetti térképezésre és értéklánc-elemzésre épült, amelyeket a Cégcsoport módszertanilag megalapozottnak értékelt, és a jelenlegi működéshez, szolgáltatási portfólióhoz, értéklánc-kapcsolatokhoz és szabályozási elvárásokhoz igazítva felülvizsgált, kiegészített és validált.</w:t>
      </w:r>
    </w:p>
    <w:p w14:paraId="307CAA3E"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lastRenderedPageBreak/>
        <w:t xml:space="preserve">I. Előkészítés és tervezés: </w:t>
      </w:r>
      <w:r w:rsidRPr="00E45723">
        <w:rPr>
          <w:rFonts w:asciiTheme="minorHAnsi" w:hAnsiTheme="minorHAnsi" w:cs="Calibri"/>
        </w:rPr>
        <w:t>A szakasz során meghatározásra kerültek az értékelés céljai, hatóköre (időtáv, tagvállalatok, földrajzi lefedettség, ESG-aspektusok), valamint a módszertani keretek. A Cégcsoport azonosította és rendszerezte a releváns érintetti csoportokat, a korábbi tanácsadó által készített érintetti térképezést változatlan formában felhasználva. Az érintettek (különösen munkavállalók, üzleti partnerek, ügyfelek, helyi közösségek) szempontjai így a korábbi feltárásra építve kerültek figyelembevételre. A folyamat irányítására több funkciót lefedő (fenntarthatóság, pénzügy, kockázatkezelés) projektcsapat került kialakításra.</w:t>
      </w:r>
    </w:p>
    <w:p w14:paraId="399BD2BB"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II. A kontextus megértése és értéklánc elemzés: </w:t>
      </w:r>
      <w:r w:rsidRPr="00E45723">
        <w:rPr>
          <w:rStyle w:val="Strong"/>
          <w:rFonts w:asciiTheme="minorHAnsi" w:hAnsiTheme="minorHAnsi" w:cs="Calibri"/>
          <w:b w:val="0"/>
          <w:bCs w:val="0"/>
        </w:rPr>
        <w:t>A Cégcsoport áttekintette működési környezetét, fő tevékenységeit, szolgáltatásait, földrajzi jelenlétét és üzleti kapcsolatait, beleértve az upstream és downstream értéklánc-szakaszokat. A részletes értéklánc-elemzés a korábbi szakértői anyagra épült, amelyet a jelenlegi működéshez igazítva megerősítettek. A szakasz során figyelembevételre kerültek a releváns szabályozási követelmények, iparági trendek és elvárások, valamint benchmark jellegű versenytárselemzés is készült. Az érintetti csoportok működésre gyakorolt hatásai és elvárásai értelmezésre kerültek, különös tekintettel a munkakörülményekre, környezeti hatásokra és szolgáltatási jellemzőkre.</w:t>
      </w:r>
    </w:p>
    <w:p w14:paraId="29F03158"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III. Lényeges témák azonosítása</w:t>
      </w:r>
      <w:r w:rsidRPr="00E45723">
        <w:rPr>
          <w:rFonts w:asciiTheme="minorHAnsi" w:hAnsiTheme="minorHAnsi" w:cs="Calibri"/>
        </w:rPr>
        <w:t>: Az IRO-azonosítás az ESRS 1 követelményeire és témastruktúrájára épülő, dokumentált, top-down megközelítésben történt. Kiindulási alapként a korábban összeállított IRO-lista szolgált, amelyet a Cégcsoport részletesen felülvizsgált, jelentős mértékben kibővített, szükség esetén összevont és a saját működéséhez igazított. Az IRO-k az ESRS témákhoz és altémákhoz kerültek hozzárendelésre az EFRAG által közzétett témalistával összhangban, biztosítva a teljes körű lefedettséget. Az azonosítást külső információforrások (iparági jelentések, szakirodalom, benchmark elemzések), valamint nemzetközi módszertani iránymutatások (EFRAG ESRS Implementation Guidance, GRI 3 – Material Topics) támogatták.</w:t>
      </w:r>
    </w:p>
    <w:p w14:paraId="7EA1B589" w14:textId="77777777" w:rsidR="00BD159D" w:rsidRPr="00E45723" w:rsidRDefault="00FD7771" w:rsidP="00EA3B06">
      <w:pPr>
        <w:pStyle w:val="BodyText"/>
        <w:suppressAutoHyphens/>
        <w:rPr>
          <w:rFonts w:asciiTheme="minorHAnsi" w:hAnsiTheme="minorHAnsi" w:cs="Calibri"/>
          <w:b/>
          <w:bCs/>
        </w:rPr>
      </w:pPr>
      <w:r w:rsidRPr="00E45723">
        <w:rPr>
          <w:rStyle w:val="Strong"/>
          <w:rFonts w:asciiTheme="minorHAnsi" w:hAnsiTheme="minorHAnsi" w:cs="Calibri"/>
        </w:rPr>
        <w:t xml:space="preserve">IV. lépés: Értékelés és meghatározás: </w:t>
      </w:r>
      <w:r w:rsidRPr="00E45723">
        <w:rPr>
          <w:rStyle w:val="Strong"/>
          <w:rFonts w:asciiTheme="minorHAnsi" w:hAnsiTheme="minorHAnsi" w:cs="Calibri"/>
          <w:b w:val="0"/>
          <w:bCs w:val="0"/>
        </w:rPr>
        <w:t>A hatáslényegesség értékelése a tényleges és potenciális hatások alapján történt, figyelembe véve azok súlyosságát (mérték, kiterjedtség, helyreállíthatóság) és – potenciális hatások esetén – bekövetkezési valószínűségét. A vizsgálat kiterjedt a vállalat működéséből, szolgáltatásaiból és teljes értékláncából eredő hatásokra, beleértve azokat a hatásokat is, amelyek közvetlenül kapcsolódnak az üzleti kapcsolatokhoz, még akkor is, ha nem közvetlen szerződéses viszonyból fakadnak. Az elemzés lefedte a környezeti (pl. kibocsátások, erőforrás-használat, hulladék) és társadalmi (pl. munkakörülmények, emberi jogok, közösségi hatások) dimenziókat.</w:t>
      </w:r>
    </w:p>
    <w:p w14:paraId="1CBE4E4B"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Hatás lényegességének értékelése</w:t>
      </w:r>
    </w:p>
    <w:p w14:paraId="4BCE6119"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folyamat ezután áttér a </w:t>
      </w:r>
      <w:r w:rsidRPr="00E45723">
        <w:rPr>
          <w:rFonts w:asciiTheme="minorHAnsi" w:hAnsiTheme="minorHAnsi" w:cs="Calibri"/>
          <w:b/>
          <w:bCs/>
        </w:rPr>
        <w:t>hatás lényegességének</w:t>
      </w:r>
      <w:r w:rsidRPr="00E45723">
        <w:rPr>
          <w:rFonts w:asciiTheme="minorHAnsi" w:hAnsiTheme="minorHAnsi" w:cs="Calibri"/>
        </w:rPr>
        <w:t xml:space="preserve"> értékelésére, amely azt vizsgálja, hogy a vállalat tevékenységei hogyan hatnak a környezeti és társadalmi tényezőkre. Ez magában foglalja a természeti erőforrásokra, az ökoszisztémákra, a közösségekre és a munkaügyi gyakorlatra gyakorolt hatások elemzését.</w:t>
      </w:r>
    </w:p>
    <w:p w14:paraId="476FCB5B"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fenntarthatósági kérdés akkor tekinthető jelentősnek, ha rövid, közép- vagy hosszú távon valós vagy potenciálisan jelentős hatással van az emberekre vagy a környezetre. </w:t>
      </w:r>
    </w:p>
    <w:p w14:paraId="26D942A5" w14:textId="77777777" w:rsidR="00BD159D" w:rsidRPr="00E45723" w:rsidRDefault="00FD7771">
      <w:pPr>
        <w:suppressAutoHyphens/>
        <w:rPr>
          <w:rFonts w:asciiTheme="minorHAnsi" w:hAnsiTheme="minorHAnsi" w:cs="Calibri"/>
        </w:rPr>
      </w:pPr>
      <w:r w:rsidRPr="00E45723">
        <w:rPr>
          <w:rFonts w:asciiTheme="minorHAnsi" w:hAnsiTheme="minorHAnsi" w:cs="Calibri"/>
        </w:rPr>
        <w:t>Ez magában foglalja a vállalat működéséből, termékeiből vagy szolgáltatásaiból származó hatásokat, valamint a teljes értékláncban, a termelési és forgalmazási láncban, a szerződéses kapcsolatokon túlmutatóan jelentkező hatásokat is.</w:t>
      </w:r>
    </w:p>
    <w:p w14:paraId="77DE6C96" w14:textId="77777777" w:rsidR="00BD159D" w:rsidRPr="00E45723" w:rsidRDefault="00FD7771">
      <w:pPr>
        <w:suppressAutoHyphens/>
        <w:rPr>
          <w:rFonts w:asciiTheme="minorHAnsi" w:hAnsiTheme="minorHAnsi" w:cs="Calibri"/>
        </w:rPr>
      </w:pPr>
      <w:r w:rsidRPr="00E45723">
        <w:rPr>
          <w:rFonts w:asciiTheme="minorHAnsi" w:hAnsiTheme="minorHAnsi" w:cs="Calibri"/>
        </w:rPr>
        <w:t>Egy hatás akkor „kapcsolódik közvetlenül” a vállalathoz, ha az értéklánc bármely szintű üzleti kapcsolatához kapcsolódik, és nem korlátozódik a közvetlen szerződésekre. Például még az olyan közvetett hatások is „közvetlenül kapcsolódhatnak”, mint az üvegházhatású gázok kibocsátása.</w:t>
      </w:r>
    </w:p>
    <w:p w14:paraId="2AF89C9F" w14:textId="287194CE" w:rsidR="00BD159D" w:rsidRPr="00E45723" w:rsidRDefault="00FD7771">
      <w:pPr>
        <w:suppressAutoHyphens/>
        <w:rPr>
          <w:rFonts w:asciiTheme="minorHAnsi" w:hAnsiTheme="minorHAnsi" w:cs="Calibri"/>
        </w:rPr>
      </w:pPr>
      <w:r w:rsidRPr="00E45723">
        <w:rPr>
          <w:rFonts w:asciiTheme="minorHAnsi" w:hAnsiTheme="minorHAnsi" w:cs="Calibri"/>
        </w:rPr>
        <w:lastRenderedPageBreak/>
        <w:t>A tényleges hatások lényegességét azok súlyossága, mértéke, kiterjedése és helyre</w:t>
      </w:r>
      <w:r w:rsidR="00B75E29" w:rsidRPr="00E45723">
        <w:rPr>
          <w:rFonts w:asciiTheme="minorHAnsi" w:hAnsiTheme="minorHAnsi" w:cs="Calibri"/>
        </w:rPr>
        <w:t>-</w:t>
      </w:r>
      <w:r w:rsidRPr="00E45723">
        <w:rPr>
          <w:rFonts w:asciiTheme="minorHAnsi" w:hAnsiTheme="minorHAnsi" w:cs="Calibri"/>
        </w:rPr>
        <w:t xml:space="preserve">állíthatóságának mértéke alapján értékelik. </w:t>
      </w:r>
    </w:p>
    <w:p w14:paraId="1E9D496B" w14:textId="77777777" w:rsidR="00BD159D" w:rsidRPr="00E45723" w:rsidRDefault="00FD7771">
      <w:pPr>
        <w:suppressAutoHyphens/>
        <w:rPr>
          <w:rFonts w:asciiTheme="minorHAnsi" w:hAnsiTheme="minorHAnsi" w:cs="Calibri"/>
        </w:rPr>
      </w:pPr>
      <w:r w:rsidRPr="00E45723">
        <w:rPr>
          <w:rFonts w:asciiTheme="minorHAnsi" w:hAnsiTheme="minorHAnsi" w:cs="Calibri"/>
        </w:rPr>
        <w:t>A potenciális negatív hatások jelentőségét azok súlyossága és bekövetkezésének valószínűsége határozza meg.</w:t>
      </w:r>
    </w:p>
    <w:p w14:paraId="1316568E" w14:textId="286670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b/>
          <w:bCs/>
        </w:rPr>
        <w:t>Környezeti hatás</w:t>
      </w:r>
      <w:r w:rsidRPr="00E45723">
        <w:rPr>
          <w:rFonts w:asciiTheme="minorHAnsi" w:hAnsiTheme="minorHAnsi" w:cs="Calibri"/>
        </w:rPr>
        <w:t>: vállalat természeti erőforrásokra, ökoszisztémákra és az éghajlat</w:t>
      </w:r>
      <w:r w:rsidR="00B75E29" w:rsidRPr="00E45723">
        <w:rPr>
          <w:rFonts w:asciiTheme="minorHAnsi" w:hAnsiTheme="minorHAnsi" w:cs="Calibri"/>
        </w:rPr>
        <w:t>-</w:t>
      </w:r>
      <w:r w:rsidRPr="00E45723">
        <w:rPr>
          <w:rFonts w:asciiTheme="minorHAnsi" w:hAnsiTheme="minorHAnsi" w:cs="Calibri"/>
        </w:rPr>
        <w:t>változásra gyakorolt hatásának elemzése. Az olyan szempontokat, mint a szén-dioxid-kibocsátás, a vízhasználat és a hulladékgazdálkodás vesz figyelembe.</w:t>
      </w:r>
    </w:p>
    <w:p w14:paraId="5B034067"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b/>
          <w:bCs/>
        </w:rPr>
        <w:t>Társadalmi hatás</w:t>
      </w:r>
      <w:r w:rsidRPr="00E45723">
        <w:rPr>
          <w:rFonts w:asciiTheme="minorHAnsi" w:hAnsiTheme="minorHAnsi" w:cs="Calibri"/>
        </w:rPr>
        <w:t>: a vállalat közösségekre gyakorolt hatását, a munkaügyi gyakorlatot, az emberi jogokat és a társadalmi jólétet értékeli. Ez magában foglalja az olyan tényezők értékelését, mint az alkalmazottak munkakörülményei, a közösségi szerepvállalás és az ellátási lánc gyakorlatai.</w:t>
      </w:r>
    </w:p>
    <w:p w14:paraId="26CA9FD0" w14:textId="77777777" w:rsidR="00BD159D" w:rsidRPr="00E45723" w:rsidRDefault="00FD7771">
      <w:pPr>
        <w:suppressAutoHyphens/>
        <w:rPr>
          <w:rFonts w:asciiTheme="minorHAnsi" w:hAnsiTheme="minorHAnsi" w:cs="Calibri"/>
        </w:rPr>
      </w:pPr>
      <w:r w:rsidRPr="00E45723">
        <w:rPr>
          <w:rFonts w:asciiTheme="minorHAnsi" w:hAnsiTheme="minorHAnsi" w:cs="Calibri"/>
        </w:rPr>
        <w:t>Az egyes hatások pontozásánál és értékelésénél fontos kivételt képeznek az emberi jogi hatások, melyeknél már a súlyosság önmagában elegendő a hatás lényegessé minősítéséhez, függetlenül a bekövetkezés valószínűségétől. Ez az ESRS előírásaival összhangban biztosítja, hogy a vállalat ne hagyjon figyelmen kívül olyan emberi jogi kockázatokat, amelyek ritkán fordulnak elő, de bekövetkezésük esetén rendkívül súlyos következményekkel járhatnak. A LIWO Cégcsoport jelen kettős lényegességi elemzési folyamatában nem került sor olyan azonosított ember jogi hatásra, amely kizárólag a súlyosság alapján, a valószínűségtől függetlenül került volna lényegesnek minősítésre.</w:t>
      </w:r>
    </w:p>
    <w:p w14:paraId="6D7DC6EB"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Pénzügyi lényegesség értékelése </w:t>
      </w:r>
    </w:p>
    <w:p w14:paraId="0D4525A7"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Ezt követően a </w:t>
      </w:r>
      <w:r w:rsidRPr="00E45723">
        <w:rPr>
          <w:rFonts w:asciiTheme="minorHAnsi" w:hAnsiTheme="minorHAnsi" w:cs="Calibri"/>
          <w:b/>
          <w:bCs/>
        </w:rPr>
        <w:t>pénzügyi lényegesség</w:t>
      </w:r>
      <w:r w:rsidRPr="00E45723">
        <w:rPr>
          <w:rFonts w:asciiTheme="minorHAnsi" w:hAnsiTheme="minorHAnsi" w:cs="Calibri"/>
        </w:rPr>
        <w:t xml:space="preserve"> értékelésére került sor, amely azon fenntarthatósági eredetű kockázatok és lehetőségek azonosítására irányult, amelyek rövid, közép vagy hosszú távon érdemben befolyásolhatják a vállalat pénzügyi teljesítményét, pénzáramlását vagy értékét. Az értékelés figyelembe vette a múltbeli és várható eseményekből eredő hatásokat, valamint a gazdasági, természeti és társadalmi erőforrásoktól való függőségekből fakadó kitettségeket.</w:t>
      </w:r>
    </w:p>
    <w:p w14:paraId="30C229F2" w14:textId="77777777" w:rsidR="00BD159D" w:rsidRPr="00E45723" w:rsidRDefault="00FD7771">
      <w:pPr>
        <w:rPr>
          <w:rFonts w:asciiTheme="minorHAnsi" w:hAnsiTheme="minorHAnsi" w:cs="Calibri"/>
        </w:rPr>
      </w:pPr>
      <w:r w:rsidRPr="00E45723">
        <w:rPr>
          <w:rFonts w:asciiTheme="minorHAnsi" w:hAnsiTheme="minorHAnsi" w:cs="Calibri"/>
        </w:rPr>
        <w:t>Az elemzés során a pénzügyi hatások kiváltó tényezői között szerepeltek az erőforrások rendelkezésre állásával, minőségével és árazásával, továbbá az üzleti kapcsolatok stabilitásával összefüggő tényezők. A pénzügyi kockázatok és lehetőségek vizsgálata kiterjedt a bevételi, költség- és működési hatásokra, valamint a szabályozási és piaci változásokból eredő kitettségekre. Az azonosított pénzügyi hatásokat nagyságrend és bekövetkezési valószínűség alapján értékelték, és az eredményeket a kockázatkezelési és jelentéstételi megfontolásokkal összhangban vették figyelembe.</w:t>
      </w:r>
    </w:p>
    <w:p w14:paraId="23CFFE2F" w14:textId="77777777" w:rsidR="00BD159D" w:rsidRPr="00E45723" w:rsidRDefault="00FD7771">
      <w:pPr>
        <w:suppressAutoHyphens/>
        <w:rPr>
          <w:rFonts w:asciiTheme="minorHAnsi" w:hAnsiTheme="minorHAnsi" w:cs="Calibri"/>
        </w:rPr>
      </w:pPr>
      <w:r w:rsidRPr="00E45723">
        <w:rPr>
          <w:rFonts w:asciiTheme="minorHAnsi" w:hAnsiTheme="minorHAnsi" w:cs="Calibri"/>
        </w:rPr>
        <w:t>A hatás- és pénzügyi lényegességi értékelések eredményeinek konszolidálása alapján került meghatározásra a lényeges hatások, kockázatok és lehetőségek végleges köre. Az értékelés során objektív, mérhető küszöbértékek és pontozási szempontok kerültek alkalmazásra az összehasonlíthatóság és az értékelési következetesség biztosítása érdekében. A pénzügyi kitettségek és hatások megítélését az érintetti és szakértői visszajelzések is támogatták, ahol ez releváns volt.</w:t>
      </w:r>
    </w:p>
    <w:p w14:paraId="7D571FAC" w14:textId="77777777" w:rsidR="00BD159D" w:rsidRPr="00E45723" w:rsidRDefault="00FD7771">
      <w:pPr>
        <w:suppressAutoHyphens/>
        <w:rPr>
          <w:rFonts w:asciiTheme="minorHAnsi" w:hAnsiTheme="minorHAnsi" w:cs="Calibri"/>
        </w:rPr>
      </w:pPr>
      <w:r w:rsidRPr="00E45723">
        <w:rPr>
          <w:rFonts w:asciiTheme="minorHAnsi" w:hAnsiTheme="minorHAnsi" w:cs="Calibri"/>
        </w:rPr>
        <w:t>A fenti lépések egységes módszertani keretben történő végrehajtása biztosította, hogy a kettős lényegességi értékelés a környezeti és társadalmi hatások, valamint a pénzügyi kockázatok és lehetőségek szisztematikus, összehasonlítható és dokumentált értékelésén alapuljon.</w:t>
      </w:r>
    </w:p>
    <w:p w14:paraId="1266F815"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Eredmények konszolidálása</w:t>
      </w:r>
      <w:r w:rsidRPr="00E45723">
        <w:rPr>
          <w:rFonts w:asciiTheme="minorHAnsi" w:hAnsiTheme="minorHAnsi" w:cs="Calibri"/>
        </w:rPr>
        <w:t> </w:t>
      </w:r>
    </w:p>
    <w:p w14:paraId="1347F50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lépés végén a Társaság a hatás- és pénzügyi lényegességi értékelés eredményeit összeveti és konszolidálja, és ezek alapján véglegesíti a lényeges hatások, kockázatok és lehetőségek listáját. </w:t>
      </w:r>
      <w:r w:rsidRPr="00E45723">
        <w:rPr>
          <w:rFonts w:asciiTheme="minorHAnsi" w:hAnsiTheme="minorHAnsi" w:cs="Calibri"/>
        </w:rPr>
        <w:lastRenderedPageBreak/>
        <w:t>A folyamat során javasolt objektív, mérhető küszöbértékek alkalmazása, amelyek támogatják az értékelés átláthatóságát és auditálhatóságát. Indokolt lehet továbbá célzott konzultációk lefolytatása (pl. befektetőkkel, pénzügyi partnerekkel), különösen a pénzügyi lényegesség megalapozása érdekében. A módszertan gyakorlati végrehajtásához részletesebb útmutatást az EFRAG IG1 dokumentum nyújt.</w:t>
      </w:r>
    </w:p>
    <w:p w14:paraId="4A8EE3C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Összességében a fenti lépések szisztematikus végrehajtásával a Társaság megalapozott kettős lényegességértékelést végezhet, amely támogatja a döntéshozatalt, növeli az átláthatóságot, és elősegíti a vállalati működés fenntarthatósági célokkal való összehangolását.</w:t>
      </w:r>
    </w:p>
    <w:p w14:paraId="66C44C6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53 b) i.] A LIWO Group a hatások, kockázatok és lehetőségek (IRO-k) azonosítása során elsősorban azokra a tevékenységekre, üzleti kapcsolatokra és működési környezetekre összpontosít, ahol a fenntarthatósági kockázatok (működési, társadalmi, munkavédelmi, etikai vagy értéklánc-kockázatok) nagyobb valószínűséggel vagy súlyossággal jelentkezhetnek. A fókuszterületek a LIWO szolgáltatásprofiljára és értéklánc-szerkezetére épülnek. A fókuszterületek kijelölése kockázatalapú megközelítéssel történik: előnyt élveznek azok a tevékenységek és üzleti kapcsolatok, ahol (i) a potenciális káros hatás súlyossága magas (pl. egészségügyi vagy munkavédelmi kockázat), (ii) a kitettség nagyléptékű (sok helyszín, nagy létszám, több műszak), (iii) a szabályozási és reputációs következmények jelentősek (pl. egészségügyi és közintézményi környezet), illetve (iv) az értéklánc-függés (alvállalkozók/beszállítók) miatt a kontrollkockázat magasabb. A környezeti fókuszoknál a folyamat kiemelten kezeli a klímaváltozás, a szennyezés és a körforgásos gazdaság témaköreit, valamint az ezekhez szükséges adatgyűjtési és módszertani fejlesztéseket (Scope 1–2 adatgyűjtés finomítása, Scope 3 ütemezett bevezetése).</w:t>
      </w:r>
    </w:p>
    <w:p w14:paraId="13B353AD" w14:textId="77777777" w:rsidR="00BD159D" w:rsidRPr="00E45723" w:rsidRDefault="00FD7771" w:rsidP="00EA3B06">
      <w:pPr>
        <w:pStyle w:val="BodyText"/>
        <w:suppressAutoHyphens/>
        <w:rPr>
          <w:rStyle w:val="Strong"/>
          <w:rFonts w:asciiTheme="minorHAnsi" w:hAnsiTheme="minorHAnsi" w:cs="Calibri"/>
          <w:b w:val="0"/>
          <w:i/>
        </w:rPr>
      </w:pPr>
      <w:r w:rsidRPr="00E45723">
        <w:rPr>
          <w:rStyle w:val="Strong"/>
          <w:rFonts w:asciiTheme="minorHAnsi" w:hAnsiTheme="minorHAnsi" w:cs="Calibri"/>
          <w:b w:val="0"/>
          <w:i/>
        </w:rPr>
        <w:t>I. Nagy volumenű takarítási és higiéniai tevékenységek – magas működési kitettség</w:t>
      </w:r>
    </w:p>
    <w:p w14:paraId="619DC1ED" w14:textId="7CF53F99"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folyamat kiemelt figyelmet fordít azokra a szolgáltatási környezetekre, ahol a nagy létszámú, több műszakos operáció, a speciális higiéniai előírások és a folyamatos rendelkezésre állási követelmények miatt:</w:t>
      </w:r>
    </w:p>
    <w:p w14:paraId="7C259622" w14:textId="77777777" w:rsidR="00BD159D" w:rsidRPr="00E45723" w:rsidRDefault="00FD7771" w:rsidP="00B75E29">
      <w:pPr>
        <w:pStyle w:val="BodyText"/>
        <w:numPr>
          <w:ilvl w:val="0"/>
          <w:numId w:val="14"/>
        </w:numPr>
        <w:suppressAutoHyphens/>
        <w:rPr>
          <w:rFonts w:asciiTheme="minorHAnsi" w:hAnsiTheme="minorHAnsi" w:cs="Calibri"/>
        </w:rPr>
      </w:pPr>
      <w:r w:rsidRPr="00E45723">
        <w:rPr>
          <w:rFonts w:asciiTheme="minorHAnsi" w:hAnsiTheme="minorHAnsi" w:cs="Calibri"/>
        </w:rPr>
        <w:t>magasabb a munkahelyi balesetek és egészség-biztonsági kockázatok valószínűsége,</w:t>
      </w:r>
    </w:p>
    <w:p w14:paraId="48FD8BEA" w14:textId="77777777" w:rsidR="00BD159D" w:rsidRPr="00E45723" w:rsidRDefault="00FD7771" w:rsidP="00B75E29">
      <w:pPr>
        <w:pStyle w:val="BodyText"/>
        <w:numPr>
          <w:ilvl w:val="0"/>
          <w:numId w:val="14"/>
        </w:numPr>
        <w:suppressAutoHyphens/>
        <w:rPr>
          <w:rFonts w:asciiTheme="minorHAnsi" w:hAnsiTheme="minorHAnsi" w:cs="Calibri"/>
        </w:rPr>
      </w:pPr>
      <w:r w:rsidRPr="00E45723">
        <w:rPr>
          <w:rFonts w:asciiTheme="minorHAnsi" w:hAnsiTheme="minorHAnsi" w:cs="Calibri"/>
        </w:rPr>
        <w:t>kritikus a szolgáltatásminőség és a higiéniai megfelelés fenntartása (különösen egészségügyi intézményekben),</w:t>
      </w:r>
    </w:p>
    <w:p w14:paraId="41ED69B2" w14:textId="77777777" w:rsidR="00BD159D" w:rsidRPr="00E45723" w:rsidRDefault="00FD7771" w:rsidP="00B75E29">
      <w:pPr>
        <w:pStyle w:val="BodyText"/>
        <w:numPr>
          <w:ilvl w:val="0"/>
          <w:numId w:val="14"/>
        </w:numPr>
        <w:suppressAutoHyphens/>
        <w:rPr>
          <w:rFonts w:asciiTheme="minorHAnsi" w:hAnsiTheme="minorHAnsi" w:cs="Calibri"/>
        </w:rPr>
      </w:pPr>
      <w:r w:rsidRPr="00E45723">
        <w:rPr>
          <w:rFonts w:asciiTheme="minorHAnsi" w:hAnsiTheme="minorHAnsi" w:cs="Calibri"/>
        </w:rPr>
        <w:t>erőteljesebb az erőforrás-használat és a vegyszer-, víz- és hulladékhatás kitettsége.</w:t>
      </w:r>
    </w:p>
    <w:p w14:paraId="4BFCBBC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kitettség növekedését jellemzően a vegyszerhasználat intenzitása, a műszakos/éjszakai munkavégzés, a gyors fluktuáció és a sokszereplős (partner/alvállalkozó) teljesítés erősíti. Ezért a fókusz kiterjed az erőforrás- és anyagfelhasználás csökkentésére irányuló intézkedésekre is (pl. vegyszer- és hulladékcsökkentés, fenntarthatóbb termékhasználat), amelyek egyszerre mérséklik a környezeti és a munkavállalói egészségvédelmi kitettséget.</w:t>
      </w:r>
    </w:p>
    <w:p w14:paraId="39BC0979"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b w:val="0"/>
          <w:i/>
        </w:rPr>
        <w:t>II. Egészségügyi takarítás és fertőtlenítés – speciális kockázati környezet</w:t>
      </w:r>
    </w:p>
    <w:p w14:paraId="7DC4346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kórházi és klinikai környezetben végzett tevékenységek a lényegességi értékelés egyik legnagyobb súlyú elemei:</w:t>
      </w:r>
    </w:p>
    <w:p w14:paraId="6B1C591E" w14:textId="77777777" w:rsidR="00BD159D" w:rsidRPr="00E45723" w:rsidRDefault="00FD7771" w:rsidP="00B75E29">
      <w:pPr>
        <w:pStyle w:val="BodyText"/>
        <w:numPr>
          <w:ilvl w:val="0"/>
          <w:numId w:val="15"/>
        </w:numPr>
        <w:suppressAutoHyphens/>
        <w:rPr>
          <w:rFonts w:asciiTheme="minorHAnsi" w:hAnsiTheme="minorHAnsi" w:cs="Calibri"/>
        </w:rPr>
      </w:pPr>
      <w:r w:rsidRPr="00E45723">
        <w:rPr>
          <w:rFonts w:asciiTheme="minorHAnsi" w:hAnsiTheme="minorHAnsi" w:cs="Calibri"/>
        </w:rPr>
        <w:t>szigorú szakmai és fertőtlenítési protokollok,</w:t>
      </w:r>
    </w:p>
    <w:p w14:paraId="3993C929" w14:textId="77777777" w:rsidR="00BD159D" w:rsidRPr="00E45723" w:rsidRDefault="00FD7771" w:rsidP="00B75E29">
      <w:pPr>
        <w:pStyle w:val="BodyText"/>
        <w:numPr>
          <w:ilvl w:val="0"/>
          <w:numId w:val="15"/>
        </w:numPr>
        <w:suppressAutoHyphens/>
        <w:rPr>
          <w:rFonts w:asciiTheme="minorHAnsi" w:hAnsiTheme="minorHAnsi" w:cs="Calibri"/>
        </w:rPr>
      </w:pPr>
      <w:r w:rsidRPr="00E45723">
        <w:rPr>
          <w:rFonts w:asciiTheme="minorHAnsi" w:hAnsiTheme="minorHAnsi" w:cs="Calibri"/>
        </w:rPr>
        <w:t>biológiai kitettség és magas betegbiztonsági elvárások,</w:t>
      </w:r>
    </w:p>
    <w:p w14:paraId="75990E12" w14:textId="77777777" w:rsidR="00BD159D" w:rsidRPr="00E45723" w:rsidRDefault="00FD7771" w:rsidP="00B75E29">
      <w:pPr>
        <w:pStyle w:val="BodyText"/>
        <w:numPr>
          <w:ilvl w:val="0"/>
          <w:numId w:val="15"/>
        </w:numPr>
        <w:suppressAutoHyphens/>
        <w:rPr>
          <w:rFonts w:asciiTheme="minorHAnsi" w:hAnsiTheme="minorHAnsi" w:cs="Calibri"/>
        </w:rPr>
      </w:pPr>
      <w:r w:rsidRPr="00E45723">
        <w:rPr>
          <w:rFonts w:asciiTheme="minorHAnsi" w:hAnsiTheme="minorHAnsi" w:cs="Calibri"/>
        </w:rPr>
        <w:t>minőségbiztosítási incidensek súlyos következményei (etikai, jogi, reputációs).</w:t>
      </w:r>
    </w:p>
    <w:p w14:paraId="0BBDC32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folyamat ebben a környezetben azért alkalmaz megerősített fókuszt, mert az incidensek következményei (betegbiztonsági, jogi és reputációs) aránytalanul magasak lehetnek, és a kockázat </w:t>
      </w:r>
      <w:r w:rsidRPr="00E45723">
        <w:rPr>
          <w:rFonts w:asciiTheme="minorHAnsi" w:hAnsiTheme="minorHAnsi" w:cs="Calibri"/>
        </w:rPr>
        <w:lastRenderedPageBreak/>
        <w:t>sokszor nem egyetlen eseményből, hanem protokoll-sértések vagy képzési hiányosságok láncolatából áll össze. Ezért a DMA ezeknél a tevékenységeknél külön, megerősített kockázati elemzést alkalmaz.</w:t>
      </w:r>
    </w:p>
    <w:p w14:paraId="09F35C66"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b w:val="0"/>
          <w:i/>
        </w:rPr>
        <w:t>III. Létesítményüzemeltetési (FM) tevékenységek – műszaki és munkavédelmi kitettségek</w:t>
      </w:r>
    </w:p>
    <w:p w14:paraId="582C6A41" w14:textId="77777777" w:rsidR="00BD159D" w:rsidRPr="00E45723" w:rsidRDefault="00FD7771" w:rsidP="00EA3B06">
      <w:pPr>
        <w:pStyle w:val="BodyText"/>
        <w:suppressAutoHyphens/>
        <w:rPr>
          <w:rFonts w:asciiTheme="minorHAnsi" w:hAnsiTheme="minorHAnsi" w:cs="Calibri"/>
          <w:bCs/>
          <w:i/>
        </w:rPr>
      </w:pPr>
      <w:r w:rsidRPr="00E45723">
        <w:rPr>
          <w:rFonts w:asciiTheme="minorHAnsi" w:hAnsiTheme="minorHAnsi" w:cs="Calibri"/>
        </w:rPr>
        <w:t>A műszaki üzemeltetés során a kockázatértékelés fókuszába kerülnek:</w:t>
      </w:r>
    </w:p>
    <w:p w14:paraId="3AF5181B" w14:textId="77777777" w:rsidR="00BD159D" w:rsidRPr="00E45723" w:rsidRDefault="00FD7771" w:rsidP="00B75E29">
      <w:pPr>
        <w:pStyle w:val="BodyText"/>
        <w:numPr>
          <w:ilvl w:val="0"/>
          <w:numId w:val="16"/>
        </w:numPr>
        <w:suppressAutoHyphens/>
        <w:rPr>
          <w:rFonts w:asciiTheme="minorHAnsi" w:hAnsiTheme="minorHAnsi" w:cs="Calibri"/>
        </w:rPr>
      </w:pPr>
      <w:r w:rsidRPr="00E45723">
        <w:rPr>
          <w:rFonts w:asciiTheme="minorHAnsi" w:hAnsiTheme="minorHAnsi" w:cs="Calibri"/>
        </w:rPr>
        <w:t>elektromos rendszerek üzemeltetésével kapcsolatos biztonsági kockázatok,</w:t>
      </w:r>
    </w:p>
    <w:p w14:paraId="67AA8B23" w14:textId="0335DAAC" w:rsidR="00BD159D" w:rsidRPr="00E45723" w:rsidRDefault="00FD7771" w:rsidP="00B75E29">
      <w:pPr>
        <w:pStyle w:val="BodyText"/>
        <w:numPr>
          <w:ilvl w:val="0"/>
          <w:numId w:val="16"/>
        </w:numPr>
        <w:suppressAutoHyphens/>
        <w:rPr>
          <w:rFonts w:asciiTheme="minorHAnsi" w:hAnsiTheme="minorHAnsi" w:cs="Calibri"/>
        </w:rPr>
      </w:pPr>
      <w:r w:rsidRPr="00E45723">
        <w:rPr>
          <w:rFonts w:asciiTheme="minorHAnsi" w:hAnsiTheme="minorHAnsi" w:cs="Calibri"/>
        </w:rPr>
        <w:t>gépészeti és épületüzemeltetési rendszerekből adódó műszaki meghibásodási és szolgáltatáskimaradási kockázatok,</w:t>
      </w:r>
    </w:p>
    <w:p w14:paraId="14A8BAEC" w14:textId="77777777" w:rsidR="00BD159D" w:rsidRPr="00E45723" w:rsidRDefault="00FD7771" w:rsidP="00B75E29">
      <w:pPr>
        <w:pStyle w:val="BodyText"/>
        <w:numPr>
          <w:ilvl w:val="0"/>
          <w:numId w:val="16"/>
        </w:numPr>
        <w:suppressAutoHyphens/>
        <w:rPr>
          <w:rFonts w:asciiTheme="minorHAnsi" w:hAnsiTheme="minorHAnsi" w:cs="Calibri"/>
        </w:rPr>
      </w:pPr>
      <w:r w:rsidRPr="00E45723">
        <w:rPr>
          <w:rFonts w:asciiTheme="minorHAnsi" w:hAnsiTheme="minorHAnsi" w:cs="Calibri"/>
        </w:rPr>
        <w:t>magasban végzett munkák, zárt terek, veszélyes anyagok kezelése.</w:t>
      </w:r>
    </w:p>
    <w:p w14:paraId="2817B73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műszaki üzemeltetésnél a fókusz kiterjed azokra a helyzetekre is, ahol a műszaki kockázat üzemfolytonossági és energiateljesítmény-kockázattá válhat (pl. meghibásodások miatti szolgáltatáskimaradás, energiahatékonysági elmaradások). A kockázatok korai azonosítását és a megelőző beavatkozásokat támogatják az üzemeltetés során keletkező CAFM-alapú adatok, amelyek a teljesítményproblémák „korai jelzőrendszereként” is használhatók és tervezhetővé teszik a rendszeres (ütemezett) karbantartásokat. Ezáltal a kockázatok jelentősen csökkenthetőek. </w:t>
      </w:r>
    </w:p>
    <w:p w14:paraId="30DC9DC3" w14:textId="77777777" w:rsidR="00BD159D" w:rsidRPr="00E45723" w:rsidRDefault="00FD7771" w:rsidP="00EA3B06">
      <w:pPr>
        <w:pStyle w:val="BodyText"/>
        <w:suppressAutoHyphens/>
        <w:rPr>
          <w:rFonts w:asciiTheme="minorHAnsi" w:hAnsiTheme="minorHAnsi" w:cs="Calibri"/>
          <w:b/>
        </w:rPr>
      </w:pPr>
      <w:r w:rsidRPr="00E45723">
        <w:rPr>
          <w:rStyle w:val="Strong"/>
          <w:rFonts w:asciiTheme="minorHAnsi" w:hAnsiTheme="minorHAnsi" w:cs="Calibri"/>
          <w:b w:val="0"/>
          <w:i/>
        </w:rPr>
        <w:t>IV. Külső partnerekkel és alvállalkozókkal végzett tevékenységek – értéklánc- és munkaerő-függés</w:t>
      </w:r>
    </w:p>
    <w:p w14:paraId="1A9D011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működésében jelentős a beszállítói és alvállalkozói munkaerő bevonása, ezért a DMA külön vizsgálja:</w:t>
      </w:r>
    </w:p>
    <w:p w14:paraId="143F41CC" w14:textId="77777777" w:rsidR="00BD159D" w:rsidRPr="00E45723" w:rsidRDefault="00FD7771" w:rsidP="00B75E29">
      <w:pPr>
        <w:pStyle w:val="BodyText"/>
        <w:numPr>
          <w:ilvl w:val="0"/>
          <w:numId w:val="17"/>
        </w:numPr>
        <w:suppressAutoHyphens/>
        <w:rPr>
          <w:rFonts w:asciiTheme="minorHAnsi" w:hAnsiTheme="minorHAnsi" w:cs="Calibri"/>
        </w:rPr>
      </w:pPr>
      <w:r w:rsidRPr="00E45723">
        <w:rPr>
          <w:rFonts w:asciiTheme="minorHAnsi" w:hAnsiTheme="minorHAnsi" w:cs="Calibri"/>
        </w:rPr>
        <w:t>a munkaerő-érettség, munkavédelmi gyakorlat, etikai megfelelés eltéréseit,</w:t>
      </w:r>
    </w:p>
    <w:p w14:paraId="59CBE74E" w14:textId="77777777" w:rsidR="00BD159D" w:rsidRPr="00E45723" w:rsidRDefault="00FD7771" w:rsidP="00B75E29">
      <w:pPr>
        <w:pStyle w:val="BodyText"/>
        <w:numPr>
          <w:ilvl w:val="0"/>
          <w:numId w:val="17"/>
        </w:numPr>
        <w:suppressAutoHyphens/>
        <w:rPr>
          <w:rFonts w:asciiTheme="minorHAnsi" w:hAnsiTheme="minorHAnsi" w:cs="Calibri"/>
        </w:rPr>
      </w:pPr>
      <w:r w:rsidRPr="00E45723">
        <w:rPr>
          <w:rFonts w:asciiTheme="minorHAnsi" w:hAnsiTheme="minorHAnsi" w:cs="Calibri"/>
        </w:rPr>
        <w:t>a párhuzamos munkavégzések és több vállalkozó jelenlétének kockázatait,</w:t>
      </w:r>
    </w:p>
    <w:p w14:paraId="7E757E03" w14:textId="77777777" w:rsidR="00BD159D" w:rsidRPr="00E45723" w:rsidRDefault="00FD7771" w:rsidP="00B75E29">
      <w:pPr>
        <w:pStyle w:val="BodyText"/>
        <w:numPr>
          <w:ilvl w:val="0"/>
          <w:numId w:val="17"/>
        </w:numPr>
        <w:suppressAutoHyphens/>
        <w:rPr>
          <w:rFonts w:asciiTheme="minorHAnsi" w:hAnsiTheme="minorHAnsi" w:cs="Calibri"/>
        </w:rPr>
      </w:pPr>
      <w:r w:rsidRPr="00E45723">
        <w:rPr>
          <w:rFonts w:asciiTheme="minorHAnsi" w:hAnsiTheme="minorHAnsi" w:cs="Calibri"/>
        </w:rPr>
        <w:t>a kiválasztás, beléptetés és teljesítésellenőrzés kritikus pontjait.</w:t>
      </w:r>
    </w:p>
    <w:p w14:paraId="7C7041C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Ezek a kockázatok azért lényegesek, mert a szolgáltatásminőség és a munkavédelmi incidensek gyakran a partneri oldalon jelentkeznek először. A partneri „hotspotok” azonosításánál külön figyelmet kapnak azok a kapcsolatok, ahol magas a munkaerő-intenzitás, a vegyszerkitettség, a több vállalkozó egyidejű jelenléte, illetve ahol a munkaidőszervezésből (pl. túlórák) adódó munkaügyi és reputációs kockázat nagyobb. A fókuszált ellenőrzések célja, hogy a jogszabályi megfelelésen túl a gyakorlati érvényesülés (munkavédelem, oktatás, védőeszköz-használat, foglalkoztatási átláthatóság) is visszamérhető legyen.</w:t>
      </w:r>
    </w:p>
    <w:p w14:paraId="7997954D" w14:textId="77777777" w:rsidR="00BD159D" w:rsidRPr="00E45723" w:rsidRDefault="00FD7771" w:rsidP="00EA3B06">
      <w:pPr>
        <w:pStyle w:val="BodyText"/>
        <w:suppressAutoHyphens/>
        <w:rPr>
          <w:rFonts w:asciiTheme="minorHAnsi" w:hAnsiTheme="minorHAnsi" w:cs="Calibri"/>
          <w:b/>
        </w:rPr>
      </w:pPr>
      <w:r w:rsidRPr="00E45723">
        <w:rPr>
          <w:rStyle w:val="Strong"/>
          <w:rFonts w:asciiTheme="minorHAnsi" w:hAnsiTheme="minorHAnsi" w:cs="Calibri"/>
          <w:b w:val="0"/>
          <w:i/>
        </w:rPr>
        <w:t>V. Földrajzi tényezők – több országra kiterjedő operáció</w:t>
      </w:r>
    </w:p>
    <w:p w14:paraId="4747A57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Group több országban működő szolgáltató, ami a DMA-folyamatban külön figyelmet kap:</w:t>
      </w:r>
    </w:p>
    <w:p w14:paraId="22A438ED" w14:textId="77777777" w:rsidR="00BD159D" w:rsidRPr="00E45723" w:rsidRDefault="00FD7771" w:rsidP="00B75E29">
      <w:pPr>
        <w:pStyle w:val="BodyText"/>
        <w:numPr>
          <w:ilvl w:val="0"/>
          <w:numId w:val="18"/>
        </w:numPr>
        <w:suppressAutoHyphens/>
        <w:rPr>
          <w:rFonts w:asciiTheme="minorHAnsi" w:hAnsiTheme="minorHAnsi" w:cs="Calibri"/>
        </w:rPr>
      </w:pPr>
      <w:r w:rsidRPr="00E45723">
        <w:rPr>
          <w:rFonts w:asciiTheme="minorHAnsi" w:hAnsiTheme="minorHAnsi" w:cs="Calibri"/>
        </w:rPr>
        <w:t>eltérő munkajogi, egészségvédelmi és hatósági környezetek,</w:t>
      </w:r>
    </w:p>
    <w:p w14:paraId="11289C64" w14:textId="77777777" w:rsidR="00BD159D" w:rsidRPr="00E45723" w:rsidRDefault="00FD7771" w:rsidP="00B75E29">
      <w:pPr>
        <w:pStyle w:val="BodyText"/>
        <w:numPr>
          <w:ilvl w:val="0"/>
          <w:numId w:val="18"/>
        </w:numPr>
        <w:suppressAutoHyphens/>
        <w:rPr>
          <w:rFonts w:asciiTheme="minorHAnsi" w:hAnsiTheme="minorHAnsi" w:cs="Calibri"/>
        </w:rPr>
      </w:pPr>
      <w:r w:rsidRPr="00E45723">
        <w:rPr>
          <w:rFonts w:asciiTheme="minorHAnsi" w:hAnsiTheme="minorHAnsi" w:cs="Calibri"/>
        </w:rPr>
        <w:t>különböző beszállítói és alvállalkozói érettségi szintek,</w:t>
      </w:r>
    </w:p>
    <w:p w14:paraId="5E0455F5" w14:textId="77777777" w:rsidR="00BD159D" w:rsidRPr="00E45723" w:rsidRDefault="00FD7771" w:rsidP="00B75E29">
      <w:pPr>
        <w:pStyle w:val="BodyText"/>
        <w:numPr>
          <w:ilvl w:val="0"/>
          <w:numId w:val="18"/>
        </w:numPr>
        <w:suppressAutoHyphens/>
        <w:rPr>
          <w:rFonts w:asciiTheme="minorHAnsi" w:hAnsiTheme="minorHAnsi" w:cs="Calibri"/>
        </w:rPr>
      </w:pPr>
      <w:r w:rsidRPr="00E45723">
        <w:rPr>
          <w:rFonts w:asciiTheme="minorHAnsi" w:hAnsiTheme="minorHAnsi" w:cs="Calibri"/>
        </w:rPr>
        <w:t>munkaerő-piaci kockázatok (fluktuáció, munkaerő-hiány, képzettségi szintek),</w:t>
      </w:r>
    </w:p>
    <w:p w14:paraId="67628998" w14:textId="77777777" w:rsidR="00BD159D" w:rsidRPr="00E45723" w:rsidRDefault="00FD7771" w:rsidP="00B75E29">
      <w:pPr>
        <w:pStyle w:val="BodyText"/>
        <w:numPr>
          <w:ilvl w:val="0"/>
          <w:numId w:val="18"/>
        </w:numPr>
        <w:suppressAutoHyphens/>
        <w:rPr>
          <w:rFonts w:asciiTheme="minorHAnsi" w:hAnsiTheme="minorHAnsi" w:cs="Calibri"/>
        </w:rPr>
      </w:pPr>
      <w:r w:rsidRPr="00E45723">
        <w:rPr>
          <w:rFonts w:asciiTheme="minorHAnsi" w:hAnsiTheme="minorHAnsi" w:cs="Calibri"/>
        </w:rPr>
        <w:t>a szolgáltatásminőség következetes fenntartása heterogén piaci környezetben.</w:t>
      </w:r>
    </w:p>
    <w:p w14:paraId="4A45742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több országra kiterjedő működésben a folyamat fókuszát erősíti, hogy országonként eltérhet a munkaerőpiaci nyomás, a hatósági kontrollintenzitás, valamint a beszállítói/alvállalkozói érettség. Ennek megfelelően a fókuszált vizsgálatok és beavatkozások ott erősödnek, ahol a helyi környezet a káros hatások valószínűségét vagy súlyosságát növeli.</w:t>
      </w:r>
    </w:p>
    <w:p w14:paraId="658586CE" w14:textId="77777777" w:rsidR="00BD159D" w:rsidRPr="00E45723" w:rsidRDefault="00FD7771" w:rsidP="00EA3B06">
      <w:pPr>
        <w:pStyle w:val="BodyText"/>
        <w:suppressAutoHyphens/>
        <w:rPr>
          <w:rFonts w:asciiTheme="minorHAnsi" w:hAnsiTheme="minorHAnsi" w:cs="Calibri"/>
          <w:b/>
        </w:rPr>
      </w:pPr>
      <w:r w:rsidRPr="00E45723">
        <w:rPr>
          <w:rStyle w:val="Strong"/>
          <w:rFonts w:asciiTheme="minorHAnsi" w:hAnsiTheme="minorHAnsi" w:cs="Calibri"/>
          <w:b w:val="0"/>
          <w:i/>
        </w:rPr>
        <w:t>VI. Ügyfélkitettség és szolgáltatásfolytonossági kockázatok</w:t>
      </w:r>
    </w:p>
    <w:p w14:paraId="4E91851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DMA külön elemzi a nagy ügyfélportfólió és a non-stop szolgáltatásnyújtás miatt releváns tényezőket:</w:t>
      </w:r>
    </w:p>
    <w:p w14:paraId="3FABD803" w14:textId="77777777" w:rsidR="00BD159D" w:rsidRPr="00E45723" w:rsidRDefault="00FD7771" w:rsidP="00B75E29">
      <w:pPr>
        <w:pStyle w:val="BodyText"/>
        <w:numPr>
          <w:ilvl w:val="0"/>
          <w:numId w:val="19"/>
        </w:numPr>
        <w:suppressAutoHyphens/>
        <w:rPr>
          <w:rFonts w:asciiTheme="minorHAnsi" w:hAnsiTheme="minorHAnsi" w:cs="Calibri"/>
        </w:rPr>
      </w:pPr>
      <w:r w:rsidRPr="00E45723">
        <w:rPr>
          <w:rFonts w:asciiTheme="minorHAnsi" w:hAnsiTheme="minorHAnsi" w:cs="Calibri"/>
        </w:rPr>
        <w:t>szolgáltatáskimaradási kockázatok,</w:t>
      </w:r>
    </w:p>
    <w:p w14:paraId="3E8AD351" w14:textId="77777777" w:rsidR="00BD159D" w:rsidRPr="00E45723" w:rsidRDefault="00FD7771" w:rsidP="00B75E29">
      <w:pPr>
        <w:pStyle w:val="BodyText"/>
        <w:numPr>
          <w:ilvl w:val="0"/>
          <w:numId w:val="19"/>
        </w:numPr>
        <w:suppressAutoHyphens/>
        <w:rPr>
          <w:rFonts w:asciiTheme="minorHAnsi" w:hAnsiTheme="minorHAnsi" w:cs="Calibri"/>
        </w:rPr>
      </w:pPr>
      <w:r w:rsidRPr="00E45723">
        <w:rPr>
          <w:rFonts w:asciiTheme="minorHAnsi" w:hAnsiTheme="minorHAnsi" w:cs="Calibri"/>
        </w:rPr>
        <w:t>működési zavarok nagy ügyfél- és létesítményszám mellett,</w:t>
      </w:r>
    </w:p>
    <w:p w14:paraId="6ED9974D" w14:textId="77777777" w:rsidR="00BD159D" w:rsidRPr="00E45723" w:rsidRDefault="00FD7771" w:rsidP="00B75E29">
      <w:pPr>
        <w:pStyle w:val="BodyText"/>
        <w:numPr>
          <w:ilvl w:val="0"/>
          <w:numId w:val="19"/>
        </w:numPr>
        <w:suppressAutoHyphens/>
        <w:rPr>
          <w:rFonts w:asciiTheme="minorHAnsi" w:hAnsiTheme="minorHAnsi" w:cs="Calibri"/>
        </w:rPr>
      </w:pPr>
      <w:r w:rsidRPr="00E45723">
        <w:rPr>
          <w:rFonts w:asciiTheme="minorHAnsi" w:hAnsiTheme="minorHAnsi" w:cs="Calibri"/>
        </w:rPr>
        <w:t>reputációs kitettség, különösen közintézményi és egészségügyi ügyfeleknél.</w:t>
      </w:r>
    </w:p>
    <w:p w14:paraId="2C8E4CC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fókusz különösen erős azoknál az ügyfél- és létesítménytípusoknál, ahol a szolgáltatáskimaradás vagy minőségi eltérés a megszokott működésen túl közvetlen egészségügyi/biztonsági vagy közszolgáltatási kitettséget okozhat, és így a reputációs hatás is jelentősen felnagyított.</w:t>
      </w:r>
    </w:p>
    <w:p w14:paraId="6A232B4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Annak leírása, hogy a folyamat hogyan veszi figyelembe azokat a hatásokat, amelyekben a vállalkozás saját működésén vagy üzleti kapcsolatain keresztül részt vesz</w:t>
      </w:r>
    </w:p>
    <w:p w14:paraId="623F3DB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53 b) ii.] A LIWO Group a hatások és kockázatok azonosítása során olyan módszertant alkalmaz, amely a teljes szolgáltatási tevékenységre és az értékláncra kiterjed, különösen ott, ahol a vállalat működése tényleges vagy potenciális környezeti, társadalmi vagy megfelelőségi hatásokat generálhat. A folyamat a következő fő területekre összpontosít: </w:t>
      </w:r>
    </w:p>
    <w:p w14:paraId="2F2FA545"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1. A saját operációból eredő hatások</w:t>
      </w:r>
    </w:p>
    <w:p w14:paraId="51E4115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vállalat lényeges hatásai döntően nem a saját telephelyein, hanem az ügyféllétesítményekben végzett szolgáltatási tevékenységeken keresztül jelentkeznek. A DMA ezért elsősorban az alábbi helyszíneken és tevékenységekben vizsgálja a kockázatokat: </w:t>
      </w:r>
    </w:p>
    <w:p w14:paraId="357A4F8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nagy volumenű takarítási és higiéniai tevékenységek, beleértve a vegyszerhasználatot, a fertőtlenítést, víz</w:t>
      </w:r>
      <w:r w:rsidRPr="00E45723">
        <w:rPr>
          <w:rFonts w:asciiTheme="minorHAnsi" w:hAnsiTheme="minorHAnsi" w:cs="Calibri"/>
        </w:rPr>
        <w:noBreakHyphen/>
        <w:t xml:space="preserve"> és anyagfelhasználást, </w:t>
      </w:r>
    </w:p>
    <w:p w14:paraId="304A0A32"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egészségügyi higiéniai szolgáltatások, ahol biológiai kitettség, fertőzéskontroll és szigorú protokollok határozzák meg a kockázati profilt, </w:t>
      </w:r>
    </w:p>
    <w:p w14:paraId="2375E852"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műszaki üzemeltetés, amely az épületgépészeti és elektromos rendszerekhez kapcsolódó biztonsági és szolgáltatásfolytonossági kockázatokat hordozza. </w:t>
      </w:r>
    </w:p>
    <w:p w14:paraId="7D5E688D" w14:textId="5316C81C"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2. Üzleti kapcsolatokból eredő hatások</w:t>
      </w:r>
    </w:p>
    <w:p w14:paraId="29DDF67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működése erősen támaszkodik alvállalkozókra és beszállítókra, ezért a folyamat külön értékeli: </w:t>
      </w:r>
    </w:p>
    <w:p w14:paraId="4344F5D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az alvállalkozók munkavédelmi, etikai és minőségbiztosítási gyakorlatát, </w:t>
      </w:r>
    </w:p>
    <w:p w14:paraId="4798254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az alvállalkozói munkaerő</w:t>
      </w:r>
      <w:r w:rsidRPr="00E45723">
        <w:rPr>
          <w:rFonts w:asciiTheme="minorHAnsi" w:hAnsiTheme="minorHAnsi" w:cs="Calibri"/>
        </w:rPr>
        <w:noBreakHyphen/>
        <w:t>kitettségeket (munkaerőhiány, fluktuáció, képzettségi szint), </w:t>
      </w:r>
    </w:p>
    <w:p w14:paraId="32DBDFE7" w14:textId="2C74AB99"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 szolgáltatásminőségre gyakorolt partneri hatásokat, különösen nagy ügyfélszerző</w:t>
      </w:r>
      <w:r w:rsidR="00B75E29" w:rsidRPr="00E45723">
        <w:rPr>
          <w:rFonts w:asciiTheme="minorHAnsi" w:hAnsiTheme="minorHAnsi" w:cs="Calibri"/>
        </w:rPr>
        <w:t>-</w:t>
      </w:r>
      <w:r w:rsidRPr="00E45723">
        <w:rPr>
          <w:rFonts w:asciiTheme="minorHAnsi" w:hAnsiTheme="minorHAnsi" w:cs="Calibri"/>
        </w:rPr>
        <w:t>désekben, </w:t>
      </w:r>
    </w:p>
    <w:p w14:paraId="38296E18" w14:textId="12E7DDBC"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az upstream anyag- és eszközbeszerzéshez kapcsolódó megfelelőségi és fenn</w:t>
      </w:r>
      <w:r w:rsidR="00B75E29" w:rsidRPr="00E45723">
        <w:rPr>
          <w:rFonts w:asciiTheme="minorHAnsi" w:hAnsiTheme="minorHAnsi" w:cs="Calibri"/>
        </w:rPr>
        <w:t>-</w:t>
      </w:r>
      <w:r w:rsidRPr="00E45723">
        <w:rPr>
          <w:rFonts w:asciiTheme="minorHAnsi" w:hAnsiTheme="minorHAnsi" w:cs="Calibri"/>
        </w:rPr>
        <w:t>tarthatósági kockázatokat (pl. vegyszerek, tisztítószerek, védőfelszerelések). </w:t>
      </w:r>
    </w:p>
    <w:p w14:paraId="28716C0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 xml:space="preserve">A Cégcsoport a beszállítói kitettségeket a saját kockázatkezelési és beszállítói értékelési rendszerén keresztül követi. A Cégcsoport először a 2025. évre vonatkozóan készítette el a beszállítók ESG-szempontú kockázatkezelésre és -értékelésre vonatkozó beszámolóját. </w:t>
      </w:r>
    </w:p>
    <w:p w14:paraId="224941AD"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3. Ügyféloldali együttműködésekből fakadó hatások </w:t>
      </w:r>
    </w:p>
    <w:p w14:paraId="6F693F1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Mivel a vállalat több ezer helyszínen végez szolgáltatást, a DMA figyelembe veszi azokat a hatásokat is, amelyek az ügyféloldali környezetből indulnak ki: </w:t>
      </w:r>
    </w:p>
    <w:p w14:paraId="33A767B9"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kritikus infrastruktúrák működése (kórházak, közintézmények, nagy iroda</w:t>
      </w:r>
      <w:r w:rsidRPr="00E45723">
        <w:rPr>
          <w:rFonts w:asciiTheme="minorHAnsi" w:hAnsiTheme="minorHAnsi" w:cs="Calibri"/>
        </w:rPr>
        <w:noBreakHyphen/>
        <w:t xml:space="preserve"> és ipari létesítmények), </w:t>
      </w:r>
    </w:p>
    <w:p w14:paraId="3842E792"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szolgáltatáskimaradási és minőségbiztosítási kockázatok, amelyek reputációs és társadalmi hatással járhatnak, </w:t>
      </w:r>
    </w:p>
    <w:p w14:paraId="79BA8AD3"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ügyféloldali szabályozási követelmények (pl. egészségügyi előírások, technológiai sztenderdek). </w:t>
      </w:r>
    </w:p>
    <w:p w14:paraId="046CC91A"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4. Érdekelt felek visszajelzéseinek integrálása </w:t>
      </w:r>
    </w:p>
    <w:p w14:paraId="5C6B951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módszertan a hatások értékelésébe bevonja a munkavállalók, ügyfelek, alvállalkozók és hatóságok visszajelzéseit, hogy azonosíthatók legyenek azok a területek, ahol a LIWO Group közvetlenül vagy közvetett módon hozzájárulhat negatív vagy pozitív hatások kialakulásához.</w:t>
      </w:r>
    </w:p>
    <w:p w14:paraId="264307AB" w14:textId="64321DE8"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53 b) iii.] A kettős lényegességi elemzés során a Társaság kiemelt figyelmet fordított az érintett felekkel folytatott konzultációra annak érdekében, hogy megértse, működése és üzleti kapcsolatai milyen tényleges vagy potenciális hatással lehetnek rájuk. A folyamat részeként kérdőíves egyeztetés valósult meg a munkavállalók és a legfontosabb partnerek bevonásával, továbbá strukturált interjúkra került sor a felsővezetéssel és a releváns szakterületek képviselőivel.</w:t>
      </w:r>
    </w:p>
    <w:p w14:paraId="7489F81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konzultáció kiterjedt többek között a munkakörülményekre, esélyegyenlőségre, környezeti hatásokra és adatbiztonságra. A Cégcsoport emellett külső szakértőt is bevont, aki támogatta a hatások, kockázatok és lehetőségek azonosítását és értékelését az ESRS keretrendszerével összhangban.</w:t>
      </w:r>
    </w:p>
    <w:p w14:paraId="6BFEB94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53 b) iv.] A hatások értékelése során első lépésként rögzítésre került, hogy az adott hatás valós vagy potenciális jellegű-e. A két kategória értelmezése az alábbi: </w:t>
      </w:r>
    </w:p>
    <w:p w14:paraId="2616EAFB"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Valós</w:t>
      </w:r>
      <w:r w:rsidRPr="00E45723">
        <w:rPr>
          <w:rFonts w:asciiTheme="minorHAnsi" w:hAnsiTheme="minorHAnsi" w:cs="Calibri"/>
        </w:rPr>
        <w:t>: a hatás a jelenben ténylegesen fennáll, egyértelműen megfigyelhető, és a jelenlegi időszakban könnyen azonosítható. </w:t>
      </w:r>
    </w:p>
    <w:p w14:paraId="58416158"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Potenciális</w:t>
      </w:r>
      <w:r w:rsidRPr="00E45723">
        <w:rPr>
          <w:rFonts w:asciiTheme="minorHAnsi" w:hAnsiTheme="minorHAnsi" w:cs="Calibri"/>
        </w:rPr>
        <w:t>: a hatás bekövetkezésének lehetősége fennáll, és várhatóan egy jövőbeli időszakban eseményként jelentkezhet. </w:t>
      </w:r>
    </w:p>
    <w:p w14:paraId="5F4055B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Ezt követően a hatások besorolásra kerültek aszerint is, hogy pozitív vagy negatív hatásról van-e szó. A kategóriák meghatározása: </w:t>
      </w:r>
    </w:p>
    <w:p w14:paraId="42254B23"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Pozitív</w:t>
      </w:r>
      <w:r w:rsidRPr="00E45723">
        <w:rPr>
          <w:rFonts w:asciiTheme="minorHAnsi" w:hAnsiTheme="minorHAnsi" w:cs="Calibri"/>
        </w:rPr>
        <w:t>: a hatás kedvező a társadalom vagy a környezet számára, és a fennálló helyzet javulását eredményezi. </w:t>
      </w:r>
    </w:p>
    <w:p w14:paraId="2BC048A5"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Negatív</w:t>
      </w:r>
      <w:r w:rsidRPr="00E45723">
        <w:rPr>
          <w:rFonts w:asciiTheme="minorHAnsi" w:hAnsiTheme="minorHAnsi" w:cs="Calibri"/>
        </w:rPr>
        <w:t>: a hatás káros következményekkel jár, és a jelenlegi állapot romlását okozza. </w:t>
      </w:r>
    </w:p>
    <w:p w14:paraId="0AAFADF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Végül meghatározásra került a hatás időhorizontja és érintettségi helye is. </w:t>
      </w:r>
    </w:p>
    <w:p w14:paraId="10B2D12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Vonatkozó időhorizont: </w:t>
      </w:r>
    </w:p>
    <w:p w14:paraId="370D890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Időhorizont: az az időtáv, amelyen belül a hatás jelentkezik. Az időtávok meghatározása az ESRS ajánlásával összhangban történt. </w:t>
      </w:r>
    </w:p>
    <w:p w14:paraId="1D4E813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Hatás helye: A „hatás helye” fogalma a működési terjedelemhez hasonló, ugyanakkor nem a hatás nagyságát/kiterjedését írja le, hanem azt, hogy a hatás hol érvényesül. Ennek megfelelően az alábbi kategóriák kerültek alkalmazásra:</w:t>
      </w:r>
    </w:p>
    <w:p w14:paraId="67BF4915"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Saját működés</w:t>
      </w:r>
      <w:r w:rsidRPr="00E45723">
        <w:rPr>
          <w:rFonts w:asciiTheme="minorHAnsi" w:hAnsiTheme="minorHAnsi" w:cs="Calibri"/>
        </w:rPr>
        <w:t>: a hatás a vállalat közvetlen irányítása alatt álló tevékenységekben jelentkezik. </w:t>
      </w:r>
    </w:p>
    <w:p w14:paraId="30639661"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Upstream</w:t>
      </w:r>
      <w:r w:rsidRPr="00E45723">
        <w:rPr>
          <w:rFonts w:asciiTheme="minorHAnsi" w:hAnsiTheme="minorHAnsi" w:cs="Calibri"/>
        </w:rPr>
        <w:t>: a hatás a beszállítói oldalon, például nyersanyagokhoz vagy alvállalkozókhoz kapcsolódóan merül fel. </w:t>
      </w:r>
    </w:p>
    <w:p w14:paraId="778CC25B"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Downstream</w:t>
      </w:r>
      <w:r w:rsidRPr="00E45723">
        <w:rPr>
          <w:rFonts w:asciiTheme="minorHAnsi" w:hAnsiTheme="minorHAnsi" w:cs="Calibri"/>
        </w:rPr>
        <w:t>: a hatás az értékesítési oldalon, például vevőknél vagy az életciklus végén kapcsolódó partnereknél jelentkezik. </w:t>
      </w:r>
    </w:p>
    <w:p w14:paraId="6E0902F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besorolásokat követően a hatás lényegességének meghatározása során a hatás mértéke, hatókör, helyrehozhatatlan jelleg, valamint valószínűség került figyelembevételre az alábbiak szerint:</w:t>
      </w:r>
    </w:p>
    <w:tbl>
      <w:tblPr>
        <w:tblStyle w:val="Table"/>
        <w:tblW w:w="8893" w:type="dxa"/>
        <w:tblLayout w:type="fixed"/>
        <w:tblLook w:val="0020" w:firstRow="1" w:lastRow="0" w:firstColumn="0" w:lastColumn="0" w:noHBand="0" w:noVBand="0"/>
      </w:tblPr>
      <w:tblGrid>
        <w:gridCol w:w="1284"/>
        <w:gridCol w:w="1266"/>
        <w:gridCol w:w="1545"/>
        <w:gridCol w:w="2836"/>
        <w:gridCol w:w="1962"/>
      </w:tblGrid>
      <w:tr w:rsidR="00BD159D" w:rsidRPr="00E45723" w14:paraId="2F79B4F2" w14:textId="77777777" w:rsidTr="005A4858">
        <w:trPr>
          <w:cnfStyle w:val="100000000000" w:firstRow="1" w:lastRow="0" w:firstColumn="0" w:lastColumn="0" w:oddVBand="0" w:evenVBand="0" w:oddHBand="0" w:evenHBand="0" w:firstRowFirstColumn="0" w:firstRowLastColumn="0" w:lastRowFirstColumn="0" w:lastRowLastColumn="0"/>
        </w:trPr>
        <w:tc>
          <w:tcPr>
            <w:tcW w:w="1284" w:type="dxa"/>
          </w:tcPr>
          <w:p w14:paraId="6AC37267"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Dimenzió</w:t>
            </w:r>
          </w:p>
        </w:tc>
        <w:tc>
          <w:tcPr>
            <w:tcW w:w="1266" w:type="dxa"/>
          </w:tcPr>
          <w:p w14:paraId="6708CDE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Hatás mértéke</w:t>
            </w:r>
          </w:p>
        </w:tc>
        <w:tc>
          <w:tcPr>
            <w:tcW w:w="1545" w:type="dxa"/>
          </w:tcPr>
          <w:p w14:paraId="57D10E9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Hatókör</w:t>
            </w:r>
          </w:p>
        </w:tc>
        <w:tc>
          <w:tcPr>
            <w:tcW w:w="2836" w:type="dxa"/>
          </w:tcPr>
          <w:p w14:paraId="0A2A46C6" w14:textId="77777777" w:rsidR="00BD159D" w:rsidRPr="00E45723" w:rsidRDefault="00FD7771" w:rsidP="00086AFB">
            <w:pPr>
              <w:pStyle w:val="NormalWeb"/>
              <w:suppressAutoHyphens/>
              <w:spacing w:before="36" w:after="36"/>
              <w:rPr>
                <w:rFonts w:asciiTheme="minorHAnsi" w:hAnsiTheme="minorHAnsi" w:cs="Calibri"/>
              </w:rPr>
            </w:pPr>
            <w:r w:rsidRPr="00E45723">
              <w:rPr>
                <w:rStyle w:val="Strong"/>
                <w:rFonts w:asciiTheme="minorHAnsi" w:hAnsiTheme="minorHAnsi" w:cs="Calibri"/>
              </w:rPr>
              <w:t>Helyrehozhatatlan jellege</w:t>
            </w:r>
          </w:p>
        </w:tc>
        <w:tc>
          <w:tcPr>
            <w:tcW w:w="1962" w:type="dxa"/>
          </w:tcPr>
          <w:p w14:paraId="12E9D41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Valószínűség</w:t>
            </w:r>
          </w:p>
        </w:tc>
      </w:tr>
      <w:tr w:rsidR="00BD159D" w:rsidRPr="00E45723" w14:paraId="05408D4D" w14:textId="77777777" w:rsidTr="005A4858">
        <w:tc>
          <w:tcPr>
            <w:tcW w:w="1284" w:type="dxa"/>
          </w:tcPr>
          <w:p w14:paraId="6B1F6BCC"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NA</w:t>
            </w:r>
          </w:p>
        </w:tc>
        <w:tc>
          <w:tcPr>
            <w:tcW w:w="1266" w:type="dxa"/>
          </w:tcPr>
          <w:p w14:paraId="2F7760A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c>
          <w:tcPr>
            <w:tcW w:w="1545" w:type="dxa"/>
          </w:tcPr>
          <w:p w14:paraId="11C4B88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c>
          <w:tcPr>
            <w:tcW w:w="2836" w:type="dxa"/>
          </w:tcPr>
          <w:p w14:paraId="42E7A0D4"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Pozitív hatás esetén nem releváns</w:t>
            </w:r>
          </w:p>
        </w:tc>
        <w:tc>
          <w:tcPr>
            <w:tcW w:w="1962" w:type="dxa"/>
          </w:tcPr>
          <w:p w14:paraId="4B11CF0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w:t>
            </w:r>
          </w:p>
        </w:tc>
      </w:tr>
      <w:tr w:rsidR="00BD159D" w:rsidRPr="00E45723" w14:paraId="520A1180" w14:textId="77777777" w:rsidTr="005A4858">
        <w:tc>
          <w:tcPr>
            <w:tcW w:w="1284" w:type="dxa"/>
          </w:tcPr>
          <w:p w14:paraId="18796E3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0</w:t>
            </w:r>
          </w:p>
        </w:tc>
        <w:tc>
          <w:tcPr>
            <w:tcW w:w="1266" w:type="dxa"/>
          </w:tcPr>
          <w:p w14:paraId="0585B9A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Nincs</w:t>
            </w:r>
          </w:p>
        </w:tc>
        <w:tc>
          <w:tcPr>
            <w:tcW w:w="1545" w:type="dxa"/>
          </w:tcPr>
          <w:p w14:paraId="7630F43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Nincs</w:t>
            </w:r>
          </w:p>
        </w:tc>
        <w:tc>
          <w:tcPr>
            <w:tcW w:w="2836" w:type="dxa"/>
          </w:tcPr>
          <w:p w14:paraId="4F14ED8B"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Nagyon könnyű kezelni</w:t>
            </w:r>
          </w:p>
        </w:tc>
        <w:tc>
          <w:tcPr>
            <w:tcW w:w="1962" w:type="dxa"/>
          </w:tcPr>
          <w:p w14:paraId="70E9BD2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Szinte soha nem fordul elő</w:t>
            </w:r>
          </w:p>
        </w:tc>
      </w:tr>
      <w:tr w:rsidR="00BD159D" w:rsidRPr="00E45723" w14:paraId="6319B9CE" w14:textId="77777777" w:rsidTr="005A4858">
        <w:tc>
          <w:tcPr>
            <w:tcW w:w="1284" w:type="dxa"/>
          </w:tcPr>
          <w:p w14:paraId="674E4C6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1</w:t>
            </w:r>
          </w:p>
        </w:tc>
        <w:tc>
          <w:tcPr>
            <w:tcW w:w="1266" w:type="dxa"/>
          </w:tcPr>
          <w:p w14:paraId="41D6747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Minimális</w:t>
            </w:r>
          </w:p>
        </w:tc>
        <w:tc>
          <w:tcPr>
            <w:tcW w:w="1545" w:type="dxa"/>
          </w:tcPr>
          <w:p w14:paraId="5B3E0F8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Limitált</w:t>
            </w:r>
          </w:p>
        </w:tc>
        <w:tc>
          <w:tcPr>
            <w:tcW w:w="2836" w:type="dxa"/>
            <w:vAlign w:val="center"/>
          </w:tcPr>
          <w:p w14:paraId="76E5BCC0"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Relatíve könnyű rövid távon a kezelés</w:t>
            </w:r>
          </w:p>
        </w:tc>
        <w:tc>
          <w:tcPr>
            <w:tcW w:w="1962" w:type="dxa"/>
            <w:vAlign w:val="center"/>
          </w:tcPr>
          <w:p w14:paraId="6686F96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Ritkán fordul elő</w:t>
            </w:r>
          </w:p>
        </w:tc>
      </w:tr>
      <w:tr w:rsidR="00BD159D" w:rsidRPr="00E45723" w14:paraId="51DA7400" w14:textId="77777777" w:rsidTr="005A4858">
        <w:tc>
          <w:tcPr>
            <w:tcW w:w="1284" w:type="dxa"/>
          </w:tcPr>
          <w:p w14:paraId="6CF9FD2F"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2</w:t>
            </w:r>
          </w:p>
        </w:tc>
        <w:tc>
          <w:tcPr>
            <w:tcW w:w="1266" w:type="dxa"/>
          </w:tcPr>
          <w:p w14:paraId="4D72DCC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Alacsony</w:t>
            </w:r>
          </w:p>
        </w:tc>
        <w:tc>
          <w:tcPr>
            <w:tcW w:w="1545" w:type="dxa"/>
          </w:tcPr>
          <w:p w14:paraId="4A8B822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Koncentrált</w:t>
            </w:r>
          </w:p>
        </w:tc>
        <w:tc>
          <w:tcPr>
            <w:tcW w:w="2836" w:type="dxa"/>
          </w:tcPr>
          <w:p w14:paraId="650CC1D2"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Helyreállítható erőforrás felhasználással (idő és költség)</w:t>
            </w:r>
          </w:p>
        </w:tc>
        <w:tc>
          <w:tcPr>
            <w:tcW w:w="1962" w:type="dxa"/>
            <w:vAlign w:val="center"/>
          </w:tcPr>
          <w:p w14:paraId="3574833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Néha előfordul</w:t>
            </w:r>
          </w:p>
        </w:tc>
      </w:tr>
      <w:tr w:rsidR="00BD159D" w:rsidRPr="00E45723" w14:paraId="06F7EB66" w14:textId="77777777" w:rsidTr="005A4858">
        <w:tc>
          <w:tcPr>
            <w:tcW w:w="1284" w:type="dxa"/>
          </w:tcPr>
          <w:p w14:paraId="44A1057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3</w:t>
            </w:r>
          </w:p>
        </w:tc>
        <w:tc>
          <w:tcPr>
            <w:tcW w:w="1266" w:type="dxa"/>
          </w:tcPr>
          <w:p w14:paraId="705C259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Közepes</w:t>
            </w:r>
          </w:p>
        </w:tc>
        <w:tc>
          <w:tcPr>
            <w:tcW w:w="1545" w:type="dxa"/>
          </w:tcPr>
          <w:p w14:paraId="1A1AC68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Közepes</w:t>
            </w:r>
          </w:p>
        </w:tc>
        <w:tc>
          <w:tcPr>
            <w:tcW w:w="2836" w:type="dxa"/>
          </w:tcPr>
          <w:p w14:paraId="103F1D8F"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Bonyolult a helyreállítás, vagy csak középtávon lehetséges</w:t>
            </w:r>
          </w:p>
        </w:tc>
        <w:tc>
          <w:tcPr>
            <w:tcW w:w="1962" w:type="dxa"/>
            <w:vAlign w:val="center"/>
          </w:tcPr>
          <w:p w14:paraId="605DBBB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Inkább előfordul, mint nem</w:t>
            </w:r>
          </w:p>
        </w:tc>
      </w:tr>
      <w:tr w:rsidR="00BD159D" w:rsidRPr="00E45723" w14:paraId="016E8EAF" w14:textId="77777777" w:rsidTr="005A4858">
        <w:tc>
          <w:tcPr>
            <w:tcW w:w="1284" w:type="dxa"/>
          </w:tcPr>
          <w:p w14:paraId="700E623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4</w:t>
            </w:r>
          </w:p>
        </w:tc>
        <w:tc>
          <w:tcPr>
            <w:tcW w:w="1266" w:type="dxa"/>
          </w:tcPr>
          <w:p w14:paraId="72DA169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Magas</w:t>
            </w:r>
          </w:p>
        </w:tc>
        <w:tc>
          <w:tcPr>
            <w:tcW w:w="1545" w:type="dxa"/>
          </w:tcPr>
          <w:p w14:paraId="33A0A300"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Széleskörű</w:t>
            </w:r>
          </w:p>
        </w:tc>
        <w:tc>
          <w:tcPr>
            <w:tcW w:w="2836" w:type="dxa"/>
          </w:tcPr>
          <w:p w14:paraId="349A0740"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Nagyon bonyolult a helyreállítás vagy csak hosszú távon lehetséges</w:t>
            </w:r>
          </w:p>
        </w:tc>
        <w:tc>
          <w:tcPr>
            <w:tcW w:w="1962" w:type="dxa"/>
            <w:vAlign w:val="center"/>
          </w:tcPr>
          <w:p w14:paraId="1414EA5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Gyakran előfordul</w:t>
            </w:r>
          </w:p>
        </w:tc>
      </w:tr>
      <w:tr w:rsidR="00BD159D" w:rsidRPr="00E45723" w14:paraId="27D62997" w14:textId="77777777" w:rsidTr="005A4858">
        <w:tc>
          <w:tcPr>
            <w:tcW w:w="1284" w:type="dxa"/>
          </w:tcPr>
          <w:p w14:paraId="09646DD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5</w:t>
            </w:r>
          </w:p>
        </w:tc>
        <w:tc>
          <w:tcPr>
            <w:tcW w:w="1266" w:type="dxa"/>
          </w:tcPr>
          <w:p w14:paraId="6CD6DFF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Hatalmas</w:t>
            </w:r>
          </w:p>
        </w:tc>
        <w:tc>
          <w:tcPr>
            <w:tcW w:w="1545" w:type="dxa"/>
          </w:tcPr>
          <w:p w14:paraId="0A5C0787" w14:textId="5D28C430"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Globális/</w:t>
            </w:r>
            <w:r w:rsidRPr="00E45723">
              <w:rPr>
                <w:rFonts w:asciiTheme="minorHAnsi" w:hAnsiTheme="minorHAnsi" w:cs="Calibri"/>
              </w:rPr>
              <w:br/>
              <w:t>teljeskörű</w:t>
            </w:r>
          </w:p>
        </w:tc>
        <w:tc>
          <w:tcPr>
            <w:tcW w:w="2836" w:type="dxa"/>
          </w:tcPr>
          <w:p w14:paraId="079985A9"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Nem helyreállítható/</w:t>
            </w:r>
            <w:r w:rsidRPr="00E45723">
              <w:rPr>
                <w:rFonts w:ascii="Arial" w:hAnsi="Arial" w:cs="Arial"/>
              </w:rPr>
              <w:t>​</w:t>
            </w:r>
            <w:r w:rsidRPr="00E45723">
              <w:rPr>
                <w:rFonts w:asciiTheme="minorHAnsi" w:hAnsiTheme="minorHAnsi" w:cs="Calibri"/>
              </w:rPr>
              <w:t>visszaford</w:t>
            </w:r>
            <w:r w:rsidRPr="00E45723">
              <w:rPr>
                <w:rFonts w:cs="Aptos"/>
              </w:rPr>
              <w:t>í</w:t>
            </w:r>
            <w:r w:rsidRPr="00E45723">
              <w:rPr>
                <w:rFonts w:asciiTheme="minorHAnsi" w:hAnsiTheme="minorHAnsi" w:cs="Calibri"/>
              </w:rPr>
              <w:t>thatatlan</w:t>
            </w:r>
          </w:p>
        </w:tc>
        <w:tc>
          <w:tcPr>
            <w:tcW w:w="1962" w:type="dxa"/>
          </w:tcPr>
          <w:p w14:paraId="27A9600A" w14:textId="7FFB4A10"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Szinte biztosan előfordul/aktuális</w:t>
            </w:r>
          </w:p>
        </w:tc>
      </w:tr>
    </w:tbl>
    <w:p w14:paraId="5E06440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dimenziók mentén elért pontszámok alapján egy-egy hatás legfeljebb 25 pontot érhetett el. Az operatív menedzsment döntése, illetve iparági gyakorlatok alapján a lényegességi küszöbérték az elérhető 25 pontból 15 pontban került meghatározásra, ami 60%-os szintnek felel meg.</w:t>
      </w:r>
    </w:p>
    <w:p w14:paraId="316D510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[53 ESRS 2 bek. 53 c) i.] A vállalatcsoport a kettős lényegességi elemzés során a fenntarthatósági </w:t>
      </w:r>
      <w:r w:rsidRPr="00E45723">
        <w:rPr>
          <w:rStyle w:val="Strong"/>
          <w:rFonts w:asciiTheme="minorHAnsi" w:hAnsiTheme="minorHAnsi" w:cs="Calibri"/>
          <w:b w:val="0"/>
          <w:bCs w:val="0"/>
        </w:rPr>
        <w:t>hatások</w:t>
      </w:r>
      <w:r w:rsidRPr="00E45723">
        <w:rPr>
          <w:rFonts w:asciiTheme="minorHAnsi" w:hAnsiTheme="minorHAnsi" w:cs="Calibri"/>
        </w:rPr>
        <w:t xml:space="preserve"> (impact) és </w:t>
      </w:r>
      <w:r w:rsidRPr="00E45723">
        <w:rPr>
          <w:rStyle w:val="Strong"/>
          <w:rFonts w:asciiTheme="minorHAnsi" w:hAnsiTheme="minorHAnsi" w:cs="Calibri"/>
          <w:b w:val="0"/>
          <w:bCs w:val="0"/>
        </w:rPr>
        <w:t>függőségek</w:t>
      </w:r>
      <w:r w:rsidRPr="00E45723">
        <w:rPr>
          <w:rFonts w:asciiTheme="minorHAnsi" w:hAnsiTheme="minorHAnsi" w:cs="Calibri"/>
        </w:rPr>
        <w:t xml:space="preserve"> (dependency) értékelését szisztematikusan összekapcsolta az ezekből eredő </w:t>
      </w:r>
      <w:r w:rsidRPr="00E45723">
        <w:rPr>
          <w:rStyle w:val="Strong"/>
          <w:rFonts w:asciiTheme="minorHAnsi" w:hAnsiTheme="minorHAnsi" w:cs="Calibri"/>
          <w:b w:val="0"/>
          <w:bCs w:val="0"/>
        </w:rPr>
        <w:t>kockázatok és lehetőségek</w:t>
      </w:r>
      <w:r w:rsidRPr="00E45723">
        <w:rPr>
          <w:rFonts w:asciiTheme="minorHAnsi" w:hAnsiTheme="minorHAnsi" w:cs="Calibri"/>
        </w:rPr>
        <w:t xml:space="preserve"> azonosításával. Ennek keretében a Társaság vizsgálta, hogy egyes tevékenységek, üzleti döntések vagy értéklánc-kapcsolatok nem kizárólag egyetlen fenntarthatósági témakört érintenek, hanem több ESRS-témában is tovagyűrűző hatásokat, illetve kapcsolódó kockázatokat vagy lehetőségeket eredményeznek. A „kereszt-hatások” és függőségi összefüggések figyelembevételével a Társaság biztosította, hogy a releváns témák lényegessége ne kerüljön alulértékelésre, és a kockázatok és lehetőségek értékelése teljeskörűen megtörténjen.</w:t>
      </w:r>
    </w:p>
    <w:p w14:paraId="49CB77F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 xml:space="preserve">A folyamat logikája szerint minden lényeges témánál külön rögzítésre került: (1) mi a közvetlen/indirekt hatás, (2) milyen erőforrás-, piaci vagy működési függőség kapcsolódik hozzá (pl. energia, víz, munkaerő, adatok/IT rendszerek, beszállítók), és (3) ezek hogyan fordíthatók le pénzügyi/működési/reputációs kockázatokká és üzleti lehetőségekké. A kapcsolatok feltárása során a Társaság külön figyelmet fordított a szolgáltatói működés sajátosságaira (non-stop rendelkezésre állás, sok helyszín, erős ügyféligény-függés), valamint arra, hogy a környezeti és társadalmi kitettségek gyakran ugyanazon folyamatokból erednek (pl. vegyszerhasználat egyszerre E2 és S1/S2). A függőségek és hatások együtt értékelése a prioritások kijelölésében is megjelenik: ahol a hatás súlyossága </w:t>
      </w:r>
      <w:r w:rsidRPr="00E45723">
        <w:rPr>
          <w:rStyle w:val="Strong"/>
          <w:rFonts w:asciiTheme="minorHAnsi" w:hAnsiTheme="minorHAnsi" w:cs="Calibri"/>
        </w:rPr>
        <w:t>és</w:t>
      </w:r>
      <w:r w:rsidRPr="00E45723">
        <w:rPr>
          <w:rFonts w:asciiTheme="minorHAnsi" w:hAnsiTheme="minorHAnsi" w:cs="Calibri"/>
        </w:rPr>
        <w:t xml:space="preserve"> a működési függőség erős, ott a kockázat/üzleti lehetőség értékelése magasabb hangsúlyt kap, és a kapcsolódó intézkedések (technológiai, folyamat-, képzési, beszállítói) célzottabban kerülnek meghatározásra.</w:t>
      </w:r>
    </w:p>
    <w:p w14:paraId="1DC68F42"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Példák a hatások, függőségek és az ezekből eredő kockázatok/lehetőségek kapcsolatára</w:t>
      </w:r>
    </w:p>
    <w:p w14:paraId="65729DDB"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Energiafelhasználás (E1) – költségkitettség és ellátásbiztonsági függőség:</w:t>
      </w:r>
      <w:r w:rsidRPr="00E45723">
        <w:rPr>
          <w:rFonts w:asciiTheme="minorHAnsi" w:hAnsiTheme="minorHAnsi" w:cs="Calibri"/>
        </w:rPr>
        <w:t xml:space="preserve"> Az épületüzemeltetés és szolgáltatásnyújtás energiaigénye egyszerre jelent környezeti hatást (ÜHG-kibocsátás) és pénzügyi kitettséget az energiaárak, valamint az ellátásbiztonság változásai felé. Az energiahatékonysági intézkedések így klímavédelmi hatásuk mellett költségcsökkentési és működési stabilitást javító lehetőséget is jelentenek (pl. megbízhatóbb üzem, kisebb kitettség az ár- és ellátási sokkoknak).</w:t>
      </w:r>
    </w:p>
    <w:p w14:paraId="791ED450"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Szennyezés és veszélyes anyagok kezelése (E2) – munkavállalói egészség és biztonság (S1/S2):</w:t>
      </w:r>
      <w:r w:rsidRPr="00E45723">
        <w:rPr>
          <w:rFonts w:asciiTheme="minorHAnsi" w:hAnsiTheme="minorHAnsi" w:cs="Calibri"/>
        </w:rPr>
        <w:t xml:space="preserve"> A takarítási és karbantartási tevékenységek során alkalmazott vegyi anyagok és a kapcsolódó kezelési/tárolási gyakorlatok környezeti szennyezési kockázatot hordozhatnak, miközben közvetlenül érinthetik a munkavállalók (saját és alvállalkozói) egészségét és munkabiztonságát is. A megelőző intézkedések és kontrollok (képzés, protokollok, védőeszköz, biztonságosabb alternatívák) egyszerre csökkenthetik a környezeti és munkavédelmi kockázatokat, és mérsékelhetik a jogi/reputációs kitettséget.</w:t>
      </w:r>
    </w:p>
    <w:p w14:paraId="2EC407A3" w14:textId="0B94870A"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Vízhasználat és vízhez kapcsolódó hatások (E3) – működési függőségek:</w:t>
      </w:r>
      <w:r w:rsidRPr="00E45723">
        <w:rPr>
          <w:rFonts w:asciiTheme="minorHAnsi" w:hAnsiTheme="minorHAnsi" w:cs="Calibri"/>
        </w:rPr>
        <w:t xml:space="preserve"> A vízfelhasználás és a vízminőséggel kapcsolatos szempontok a szolgáltatások folyamatos biztosítása szempontjából is függőséget jelentenek (különösen vízigényes tevékenységeknél). </w:t>
      </w:r>
      <w:r w:rsidR="00595D0D" w:rsidRPr="00E45723">
        <w:rPr>
          <w:rFonts w:asciiTheme="minorHAnsi" w:hAnsiTheme="minorHAnsi" w:cs="Calibri"/>
        </w:rPr>
        <w:br/>
      </w:r>
      <w:r w:rsidRPr="00E45723">
        <w:rPr>
          <w:rFonts w:asciiTheme="minorHAnsi" w:hAnsiTheme="minorHAnsi" w:cs="Calibri"/>
        </w:rPr>
        <w:t>A vízhatékonysági megoldások hozzájárulhatnak a környezeti terhelés mérsékléséhez, valamint a működési kockázatok (költség- és ellátási kitettség) csökkentéséhez.</w:t>
      </w:r>
    </w:p>
    <w:p w14:paraId="3165B462"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Hulladékgazdálkodás és körforgásos működés (E5) – költségek és reputáció:</w:t>
      </w:r>
      <w:r w:rsidRPr="00E45723">
        <w:rPr>
          <w:rFonts w:asciiTheme="minorHAnsi" w:hAnsiTheme="minorHAnsi" w:cs="Calibri"/>
        </w:rPr>
        <w:t xml:space="preserve"> A telephelyi és ügyféloldali szolgáltatások során keletkező hulladék mennyisége és kezelése körforgásos gazdasági kérdésként jelenik meg, ugyanakkor összefügg a költséghatékonysággal és az ügyfélelvárások teljesítésével is. A hulladékcsökkentési és szelektív gyűjtési megoldások egyszerre javíthatják a környezeti teljesítményt és mérsékelhetik a hulladékkezelésből eredő pénzügyi és reputációs kockázatokat.</w:t>
      </w:r>
    </w:p>
    <w:p w14:paraId="648BF381" w14:textId="77777777" w:rsidR="00F91752" w:rsidRPr="00E45723" w:rsidRDefault="00F91752" w:rsidP="00086AFB">
      <w:pPr>
        <w:ind w:left="720"/>
        <w:rPr>
          <w:rFonts w:asciiTheme="minorHAnsi" w:hAnsiTheme="minorHAnsi" w:cs="Calibri"/>
        </w:rPr>
      </w:pPr>
    </w:p>
    <w:p w14:paraId="25C5E7F9"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Saját munkaerő (S1) – szolgáltatásminőség és üzletmenet-folytonosság:</w:t>
      </w:r>
      <w:r w:rsidRPr="00E45723">
        <w:rPr>
          <w:rFonts w:asciiTheme="minorHAnsi" w:hAnsiTheme="minorHAnsi" w:cs="Calibri"/>
        </w:rPr>
        <w:t xml:space="preserve"> A munkavállalók egészsége, biztonsága, képzése és megtartása közvetlen társadalmi hatás, ugyanakkor a munkaerőhiány, fluktuáció vagy balesetek működési és pénzügyi kockázatot is jelentenek (szolgáltatáskimaradás, minőségi incidensek, többletköltségek). A munkahelyi egészségvédelmi és fejlesztési intézkedések ezzel szemben a szolgáltatás minőségének és stabilitásának javításán keresztül üzleti lehetőséget teremthetnek.</w:t>
      </w:r>
    </w:p>
    <w:p w14:paraId="3461032A"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Értékláncban érintett munkavállalók (S2) – megfelelőségi és működési kockázatok:</w:t>
      </w:r>
      <w:r w:rsidRPr="00E45723">
        <w:rPr>
          <w:rFonts w:asciiTheme="minorHAnsi" w:hAnsiTheme="minorHAnsi" w:cs="Calibri"/>
        </w:rPr>
        <w:t xml:space="preserve"> A beszállítók és alvállalkozók munkakörülményei, valamint a munkavédelmi és szakmai </w:t>
      </w:r>
      <w:r w:rsidRPr="00E45723">
        <w:rPr>
          <w:rFonts w:asciiTheme="minorHAnsi" w:hAnsiTheme="minorHAnsi" w:cs="Calibri"/>
        </w:rPr>
        <w:lastRenderedPageBreak/>
        <w:t>megfelelőség hiányosságai társadalmi kockázatot jelentenek, emellett a szolgáltatás teljesítésére, minőségére és a jogszabályi megfelelésre is hatással lehetnek. A beszállítói/alvállalkozói elvárások és kontrollok erősítése (pl. auditok, compliance ellenőrzések) csökkentheti ezeket a kockázatokat, és stabilabb teljesítést eredményezhet.</w:t>
      </w:r>
    </w:p>
    <w:p w14:paraId="08C33595"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Ügyfelek és végfelhasználók (S4) – adatbiztonság és bizalom (G1):</w:t>
      </w:r>
      <w:r w:rsidRPr="00E45723">
        <w:rPr>
          <w:rFonts w:asciiTheme="minorHAnsi" w:hAnsiTheme="minorHAnsi" w:cs="Calibri"/>
        </w:rPr>
        <w:t xml:space="preserve"> A digitális rendszerek és üzemeltetési adatok kezelése információbiztonsági és adatvédelmi függőséget eredményez. Egy esetleges incidens irányítási és megfelelőségi kockázat mellett reputációs és pénzügyi hatással is járhat, míg a kontrollok fejlesztése hozzájárulhat az ügyfélbizalom erősítéséhez és a szerződéses kapcsolatok stabilitásához.</w:t>
      </w:r>
    </w:p>
    <w:p w14:paraId="43EB4801" w14:textId="77777777" w:rsidR="00BD159D" w:rsidRPr="00E45723" w:rsidRDefault="00FD7771" w:rsidP="00FD7771">
      <w:pPr>
        <w:numPr>
          <w:ilvl w:val="0"/>
          <w:numId w:val="8"/>
        </w:numPr>
        <w:suppressAutoHyphens/>
        <w:rPr>
          <w:rFonts w:asciiTheme="minorHAnsi" w:hAnsiTheme="minorHAnsi" w:cs="Calibri"/>
        </w:rPr>
      </w:pPr>
      <w:r w:rsidRPr="00E45723">
        <w:rPr>
          <w:rStyle w:val="Strong"/>
          <w:rFonts w:asciiTheme="minorHAnsi" w:hAnsiTheme="minorHAnsi" w:cs="Calibri"/>
        </w:rPr>
        <w:t>Üzleti magatartás (G1) – partneri kapcsolatok és reputáció:</w:t>
      </w:r>
      <w:r w:rsidRPr="00E45723">
        <w:rPr>
          <w:rFonts w:asciiTheme="minorHAnsi" w:hAnsiTheme="minorHAnsi" w:cs="Calibri"/>
        </w:rPr>
        <w:t xml:space="preserve"> Az etikus működés, a korrupcióellenes elvárások és a szerződéses megfelelőség alapvető tényezők a Társaság üzleti kapcsolataiban. E terület gyengesége reputációs, jogi és pénzügyi kockázatot jelenthet, míg a transzparens és szabályozott működés a hosszú távú partneri stabilitást és üzleti lehetőségeket támogatja.</w:t>
      </w:r>
    </w:p>
    <w:p w14:paraId="34363504" w14:textId="77777777" w:rsidR="00BD159D" w:rsidRPr="00E45723" w:rsidRDefault="00FD7771" w:rsidP="00FD7771">
      <w:pPr>
        <w:numPr>
          <w:ilvl w:val="0"/>
          <w:numId w:val="8"/>
        </w:numPr>
        <w:rPr>
          <w:rFonts w:asciiTheme="minorHAnsi" w:hAnsiTheme="minorHAnsi" w:cs="Calibri"/>
        </w:rPr>
      </w:pPr>
      <w:r w:rsidRPr="00E45723">
        <w:rPr>
          <w:rStyle w:val="Strong"/>
          <w:rFonts w:asciiTheme="minorHAnsi" w:hAnsiTheme="minorHAnsi" w:cs="Calibri"/>
        </w:rPr>
        <w:t>Klímaváltozás (E1) – működési sérülékenység és humán kitettség:</w:t>
      </w:r>
      <w:r w:rsidRPr="00E45723">
        <w:rPr>
          <w:rFonts w:asciiTheme="minorHAnsi" w:hAnsiTheme="minorHAnsi" w:cs="Calibri"/>
        </w:rPr>
        <w:t xml:space="preserve"> A szélsőséges időjárási jelenségek és hőstressz egyszerre érintheti a szolgáltatások folytonosságát (pl. logisztika, helyszíni munkavégzés, műszaki meghibásodások kockázata) és a munkavállalói egészségvédelmet. A felkészülési intézkedések (munkaszervezés, megelőzés, védőintézkedések) ezért egy időben csökkenthetnek E1-hez kapcsolódó működési kockázatot és S1/S2 jellegű humán kitettséget.</w:t>
      </w:r>
    </w:p>
    <w:p w14:paraId="1E9CAE7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Összességében a Társaság a hatások és függőségek kapcsolatrendszerét úgy értelmezte, mint egy „ok–okozat–függőség” láncot: a környezeti és társadalmi hatások nem önmagukban kerültek értékelésre, hanem a működési és értéklánc-függőségekkel együtt, így a belőlük eredő kockázatok és lehetőségek következetesen, több ESRS-témára kiterjedően, teljesebb képet adva kerültek azonosításra és priorizálásra.</w:t>
      </w:r>
    </w:p>
    <w:p w14:paraId="7BDD3D0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[53 ESRS 2 bek. 53 c)] A pénzügyi hatással járó kockázatok és lehetőségek azonosítása, értékelése, rangsorolása és nyomon követése az ESRS 2 53. b) bekezdésében bemutatott folyamattal összhangban történt.</w:t>
      </w:r>
    </w:p>
    <w:p w14:paraId="717A3749"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Vállalat a pénzügyi lényegesség értékelésére kialakított módszertanában két fő dimenzió mentén vizsgálja az egyes fenntarthatósági tényezőket: a várható pénzügyi hatás nagyságrendje, valamint a bekövetkezés valószínűsége. Ez a megközelítés támogatja annak meghatározását, hogy az adott fenntarthatósági tényező milyen mértékű pénzügyi kockázatot vagy lehetőséget jelenthet a Vállalat számára. </w:t>
      </w:r>
    </w:p>
    <w:p w14:paraId="78A7E952" w14:textId="6F940EDF"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pénzügyi hatások értékelése során a Vállalat kiemelten az alábbi négy területre gyakorolt lehetséges hatásokat veszi figyelembe: </w:t>
      </w:r>
    </w:p>
    <w:p w14:paraId="5CAEEE1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Pénzügyi teljesítmény (árbevétel, eredmény), </w:t>
      </w:r>
    </w:p>
    <w:p w14:paraId="3DF0D993"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Pénzügyi helyzet (eszközök, kötelezettségek), </w:t>
      </w:r>
    </w:p>
    <w:p w14:paraId="5BD7A17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Cash flow, </w:t>
      </w:r>
    </w:p>
    <w:p w14:paraId="7A5AFE04" w14:textId="77777777" w:rsidR="00BD159D" w:rsidRPr="00E45723" w:rsidRDefault="00FD7771" w:rsidP="00FD7771">
      <w:pPr>
        <w:numPr>
          <w:ilvl w:val="0"/>
          <w:numId w:val="8"/>
        </w:numPr>
        <w:suppressAutoHyphens/>
        <w:rPr>
          <w:rFonts w:asciiTheme="minorHAnsi" w:hAnsiTheme="minorHAnsi" w:cs="Calibri"/>
          <w:b/>
          <w:bCs/>
        </w:rPr>
      </w:pPr>
      <w:r w:rsidRPr="00E45723">
        <w:rPr>
          <w:rFonts w:asciiTheme="minorHAnsi" w:hAnsiTheme="minorHAnsi" w:cs="Calibri"/>
        </w:rPr>
        <w:t>Tőkeköltség.</w:t>
      </w:r>
    </w:p>
    <w:tbl>
      <w:tblPr>
        <w:tblStyle w:val="Table"/>
        <w:tblW w:w="8848" w:type="dxa"/>
        <w:tblLayout w:type="fixed"/>
        <w:tblLook w:val="0020" w:firstRow="1" w:lastRow="0" w:firstColumn="0" w:lastColumn="0" w:noHBand="0" w:noVBand="0"/>
      </w:tblPr>
      <w:tblGrid>
        <w:gridCol w:w="1297"/>
        <w:gridCol w:w="4118"/>
        <w:gridCol w:w="3433"/>
      </w:tblGrid>
      <w:tr w:rsidR="00BD159D" w:rsidRPr="00E45723" w14:paraId="1362CF52" w14:textId="77777777" w:rsidTr="005A4858">
        <w:trPr>
          <w:cnfStyle w:val="100000000000" w:firstRow="1" w:lastRow="0" w:firstColumn="0" w:lastColumn="0" w:oddVBand="0" w:evenVBand="0" w:oddHBand="0" w:evenHBand="0" w:firstRowFirstColumn="0" w:firstRowLastColumn="0" w:lastRowFirstColumn="0" w:lastRowLastColumn="0"/>
        </w:trPr>
        <w:tc>
          <w:tcPr>
            <w:tcW w:w="1297" w:type="dxa"/>
          </w:tcPr>
          <w:p w14:paraId="0FCFD5D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Style w:val="Strong"/>
                <w:rFonts w:asciiTheme="minorHAnsi" w:hAnsiTheme="minorHAnsi" w:cs="Calibri"/>
              </w:rPr>
              <w:t>Dimenzió</w:t>
            </w:r>
          </w:p>
        </w:tc>
        <w:tc>
          <w:tcPr>
            <w:tcW w:w="4118" w:type="dxa"/>
          </w:tcPr>
          <w:p w14:paraId="334B72A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Style w:val="Strong"/>
                <w:rFonts w:asciiTheme="minorHAnsi" w:hAnsiTheme="minorHAnsi" w:cs="Calibri"/>
              </w:rPr>
              <w:t>Pénzügyi hatás</w:t>
            </w:r>
          </w:p>
        </w:tc>
        <w:tc>
          <w:tcPr>
            <w:tcW w:w="3433" w:type="dxa"/>
          </w:tcPr>
          <w:p w14:paraId="707A001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Style w:val="Strong"/>
                <w:rFonts w:asciiTheme="minorHAnsi" w:hAnsiTheme="minorHAnsi" w:cs="Calibri"/>
              </w:rPr>
              <w:t>Valószínűség</w:t>
            </w:r>
          </w:p>
        </w:tc>
      </w:tr>
      <w:tr w:rsidR="00BD159D" w:rsidRPr="00E45723" w14:paraId="22493177" w14:textId="77777777" w:rsidTr="005A4858">
        <w:tc>
          <w:tcPr>
            <w:tcW w:w="1297" w:type="dxa"/>
          </w:tcPr>
          <w:p w14:paraId="50B8499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0</w:t>
            </w:r>
          </w:p>
        </w:tc>
        <w:tc>
          <w:tcPr>
            <w:tcW w:w="4118" w:type="dxa"/>
          </w:tcPr>
          <w:p w14:paraId="48EC06A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Nincs pénzügyi hatás</w:t>
            </w:r>
          </w:p>
        </w:tc>
        <w:tc>
          <w:tcPr>
            <w:tcW w:w="3433" w:type="dxa"/>
            <w:vAlign w:val="center"/>
          </w:tcPr>
          <w:p w14:paraId="21C87550"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Szinte soha nem fordul elő</w:t>
            </w:r>
          </w:p>
        </w:tc>
      </w:tr>
      <w:tr w:rsidR="00BD159D" w:rsidRPr="00E45723" w14:paraId="70A36EFE" w14:textId="77777777" w:rsidTr="005A4858">
        <w:tc>
          <w:tcPr>
            <w:tcW w:w="1297" w:type="dxa"/>
          </w:tcPr>
          <w:p w14:paraId="6CFB6CE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1</w:t>
            </w:r>
          </w:p>
        </w:tc>
        <w:tc>
          <w:tcPr>
            <w:tcW w:w="4118" w:type="dxa"/>
            <w:vAlign w:val="center"/>
          </w:tcPr>
          <w:p w14:paraId="048EEA5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Kevesebb, mint  &lt; 0,01% az árbevételnek</w:t>
            </w:r>
          </w:p>
        </w:tc>
        <w:tc>
          <w:tcPr>
            <w:tcW w:w="3433" w:type="dxa"/>
            <w:vAlign w:val="center"/>
          </w:tcPr>
          <w:p w14:paraId="79C0B31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Ritkán fordul elő</w:t>
            </w:r>
          </w:p>
        </w:tc>
      </w:tr>
      <w:tr w:rsidR="00BD159D" w:rsidRPr="00E45723" w14:paraId="0B5B80B7" w14:textId="77777777" w:rsidTr="005A4858">
        <w:tc>
          <w:tcPr>
            <w:tcW w:w="1297" w:type="dxa"/>
          </w:tcPr>
          <w:p w14:paraId="48E5E701"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lastRenderedPageBreak/>
              <w:t>2</w:t>
            </w:r>
          </w:p>
        </w:tc>
        <w:tc>
          <w:tcPr>
            <w:tcW w:w="4118" w:type="dxa"/>
          </w:tcPr>
          <w:p w14:paraId="36DBFE63"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Közepes &gt; 0,01% az árbevételnek</w:t>
            </w:r>
          </w:p>
        </w:tc>
        <w:tc>
          <w:tcPr>
            <w:tcW w:w="3433" w:type="dxa"/>
          </w:tcPr>
          <w:p w14:paraId="30BADA7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Néha előfordul</w:t>
            </w:r>
          </w:p>
        </w:tc>
      </w:tr>
      <w:tr w:rsidR="00BD159D" w:rsidRPr="00E45723" w14:paraId="6D2B67DD" w14:textId="77777777" w:rsidTr="005A4858">
        <w:tc>
          <w:tcPr>
            <w:tcW w:w="1297" w:type="dxa"/>
          </w:tcPr>
          <w:p w14:paraId="5065A786"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3</w:t>
            </w:r>
          </w:p>
        </w:tc>
        <w:tc>
          <w:tcPr>
            <w:tcW w:w="4118" w:type="dxa"/>
          </w:tcPr>
          <w:p w14:paraId="66D89E9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Komoly &gt; 0,1% az árbevételnek</w:t>
            </w:r>
          </w:p>
        </w:tc>
        <w:tc>
          <w:tcPr>
            <w:tcW w:w="3433" w:type="dxa"/>
          </w:tcPr>
          <w:p w14:paraId="1F49CC3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Inkább előfordul, mint nem</w:t>
            </w:r>
          </w:p>
        </w:tc>
      </w:tr>
      <w:tr w:rsidR="00BD159D" w:rsidRPr="00E45723" w14:paraId="235220E4" w14:textId="77777777" w:rsidTr="005A4858">
        <w:tc>
          <w:tcPr>
            <w:tcW w:w="1297" w:type="dxa"/>
          </w:tcPr>
          <w:p w14:paraId="353C70F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4</w:t>
            </w:r>
          </w:p>
        </w:tc>
        <w:tc>
          <w:tcPr>
            <w:tcW w:w="4118" w:type="dxa"/>
          </w:tcPr>
          <w:p w14:paraId="6AC75C5F"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Nagyon jelentős &gt;0, 5% az árbevételnek</w:t>
            </w:r>
          </w:p>
        </w:tc>
        <w:tc>
          <w:tcPr>
            <w:tcW w:w="3433" w:type="dxa"/>
          </w:tcPr>
          <w:p w14:paraId="7D2F86C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Gyakran előfordul</w:t>
            </w:r>
          </w:p>
        </w:tc>
      </w:tr>
      <w:tr w:rsidR="00BD159D" w:rsidRPr="00E45723" w14:paraId="595D24BF" w14:textId="77777777" w:rsidTr="005A4858">
        <w:tc>
          <w:tcPr>
            <w:tcW w:w="1297" w:type="dxa"/>
          </w:tcPr>
          <w:p w14:paraId="20C47EE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5</w:t>
            </w:r>
          </w:p>
        </w:tc>
        <w:tc>
          <w:tcPr>
            <w:tcW w:w="4118" w:type="dxa"/>
          </w:tcPr>
          <w:p w14:paraId="2D4546F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Katasztrófális &gt; 1% az árbevételnek</w:t>
            </w:r>
          </w:p>
        </w:tc>
        <w:tc>
          <w:tcPr>
            <w:tcW w:w="3433" w:type="dxa"/>
          </w:tcPr>
          <w:p w14:paraId="55C09D3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rPr>
            </w:pPr>
            <w:r w:rsidRPr="00E45723">
              <w:rPr>
                <w:rFonts w:asciiTheme="minorHAnsi" w:hAnsiTheme="minorHAnsi" w:cs="Calibri"/>
              </w:rPr>
              <w:t>Szinte biztosan előfordul/</w:t>
            </w:r>
            <w:r w:rsidRPr="00E45723">
              <w:rPr>
                <w:rFonts w:ascii="Arial" w:hAnsi="Arial" w:cs="Arial"/>
              </w:rPr>
              <w:t>​</w:t>
            </w:r>
            <w:r w:rsidRPr="00E45723">
              <w:rPr>
                <w:rFonts w:asciiTheme="minorHAnsi" w:hAnsiTheme="minorHAnsi" w:cs="Calibri"/>
              </w:rPr>
              <w:t>aktu</w:t>
            </w:r>
            <w:r w:rsidRPr="00E45723">
              <w:rPr>
                <w:rFonts w:cs="Aptos"/>
              </w:rPr>
              <w:t>á</w:t>
            </w:r>
            <w:r w:rsidRPr="00E45723">
              <w:rPr>
                <w:rFonts w:asciiTheme="minorHAnsi" w:hAnsiTheme="minorHAnsi" w:cs="Calibri"/>
              </w:rPr>
              <w:t>lis</w:t>
            </w:r>
          </w:p>
        </w:tc>
      </w:tr>
    </w:tbl>
    <w:p w14:paraId="65578954" w14:textId="77777777" w:rsidR="00BD159D" w:rsidRPr="00E45723" w:rsidRDefault="00BD159D">
      <w:pPr>
        <w:suppressAutoHyphens/>
        <w:rPr>
          <w:rFonts w:asciiTheme="minorHAnsi" w:hAnsiTheme="minorHAnsi" w:cs="Calibri"/>
        </w:rPr>
      </w:pPr>
    </w:p>
    <w:p w14:paraId="6A3C4277"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A fenntarthatósággal kapcsolatos kockázatok más típusú kockázatokhoz viszonyított rangsorolásának leírása</w:t>
      </w:r>
    </w:p>
    <w:p w14:paraId="24CEBF1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[53 ESRS 2 bek. 53 c) iii., ESRS 2 bek. 53 d)] A LIWO Group gyakorlatában a fenntarthatósági (ESG) kockázatok </w:t>
      </w:r>
      <w:r w:rsidRPr="00E45723">
        <w:rPr>
          <w:rStyle w:val="Strong"/>
          <w:rFonts w:asciiTheme="minorHAnsi" w:hAnsiTheme="minorHAnsi" w:cs="Calibri"/>
          <w:b w:val="0"/>
          <w:bCs w:val="0"/>
        </w:rPr>
        <w:t>nem külön rendszerben</w:t>
      </w:r>
      <w:r w:rsidRPr="00E45723">
        <w:rPr>
          <w:rFonts w:asciiTheme="minorHAnsi" w:hAnsiTheme="minorHAnsi" w:cs="Calibri"/>
        </w:rPr>
        <w:t xml:space="preserve">, hanem az általános vállalati kockázatkezelési keretrendszerrel </w:t>
      </w:r>
      <w:r w:rsidRPr="00E45723">
        <w:rPr>
          <w:rStyle w:val="Strong"/>
          <w:rFonts w:asciiTheme="minorHAnsi" w:hAnsiTheme="minorHAnsi" w:cs="Calibri"/>
          <w:b w:val="0"/>
          <w:bCs w:val="0"/>
        </w:rPr>
        <w:t>azonos módszertan szerint</w:t>
      </w:r>
      <w:r w:rsidRPr="00E45723">
        <w:rPr>
          <w:rFonts w:asciiTheme="minorHAnsi" w:hAnsiTheme="minorHAnsi" w:cs="Calibri"/>
        </w:rPr>
        <w:t xml:space="preserve"> kerülnek értékelésre és priorizálásra, ezért rangsoruk </w:t>
      </w:r>
      <w:r w:rsidRPr="00E45723">
        <w:rPr>
          <w:rStyle w:val="Strong"/>
          <w:rFonts w:asciiTheme="minorHAnsi" w:hAnsiTheme="minorHAnsi" w:cs="Calibri"/>
          <w:b w:val="0"/>
          <w:bCs w:val="0"/>
        </w:rPr>
        <w:t>közvetlenül összevethető</w:t>
      </w:r>
      <w:r w:rsidRPr="00E45723">
        <w:rPr>
          <w:rFonts w:asciiTheme="minorHAnsi" w:hAnsiTheme="minorHAnsi" w:cs="Calibri"/>
        </w:rPr>
        <w:t xml:space="preserve"> a pénzügyi, működési, jogi/compliance és reputációs kockázatokkal.</w:t>
      </w:r>
    </w:p>
    <w:p w14:paraId="2A86033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kockázatok besorolása egységes </w:t>
      </w:r>
      <w:r w:rsidRPr="00E45723">
        <w:rPr>
          <w:rStyle w:val="Strong"/>
          <w:rFonts w:asciiTheme="minorHAnsi" w:hAnsiTheme="minorHAnsi" w:cs="Calibri"/>
          <w:b w:val="0"/>
          <w:bCs w:val="0"/>
        </w:rPr>
        <w:t>hatás × valószínűség</w:t>
      </w:r>
      <w:r w:rsidRPr="00E45723">
        <w:rPr>
          <w:rFonts w:asciiTheme="minorHAnsi" w:hAnsiTheme="minorHAnsi" w:cs="Calibri"/>
        </w:rPr>
        <w:t xml:space="preserve"> alapú minősítéssel történik (pl. kritikus/fokozott/alacsony), így egy ESG-kockázat ugyanazon skálán kap prioritást, mint bármely más üzleti kockázat.</w:t>
      </w:r>
    </w:p>
    <w:p w14:paraId="723531DC"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rPr>
        <w:t xml:space="preserve">A magas besorolású kockázatoknál (függetlenül attól, hogy ESG vagy nem ESG) a rendszer </w:t>
      </w:r>
      <w:r w:rsidRPr="00E45723">
        <w:rPr>
          <w:rStyle w:val="Strong"/>
          <w:rFonts w:asciiTheme="minorHAnsi" w:hAnsiTheme="minorHAnsi" w:cs="Calibri"/>
          <w:b w:val="0"/>
          <w:bCs w:val="0"/>
        </w:rPr>
        <w:t>vezetői döntési pontot</w:t>
      </w:r>
      <w:r w:rsidRPr="00E45723">
        <w:rPr>
          <w:rFonts w:asciiTheme="minorHAnsi" w:hAnsiTheme="minorHAnsi" w:cs="Calibri"/>
          <w:b/>
          <w:bCs/>
        </w:rPr>
        <w:t xml:space="preserve"> </w:t>
      </w:r>
      <w:r w:rsidRPr="00E45723">
        <w:rPr>
          <w:rFonts w:asciiTheme="minorHAnsi" w:hAnsiTheme="minorHAnsi" w:cs="Calibri"/>
        </w:rPr>
        <w:t>és jellemzően</w:t>
      </w:r>
      <w:r w:rsidRPr="00E45723">
        <w:rPr>
          <w:rFonts w:asciiTheme="minorHAnsi" w:hAnsiTheme="minorHAnsi" w:cs="Calibri"/>
          <w:b/>
          <w:bCs/>
        </w:rPr>
        <w:t xml:space="preserve"> </w:t>
      </w:r>
      <w:r w:rsidRPr="00E45723">
        <w:rPr>
          <w:rStyle w:val="Strong"/>
          <w:rFonts w:asciiTheme="minorHAnsi" w:hAnsiTheme="minorHAnsi" w:cs="Calibri"/>
          <w:b w:val="0"/>
          <w:bCs w:val="0"/>
        </w:rPr>
        <w:t>intézkedési tervet</w:t>
      </w:r>
      <w:r w:rsidRPr="00E45723">
        <w:rPr>
          <w:rFonts w:asciiTheme="minorHAnsi" w:hAnsiTheme="minorHAnsi" w:cs="Calibri"/>
          <w:b/>
          <w:bCs/>
        </w:rPr>
        <w:t xml:space="preserve"> </w:t>
      </w:r>
      <w:r w:rsidRPr="00E45723">
        <w:rPr>
          <w:rFonts w:asciiTheme="minorHAnsi" w:hAnsiTheme="minorHAnsi" w:cs="Calibri"/>
        </w:rPr>
        <w:t>rendel, ami a kezelési sorrendben a tényleges prioritást meghatározza.</w:t>
      </w:r>
    </w:p>
    <w:p w14:paraId="7DC6B49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53 e)] A társaságnál a fenntarthatósági hatások/kockázatok/lehetőségek (IRO-k) azonosítása a DMA eredményeire épül, majd ezek beépülnek a vállalati kockázatkezelési keretrendszerbe: az ESG-kockázatokat ugyanazon vállalati kockázati nyilvántartásban kezelik, és ugyanazon módszertannal értékelik, mint a pénzügyi, működési, jogi vagy reputációs kockázatokat.</w:t>
      </w:r>
    </w:p>
    <w:p w14:paraId="4B09EB0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integráció gyakorlati módja, hogy a kockázatokat egységes hatás × valószínűség alapon minősítik, és a magas besorolású (pl. kritikus/fokozott) kockázatokhoz intézkedési terv és vezetői döntési pont kapcsolódik; a kockázati információk összesítése és vezetői áttekintése rendszeres riportálással történik.</w:t>
      </w:r>
    </w:p>
    <w:p w14:paraId="568A48F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így keletkező kimenetek (kockázati lista, minősítések, akciótervek és azok státusza) felhasználásra kerülnek az átfogó kockázati profil (prioritások és „kockázati térkép”) frissítésére, valamint a kockázatkezelési folyamatok hatékonyságának értékelésére (pl. akciótervek végrehajtása és visszamérése, szükség esetén módosítások elrendelése).</w:t>
      </w:r>
    </w:p>
    <w:p w14:paraId="121E8C1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53 f)] A kettős lényegességi elemzés során nemcsak a kockázatokat, hanem a működésből és értékláncból fakadó, pénzügyi vagy működési előnnyel járó lehetőségeket is feltárjuk. Ezek feltérképezése ugyanazon módszertan szerint történik, mint a kockázatoké: belső interjúk, értéklánc</w:t>
      </w:r>
      <w:r w:rsidRPr="00E45723">
        <w:rPr>
          <w:rFonts w:asciiTheme="minorHAnsi" w:hAnsiTheme="minorHAnsi" w:cs="Calibri"/>
        </w:rPr>
        <w:noBreakHyphen/>
        <w:t>elemzés, operációs adatok és érdekelt felek visszajelzései alapján, a szolgáltatási tevékenységekre és a partneri körre fókuszálva. A LIWO számára a lehetőségek jellemzően az automatizációban, a takarítási és higiéniai folyamatok robotizálásában, a működési hatékonyságot növelő digitalizált rendszerekben, a fogyóanyag</w:t>
      </w:r>
      <w:r w:rsidRPr="00E45723">
        <w:rPr>
          <w:rFonts w:asciiTheme="minorHAnsi" w:hAnsiTheme="minorHAnsi" w:cs="Calibri"/>
        </w:rPr>
        <w:noBreakHyphen/>
        <w:t xml:space="preserve"> és vegyszerfelhasználás optimalizálásában, valamint az alvállalkozói együttműködések fejlesztésében jelennek meg. </w:t>
      </w:r>
    </w:p>
    <w:p w14:paraId="38F03B9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feltárt lehetőségek értékelése nem különálló ESG</w:t>
      </w:r>
      <w:r w:rsidRPr="00E45723">
        <w:rPr>
          <w:rFonts w:asciiTheme="minorHAnsi" w:hAnsiTheme="minorHAnsi" w:cs="Calibri"/>
        </w:rPr>
        <w:noBreakHyphen/>
        <w:t xml:space="preserve">folyamat, hanem az éves stratégiai és üzleti tervezés része. A döntéshozatal során a vezetés a lehetőségeket a pénzügyi hatások, a működési teljesítményhez való hozzájárulás, az ügyféloldali minőségjavulás és a fenntarthatósági előnyök szempontjából egyaránt mérlegeli. A stratégiai tervezés keretében kiválasztott lehetőségeket priorizálják, felelős vezetői szintekhez rendelik, majd beépítik az üzletági vagy országos operatív </w:t>
      </w:r>
      <w:r w:rsidRPr="00E45723">
        <w:rPr>
          <w:rFonts w:asciiTheme="minorHAnsi" w:hAnsiTheme="minorHAnsi" w:cs="Calibri"/>
        </w:rPr>
        <w:lastRenderedPageBreak/>
        <w:t>tervekbe. A végrehajtást rendszeres vezetői monitoring kíséri, így a lehetőségek kezelése a LIWO irányítási struktúrájának folyamatosan működő eleme. </w:t>
      </w:r>
    </w:p>
    <w:p w14:paraId="732A303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folyamat integrációjának eredményeként a fenntarthatósági lehetőségek felismerése és hasznosítása nem külön kezdeményezésként működik, hanem a vállalat egészére kiterjedő működési és fejlesztési kultúra része. Ez támogatja a szolgáltatási hatékonyság növelését, az értéklánc stabilitását, a költségek optimalizálását, valamint a hosszú távú, fenntartható növekedést.</w:t>
      </w:r>
    </w:p>
    <w:p w14:paraId="3489C36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53 g)] A Társaság a lényeges hatások, kockázatok és lehetőségek azonosítását és értékelését strukturált, adatvezérelt folyamat keretében végzi, amely a vállalat szolgáltatásalapú működéséhez és több országra kiterjedő operációjához igazodik. A folyamat alapját képező bemeneti paraméterek két fő csoportba sorolhatók: belső működési adatok és külső környezeti források. </w:t>
      </w:r>
    </w:p>
    <w:p w14:paraId="241AB451"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belső adatok között szerepelnek a nagy volumenű takarítási, higiéniai és műszaki üzemeltetési tevékenységekből származó operációs információk, például a munkavédelmi és egészségvédelmi események, a szolgáltatásminőségi mutatók és az egyes szolgáltatási környezetekben (különösen egészségügyi intézményekben) előforduló kockázati helyzetek. A vállalat a HR</w:t>
      </w:r>
      <w:r w:rsidRPr="00E45723">
        <w:rPr>
          <w:rFonts w:asciiTheme="minorHAnsi" w:hAnsiTheme="minorHAnsi" w:cs="Calibri"/>
        </w:rPr>
        <w:noBreakHyphen/>
        <w:t>adatokat – létszám, fluktuáció, hiányzások, képzési részvétel – szintén bemenetként használja, mivel a munkaerő</w:t>
      </w:r>
      <w:r w:rsidRPr="00E45723">
        <w:rPr>
          <w:rFonts w:asciiTheme="minorHAnsi" w:hAnsiTheme="minorHAnsi" w:cs="Calibri"/>
        </w:rPr>
        <w:noBreakHyphen/>
        <w:t>kitettség a működés egyik legfontosabb fenntarthatósági dimenziója. A pénzügyi és üzleti teljesítménymutatók (szerződéses stabilitás, szolgáltatásfolytonosság, kapacitáskihasználás) ugyancsak szerepet játszanak annak megértésében, hogy egy-egy hatás vagy lehetőség milyen módon befolyásolja a vállalat működési ellenállóképességét.</w:t>
      </w:r>
    </w:p>
    <w:p w14:paraId="2F84561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külső források között a folyamat figyelembe veszi a releváns magyar és EU</w:t>
      </w:r>
      <w:r w:rsidRPr="00E45723">
        <w:rPr>
          <w:rFonts w:asciiTheme="minorHAnsi" w:hAnsiTheme="minorHAnsi" w:cs="Calibri"/>
        </w:rPr>
        <w:noBreakHyphen/>
        <w:t>szintű szabályozói követelményeket, a munkavédelmi, egészségügyi és szolgáltatásminőségi előírásokat, valamint az iparági benchmarkokat. A Társaság a beszállítóktól, alvállalkozóktól és ügyfelektől érkező visszajelzéseket – beleértve a szolgáltatásminőségi auditok és ellenőrzések eredményeit – is bemenetként használja, mivel ezek közvetlenül jelzik az értékláncban megjelenő kockázatokat és lehetőségeket. A működési környezetre vonatkozó iparági elemzések, tendenciák és hatósági kommunikációk tovább erősítik a kockázatok és lehetőségek értékelésének kontextusát. </w:t>
      </w:r>
    </w:p>
    <w:p w14:paraId="02E7F2A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paraméterek összehangolt használata lehetővé teszi, hogy a Társaság a fenntarthatósági indikátorokat egységes szerkezetben kövesse, és a kockázatokat, valamint a lehetőségeket időben, adat</w:t>
      </w:r>
      <w:r w:rsidRPr="00E45723">
        <w:rPr>
          <w:rFonts w:asciiTheme="minorHAnsi" w:hAnsiTheme="minorHAnsi" w:cs="Calibri"/>
        </w:rPr>
        <w:noBreakHyphen/>
        <w:t>alapon tudja kezelni. Ez biztosítja, hogy a lényegességi folyamat ne elszigetelten, hanem a vállalat teljes működéséhez illeszkedve támogassa a döntéshozatalt.</w:t>
      </w:r>
    </w:p>
    <w:p w14:paraId="17547D8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53 h)] Mivel a LIWO Cégcsoport ez évben készíti el első önálló fenntarthatósági jelentését, az előző jelentési időszakhoz képest nem tudja meghatározni a változásokat a hatások, kockázatok és lehetőségek azonosítására, értékelésére és kezelésére alkalmazott folyamatokban.</w:t>
      </w:r>
    </w:p>
    <w:p w14:paraId="1F6193B9" w14:textId="77777777" w:rsidR="00BD159D" w:rsidRPr="00E45723" w:rsidRDefault="00FD7771" w:rsidP="00EA3B06">
      <w:pPr>
        <w:pStyle w:val="Heading2"/>
        <w:suppressAutoHyphens/>
        <w:rPr>
          <w:rFonts w:asciiTheme="minorHAnsi" w:hAnsiTheme="minorHAnsi" w:cs="Calibri"/>
        </w:rPr>
      </w:pPr>
      <w:bookmarkStart w:id="29" w:name="_Toc239834916"/>
      <w:r w:rsidRPr="00E45723">
        <w:rPr>
          <w:rFonts w:asciiTheme="minorHAnsi" w:hAnsiTheme="minorHAnsi" w:cs="Calibri"/>
        </w:rPr>
        <w:t>IRO-2 A vállalkozás fenntarthatósági nyilatkozata által lefedett ESRS-ben foglalt közzétételi követelmények</w:t>
      </w:r>
      <w:bookmarkEnd w:id="29"/>
    </w:p>
    <w:p w14:paraId="7D6CD03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egyéb uniós jogszabályokból származó adatpontok listájának közzététele, valamint a fenntarthatósági nyilatkozatban elfoglalt helyükre vonatkozó információk</w:t>
      </w:r>
    </w:p>
    <w:p w14:paraId="527D783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a beszámolási időszakra vonatkozó fenntarthatósági nyilatkozatában nem azonosított olyan közzétételi adatpontot, amelyet az ESRS-en túlmenően más uniós jogszabály külön adatpontként ír elő, és amely külön megfeleltetési táblázat közzétételét tenné szükségessé.</w:t>
      </w:r>
    </w:p>
    <w:p w14:paraId="3278ED4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ESRS közzétételi követelményeinek listájának közzététele, amelyeket a lényegességi értékelés eredménye alapján a fenntarthatósági nyilatkozat elkészítése során betartottak</w:t>
      </w:r>
    </w:p>
    <w:p w14:paraId="6434ACB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ESRS 2 bek. 56.</w:t>
      </w:r>
    </w:p>
    <w:tbl>
      <w:tblPr>
        <w:tblStyle w:val="Table"/>
        <w:tblW w:w="8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60"/>
        <w:gridCol w:w="847"/>
        <w:gridCol w:w="5322"/>
        <w:gridCol w:w="1526"/>
      </w:tblGrid>
      <w:tr w:rsidR="00BD159D" w:rsidRPr="00E45723" w14:paraId="0A3D42C9" w14:textId="77777777" w:rsidTr="005A4858">
        <w:trPr>
          <w:cnfStyle w:val="100000000000" w:firstRow="1" w:lastRow="0" w:firstColumn="0" w:lastColumn="0" w:oddVBand="0" w:evenVBand="0" w:oddHBand="0" w:evenHBand="0" w:firstRowFirstColumn="0" w:firstRowLastColumn="0" w:lastRowFirstColumn="0" w:lastRowLastColumn="0"/>
        </w:trPr>
        <w:tc>
          <w:tcPr>
            <w:tcW w:w="1160" w:type="dxa"/>
            <w:tcBorders>
              <w:bottom w:val="none" w:sz="0" w:space="0" w:color="auto"/>
            </w:tcBorders>
          </w:tcPr>
          <w:p w14:paraId="53D1D69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ESRS standard</w:t>
            </w:r>
          </w:p>
        </w:tc>
        <w:tc>
          <w:tcPr>
            <w:tcW w:w="847" w:type="dxa"/>
            <w:tcBorders>
              <w:bottom w:val="none" w:sz="0" w:space="0" w:color="auto"/>
            </w:tcBorders>
          </w:tcPr>
          <w:p w14:paraId="34226C5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DR</w:t>
            </w:r>
          </w:p>
        </w:tc>
        <w:tc>
          <w:tcPr>
            <w:tcW w:w="5322" w:type="dxa"/>
            <w:tcBorders>
              <w:bottom w:val="none" w:sz="0" w:space="0" w:color="auto"/>
            </w:tcBorders>
          </w:tcPr>
          <w:p w14:paraId="27A25D3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Style w:val="Strong"/>
                <w:rFonts w:asciiTheme="minorHAnsi" w:hAnsiTheme="minorHAnsi" w:cs="Calibri"/>
                <w:sz w:val="20"/>
              </w:rPr>
              <w:t>Közzétételi követelmény</w:t>
            </w:r>
          </w:p>
        </w:tc>
        <w:tc>
          <w:tcPr>
            <w:tcW w:w="1526" w:type="dxa"/>
            <w:tcBorders>
              <w:bottom w:val="none" w:sz="0" w:space="0" w:color="auto"/>
            </w:tcBorders>
          </w:tcPr>
          <w:p w14:paraId="1ADF794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Oldalszám</w:t>
            </w:r>
          </w:p>
        </w:tc>
      </w:tr>
      <w:tr w:rsidR="00BD159D" w:rsidRPr="00E45723" w14:paraId="5B9580F6" w14:textId="77777777" w:rsidTr="005A4858">
        <w:tc>
          <w:tcPr>
            <w:tcW w:w="1160" w:type="dxa"/>
            <w:vMerge w:val="restart"/>
          </w:tcPr>
          <w:p w14:paraId="6B37DB41"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ESRS2</w:t>
            </w:r>
          </w:p>
        </w:tc>
        <w:tc>
          <w:tcPr>
            <w:tcW w:w="847" w:type="dxa"/>
          </w:tcPr>
          <w:p w14:paraId="58E33C5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BP-1</w:t>
            </w:r>
          </w:p>
        </w:tc>
        <w:tc>
          <w:tcPr>
            <w:tcW w:w="5322" w:type="dxa"/>
          </w:tcPr>
          <w:p w14:paraId="208E5C20"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fenntarthatósági nyilatkozat elkészítésének általános alapja</w:t>
            </w:r>
          </w:p>
        </w:tc>
        <w:tc>
          <w:tcPr>
            <w:tcW w:w="1526" w:type="dxa"/>
          </w:tcPr>
          <w:p w14:paraId="107109E6"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CB19D57" w14:textId="77777777" w:rsidTr="005A4858">
        <w:tc>
          <w:tcPr>
            <w:tcW w:w="1160" w:type="dxa"/>
            <w:vMerge/>
          </w:tcPr>
          <w:p w14:paraId="1181575B"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A00E67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BP-2</w:t>
            </w:r>
          </w:p>
        </w:tc>
        <w:tc>
          <w:tcPr>
            <w:tcW w:w="5322" w:type="dxa"/>
          </w:tcPr>
          <w:p w14:paraId="7F957994"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Egyedi körülményekre vonatkozó közzétételek</w:t>
            </w:r>
          </w:p>
        </w:tc>
        <w:tc>
          <w:tcPr>
            <w:tcW w:w="1526" w:type="dxa"/>
          </w:tcPr>
          <w:p w14:paraId="24661EA0"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6C66C27" w14:textId="77777777" w:rsidTr="005A4858">
        <w:tc>
          <w:tcPr>
            <w:tcW w:w="1160" w:type="dxa"/>
            <w:vMerge/>
          </w:tcPr>
          <w:p w14:paraId="44EDFBCE"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8E1E89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GOV-1</w:t>
            </w:r>
          </w:p>
        </w:tc>
        <w:tc>
          <w:tcPr>
            <w:tcW w:w="5322" w:type="dxa"/>
          </w:tcPr>
          <w:p w14:paraId="0DA427F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ügyviteli, ügyvezető, illetve felügyelő testületek szerepe</w:t>
            </w:r>
          </w:p>
        </w:tc>
        <w:tc>
          <w:tcPr>
            <w:tcW w:w="1526" w:type="dxa"/>
          </w:tcPr>
          <w:p w14:paraId="6D9E238B"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58544CB" w14:textId="77777777" w:rsidTr="005A4858">
        <w:tc>
          <w:tcPr>
            <w:tcW w:w="1160" w:type="dxa"/>
            <w:vMerge/>
          </w:tcPr>
          <w:p w14:paraId="652FFA4B"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CA1FF30"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GOV-2</w:t>
            </w:r>
          </w:p>
        </w:tc>
        <w:tc>
          <w:tcPr>
            <w:tcW w:w="5322" w:type="dxa"/>
          </w:tcPr>
          <w:p w14:paraId="6DC7BC83"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vállalkozás ügyviteli, ügyvezető, illetve felügyelő testületei számára szolgáltatott információk és az általuk kezelt fenntarthatósági kérdések</w:t>
            </w:r>
          </w:p>
        </w:tc>
        <w:tc>
          <w:tcPr>
            <w:tcW w:w="1526" w:type="dxa"/>
          </w:tcPr>
          <w:p w14:paraId="2297D2F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5B6BCAD" w14:textId="77777777" w:rsidTr="005A4858">
        <w:tc>
          <w:tcPr>
            <w:tcW w:w="1160" w:type="dxa"/>
            <w:vMerge/>
          </w:tcPr>
          <w:p w14:paraId="54ACEB46"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08CAB9D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GOV-3</w:t>
            </w:r>
          </w:p>
        </w:tc>
        <w:tc>
          <w:tcPr>
            <w:tcW w:w="5322" w:type="dxa"/>
          </w:tcPr>
          <w:p w14:paraId="6449408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fenntarthatósággal kapcsolatos teljesítmény beépítése az ösztönző mechanizmusokba</w:t>
            </w:r>
          </w:p>
        </w:tc>
        <w:tc>
          <w:tcPr>
            <w:tcW w:w="1526" w:type="dxa"/>
          </w:tcPr>
          <w:p w14:paraId="693D74CD"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B4C6E5C" w14:textId="77777777" w:rsidTr="005A4858">
        <w:tc>
          <w:tcPr>
            <w:tcW w:w="1160" w:type="dxa"/>
            <w:vMerge/>
          </w:tcPr>
          <w:p w14:paraId="7E7141BD"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59F3EA7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GOV-4</w:t>
            </w:r>
          </w:p>
        </w:tc>
        <w:tc>
          <w:tcPr>
            <w:tcW w:w="5322" w:type="dxa"/>
          </w:tcPr>
          <w:p w14:paraId="7D76CC5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Nyilatkozat az átvilágításról</w:t>
            </w:r>
          </w:p>
        </w:tc>
        <w:tc>
          <w:tcPr>
            <w:tcW w:w="1526" w:type="dxa"/>
          </w:tcPr>
          <w:p w14:paraId="518A2223"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9B0F177" w14:textId="77777777" w:rsidTr="005A4858">
        <w:tc>
          <w:tcPr>
            <w:tcW w:w="1160" w:type="dxa"/>
            <w:vMerge/>
          </w:tcPr>
          <w:p w14:paraId="7E328A7F"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3F82A7C"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GOV-5</w:t>
            </w:r>
          </w:p>
        </w:tc>
        <w:tc>
          <w:tcPr>
            <w:tcW w:w="5322" w:type="dxa"/>
          </w:tcPr>
          <w:p w14:paraId="1282DD1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Kockázatkezelés és a fenntarthatósággal kapcsolatos beszámolás belső kontrollja</w:t>
            </w:r>
          </w:p>
        </w:tc>
        <w:tc>
          <w:tcPr>
            <w:tcW w:w="1526" w:type="dxa"/>
          </w:tcPr>
          <w:p w14:paraId="4168B9E9"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8F6E5AE" w14:textId="77777777" w:rsidTr="005A4858">
        <w:tc>
          <w:tcPr>
            <w:tcW w:w="1160" w:type="dxa"/>
            <w:vMerge/>
          </w:tcPr>
          <w:p w14:paraId="442C498F"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20EB8E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SBM-1</w:t>
            </w:r>
          </w:p>
        </w:tc>
        <w:tc>
          <w:tcPr>
            <w:tcW w:w="5322" w:type="dxa"/>
          </w:tcPr>
          <w:p w14:paraId="39D97554"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Stratégia, üzleti modell és értéklánc</w:t>
            </w:r>
          </w:p>
        </w:tc>
        <w:tc>
          <w:tcPr>
            <w:tcW w:w="1526" w:type="dxa"/>
          </w:tcPr>
          <w:p w14:paraId="6676DC86"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14952F66" w14:textId="77777777" w:rsidTr="005A4858">
        <w:tc>
          <w:tcPr>
            <w:tcW w:w="1160" w:type="dxa"/>
            <w:vMerge/>
          </w:tcPr>
          <w:p w14:paraId="32D63EB8"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030F21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SBM-2</w:t>
            </w:r>
          </w:p>
        </w:tc>
        <w:tc>
          <w:tcPr>
            <w:tcW w:w="5322" w:type="dxa"/>
          </w:tcPr>
          <w:p w14:paraId="50C3F648"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érdekelt felek érdekei és álláspontja</w:t>
            </w:r>
          </w:p>
        </w:tc>
        <w:tc>
          <w:tcPr>
            <w:tcW w:w="1526" w:type="dxa"/>
          </w:tcPr>
          <w:p w14:paraId="08CBFC2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689BDFA" w14:textId="77777777" w:rsidTr="005A4858">
        <w:tc>
          <w:tcPr>
            <w:tcW w:w="1160" w:type="dxa"/>
            <w:vMerge/>
          </w:tcPr>
          <w:p w14:paraId="3A481D9E"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BA50DC3"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SBM-3</w:t>
            </w:r>
          </w:p>
        </w:tc>
        <w:tc>
          <w:tcPr>
            <w:tcW w:w="5322" w:type="dxa"/>
          </w:tcPr>
          <w:p w14:paraId="060DEA1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Lényeges hatások, kockázatok és lehetőségek, valamint ezek kölcsönhatása a stratégiával és az üzleti modellel</w:t>
            </w:r>
          </w:p>
        </w:tc>
        <w:tc>
          <w:tcPr>
            <w:tcW w:w="1526" w:type="dxa"/>
          </w:tcPr>
          <w:p w14:paraId="5EDAAF73"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26A6765" w14:textId="77777777" w:rsidTr="005A4858">
        <w:tc>
          <w:tcPr>
            <w:tcW w:w="1160" w:type="dxa"/>
            <w:vMerge/>
          </w:tcPr>
          <w:p w14:paraId="6D49C236"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41AC79C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IRO-1</w:t>
            </w:r>
          </w:p>
        </w:tc>
        <w:tc>
          <w:tcPr>
            <w:tcW w:w="5322" w:type="dxa"/>
          </w:tcPr>
          <w:p w14:paraId="10C840A1"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lényeges hatások, kockázatok és lehetőségek azonosítására és értékelésére szolgáló eljárások leírása</w:t>
            </w:r>
          </w:p>
        </w:tc>
        <w:tc>
          <w:tcPr>
            <w:tcW w:w="1526" w:type="dxa"/>
          </w:tcPr>
          <w:p w14:paraId="6D640D9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6E1B59C" w14:textId="77777777" w:rsidTr="005A4858">
        <w:tc>
          <w:tcPr>
            <w:tcW w:w="1160" w:type="dxa"/>
            <w:vMerge/>
          </w:tcPr>
          <w:p w14:paraId="370D6C2D"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8FBD610"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IRO-2</w:t>
            </w:r>
          </w:p>
        </w:tc>
        <w:tc>
          <w:tcPr>
            <w:tcW w:w="5322" w:type="dxa"/>
          </w:tcPr>
          <w:p w14:paraId="104FE3E1"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vállalkozás fenntarthatósági nyilatkozatai által lefedett, ESRS szerinti közzétételi követelmények</w:t>
            </w:r>
          </w:p>
        </w:tc>
        <w:tc>
          <w:tcPr>
            <w:tcW w:w="1526" w:type="dxa"/>
          </w:tcPr>
          <w:p w14:paraId="63E5EDD3"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1536278F" w14:textId="77777777" w:rsidTr="005A4858">
        <w:tc>
          <w:tcPr>
            <w:tcW w:w="1160" w:type="dxa"/>
            <w:vMerge w:val="restart"/>
          </w:tcPr>
          <w:p w14:paraId="1C00E21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E1</w:t>
            </w:r>
          </w:p>
        </w:tc>
        <w:tc>
          <w:tcPr>
            <w:tcW w:w="847" w:type="dxa"/>
          </w:tcPr>
          <w:p w14:paraId="68EF2E1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E1-1</w:t>
            </w:r>
          </w:p>
        </w:tc>
        <w:tc>
          <w:tcPr>
            <w:tcW w:w="5322" w:type="dxa"/>
          </w:tcPr>
          <w:p w14:paraId="3AC884CC"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éghajlatváltozás mérséklésére vonatkozó átállási terv</w:t>
            </w:r>
          </w:p>
        </w:tc>
        <w:tc>
          <w:tcPr>
            <w:tcW w:w="1526" w:type="dxa"/>
          </w:tcPr>
          <w:p w14:paraId="399B486C"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FC0267B" w14:textId="77777777" w:rsidTr="005A4858">
        <w:tc>
          <w:tcPr>
            <w:tcW w:w="1160" w:type="dxa"/>
            <w:vMerge/>
          </w:tcPr>
          <w:p w14:paraId="599867FF"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46DA93A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E1-2</w:t>
            </w:r>
          </w:p>
        </w:tc>
        <w:tc>
          <w:tcPr>
            <w:tcW w:w="5322" w:type="dxa"/>
          </w:tcPr>
          <w:p w14:paraId="4A603F38"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éghajlatváltozás mérséklésére és az ahhoz való alkalmazkodásra irányuló politikák</w:t>
            </w:r>
          </w:p>
        </w:tc>
        <w:tc>
          <w:tcPr>
            <w:tcW w:w="1526" w:type="dxa"/>
          </w:tcPr>
          <w:p w14:paraId="69662C5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46414CD9" w14:textId="77777777" w:rsidTr="005A4858">
        <w:tc>
          <w:tcPr>
            <w:tcW w:w="1160" w:type="dxa"/>
            <w:vMerge/>
          </w:tcPr>
          <w:p w14:paraId="5990EF7C"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84047B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E1-3</w:t>
            </w:r>
          </w:p>
        </w:tc>
        <w:tc>
          <w:tcPr>
            <w:tcW w:w="5322" w:type="dxa"/>
          </w:tcPr>
          <w:p w14:paraId="450CA90D"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éghajlatváltozásra irányuló politikákhoz kapcsolódó intézkedések és erőforrások</w:t>
            </w:r>
          </w:p>
        </w:tc>
        <w:tc>
          <w:tcPr>
            <w:tcW w:w="1526" w:type="dxa"/>
          </w:tcPr>
          <w:p w14:paraId="11BE2294"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4744C091" w14:textId="77777777" w:rsidTr="005A4858">
        <w:tc>
          <w:tcPr>
            <w:tcW w:w="1160" w:type="dxa"/>
            <w:vMerge/>
          </w:tcPr>
          <w:p w14:paraId="522E0CCE"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4BAE0ADC"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E1-4</w:t>
            </w:r>
          </w:p>
        </w:tc>
        <w:tc>
          <w:tcPr>
            <w:tcW w:w="5322" w:type="dxa"/>
          </w:tcPr>
          <w:p w14:paraId="6EE3737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éghajlatváltozás mérséklésével és az ahhoz való alkalmazkodással kapcsolatban meghatározott célok</w:t>
            </w:r>
          </w:p>
        </w:tc>
        <w:tc>
          <w:tcPr>
            <w:tcW w:w="1526" w:type="dxa"/>
          </w:tcPr>
          <w:p w14:paraId="26D1520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245FAB86" w14:textId="77777777" w:rsidTr="005A4858">
        <w:tc>
          <w:tcPr>
            <w:tcW w:w="1160" w:type="dxa"/>
            <w:vMerge/>
          </w:tcPr>
          <w:p w14:paraId="339C5557"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0F82BC3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E1-5</w:t>
            </w:r>
          </w:p>
        </w:tc>
        <w:tc>
          <w:tcPr>
            <w:tcW w:w="5322" w:type="dxa"/>
          </w:tcPr>
          <w:p w14:paraId="257AE950"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Energiafogyasztás és-szerkezet</w:t>
            </w:r>
          </w:p>
        </w:tc>
        <w:tc>
          <w:tcPr>
            <w:tcW w:w="1526" w:type="dxa"/>
          </w:tcPr>
          <w:p w14:paraId="7755746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4017119" w14:textId="77777777" w:rsidTr="005A4858">
        <w:tc>
          <w:tcPr>
            <w:tcW w:w="1160" w:type="dxa"/>
            <w:vMerge/>
          </w:tcPr>
          <w:p w14:paraId="05440355"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D408A94"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E1-6</w:t>
            </w:r>
          </w:p>
        </w:tc>
        <w:tc>
          <w:tcPr>
            <w:tcW w:w="5322" w:type="dxa"/>
          </w:tcPr>
          <w:p w14:paraId="50111A2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Scope 1,2 és 3-ba tartozó bruttó és összes ÜHG-kibocsátás</w:t>
            </w:r>
          </w:p>
        </w:tc>
        <w:tc>
          <w:tcPr>
            <w:tcW w:w="1526" w:type="dxa"/>
          </w:tcPr>
          <w:p w14:paraId="3B25CB9F"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1124609" w14:textId="77777777" w:rsidTr="005A4858">
        <w:tc>
          <w:tcPr>
            <w:tcW w:w="1160" w:type="dxa"/>
            <w:vMerge/>
          </w:tcPr>
          <w:p w14:paraId="365C99DC"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987553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E1-9</w:t>
            </w:r>
          </w:p>
        </w:tc>
        <w:tc>
          <w:tcPr>
            <w:tcW w:w="5322" w:type="dxa"/>
          </w:tcPr>
          <w:p w14:paraId="77DD76C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lényeges fizikai és átállási kockázatokból, valamint az éghajlattal kapcsolatos potenciális lehetőségekből eredő várható pénzügyi hatások</w:t>
            </w:r>
          </w:p>
        </w:tc>
        <w:tc>
          <w:tcPr>
            <w:tcW w:w="1526" w:type="dxa"/>
          </w:tcPr>
          <w:p w14:paraId="06226891"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Nincs közzététel (fokozatosan bevezetett közzétételi követelmény)</w:t>
            </w:r>
          </w:p>
        </w:tc>
      </w:tr>
      <w:tr w:rsidR="00BD159D" w:rsidRPr="00E45723" w14:paraId="6A1D8650" w14:textId="77777777" w:rsidTr="005A4858">
        <w:tc>
          <w:tcPr>
            <w:tcW w:w="1160" w:type="dxa"/>
            <w:vMerge w:val="restart"/>
          </w:tcPr>
          <w:p w14:paraId="6515AC6C"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E2</w:t>
            </w:r>
          </w:p>
          <w:p w14:paraId="0B848D78"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7733ED16"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1E1B638C"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1BC6C3C2"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3350B169"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39B2CB02"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1B22D89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E3</w:t>
            </w:r>
          </w:p>
        </w:tc>
        <w:tc>
          <w:tcPr>
            <w:tcW w:w="847" w:type="dxa"/>
          </w:tcPr>
          <w:p w14:paraId="22DC73B9"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E2-1</w:t>
            </w:r>
          </w:p>
        </w:tc>
        <w:tc>
          <w:tcPr>
            <w:tcW w:w="5322" w:type="dxa"/>
          </w:tcPr>
          <w:p w14:paraId="7E5049A2"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szennyezéssel kapcsolatos politikák</w:t>
            </w:r>
          </w:p>
        </w:tc>
        <w:tc>
          <w:tcPr>
            <w:tcW w:w="1526" w:type="dxa"/>
          </w:tcPr>
          <w:p w14:paraId="6925CC5A"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64E9924" w14:textId="77777777" w:rsidTr="005A4858">
        <w:tc>
          <w:tcPr>
            <w:tcW w:w="1160" w:type="dxa"/>
            <w:vMerge/>
          </w:tcPr>
          <w:p w14:paraId="09B6A14E"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3E56D293"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E2-2</w:t>
            </w:r>
          </w:p>
        </w:tc>
        <w:tc>
          <w:tcPr>
            <w:tcW w:w="5322" w:type="dxa"/>
          </w:tcPr>
          <w:p w14:paraId="23D935CF"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szennyezéssel kapcsolatos intézkedések és erőforrások</w:t>
            </w:r>
          </w:p>
        </w:tc>
        <w:tc>
          <w:tcPr>
            <w:tcW w:w="1526" w:type="dxa"/>
          </w:tcPr>
          <w:p w14:paraId="5EF208F5"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3BB19A7" w14:textId="77777777" w:rsidTr="005A4858">
        <w:tc>
          <w:tcPr>
            <w:tcW w:w="1160" w:type="dxa"/>
            <w:vMerge/>
          </w:tcPr>
          <w:p w14:paraId="1055B068"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425D2D5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E2-3</w:t>
            </w:r>
          </w:p>
        </w:tc>
        <w:tc>
          <w:tcPr>
            <w:tcW w:w="5322" w:type="dxa"/>
          </w:tcPr>
          <w:p w14:paraId="0BA15F3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szennyezéssel kapcsolatos célok</w:t>
            </w:r>
          </w:p>
        </w:tc>
        <w:tc>
          <w:tcPr>
            <w:tcW w:w="1526" w:type="dxa"/>
          </w:tcPr>
          <w:p w14:paraId="48CE7714"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D1DC555" w14:textId="77777777" w:rsidTr="005A4858">
        <w:tc>
          <w:tcPr>
            <w:tcW w:w="1160" w:type="dxa"/>
            <w:vMerge/>
          </w:tcPr>
          <w:p w14:paraId="2BD3D7E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90EE0F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E2-4</w:t>
            </w:r>
          </w:p>
          <w:p w14:paraId="4AD9E72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E2-5</w:t>
            </w:r>
          </w:p>
        </w:tc>
        <w:tc>
          <w:tcPr>
            <w:tcW w:w="5322" w:type="dxa"/>
          </w:tcPr>
          <w:p w14:paraId="2484D733"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Levegő , víz és talajszennyezés</w:t>
            </w:r>
          </w:p>
          <w:p w14:paraId="17407CD2"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Kockázatos anyagok és nagyon nagy kockázatú anyagok</w:t>
            </w:r>
          </w:p>
        </w:tc>
        <w:tc>
          <w:tcPr>
            <w:tcW w:w="1526" w:type="dxa"/>
          </w:tcPr>
          <w:p w14:paraId="20014E19"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81AC8A3" w14:textId="77777777" w:rsidTr="005A4858">
        <w:tc>
          <w:tcPr>
            <w:tcW w:w="1160" w:type="dxa"/>
            <w:vMerge/>
          </w:tcPr>
          <w:p w14:paraId="2A284D2F"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725CEE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E2-6</w:t>
            </w:r>
          </w:p>
          <w:p w14:paraId="3080458C"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43F8D17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E3-1</w:t>
            </w:r>
          </w:p>
          <w:p w14:paraId="3B88B89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lastRenderedPageBreak/>
              <w:t>E3-2</w:t>
            </w:r>
          </w:p>
          <w:p w14:paraId="071F5EF1"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E3-3</w:t>
            </w:r>
          </w:p>
          <w:p w14:paraId="5989F959"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E3-4</w:t>
            </w:r>
          </w:p>
          <w:p w14:paraId="1D2FB53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E3-5</w:t>
            </w:r>
          </w:p>
        </w:tc>
        <w:tc>
          <w:tcPr>
            <w:tcW w:w="5322" w:type="dxa"/>
          </w:tcPr>
          <w:p w14:paraId="4A477EF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lastRenderedPageBreak/>
              <w:t>A szennyezéssel kapcsolatos hatásokból, kockázatokból és lehetőségekből eredő várható pénzügyi hatások</w:t>
            </w:r>
          </w:p>
          <w:p w14:paraId="33DF3D06"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Vízzel és tengeri erőforrásokkal kapcsolatos politikák</w:t>
            </w:r>
          </w:p>
          <w:p w14:paraId="1634E0D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lastRenderedPageBreak/>
              <w:t>A vízhez és tengeri erőforrásokhoz kapcsolódó intézkedések és erőrrások</w:t>
            </w:r>
          </w:p>
          <w:p w14:paraId="05A2E49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Vízzel és tengeri erőforrásokkal kapcsolatos célok</w:t>
            </w:r>
          </w:p>
          <w:p w14:paraId="55281CB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Vízfogyasztás</w:t>
            </w:r>
          </w:p>
          <w:p w14:paraId="7EE28A98"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vízhez és tengeri erőforrásokhoz kapcsolódó hatások, kockázatok és lehetőségek várható pénzügyi következményei</w:t>
            </w:r>
          </w:p>
        </w:tc>
        <w:tc>
          <w:tcPr>
            <w:tcW w:w="1526" w:type="dxa"/>
          </w:tcPr>
          <w:p w14:paraId="53EBDB8F"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lastRenderedPageBreak/>
              <w:t xml:space="preserve">Nincs közzététel (fokozatosan bevezetett </w:t>
            </w:r>
            <w:r w:rsidRPr="00E45723">
              <w:rPr>
                <w:rFonts w:asciiTheme="minorHAnsi" w:hAnsiTheme="minorHAnsi" w:cs="Calibri"/>
                <w:sz w:val="20"/>
              </w:rPr>
              <w:lastRenderedPageBreak/>
              <w:t>közzétételi követelmény)</w:t>
            </w:r>
          </w:p>
          <w:p w14:paraId="1A52DDFC"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tc>
      </w:tr>
      <w:tr w:rsidR="00BD159D" w:rsidRPr="00E45723" w14:paraId="46748101" w14:textId="77777777" w:rsidTr="005A4858">
        <w:tc>
          <w:tcPr>
            <w:tcW w:w="1160" w:type="dxa"/>
            <w:vMerge w:val="restart"/>
          </w:tcPr>
          <w:p w14:paraId="369008F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lastRenderedPageBreak/>
              <w:t>E5</w:t>
            </w:r>
          </w:p>
        </w:tc>
        <w:tc>
          <w:tcPr>
            <w:tcW w:w="847" w:type="dxa"/>
          </w:tcPr>
          <w:p w14:paraId="4EB55116"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E5-1</w:t>
            </w:r>
          </w:p>
        </w:tc>
        <w:tc>
          <w:tcPr>
            <w:tcW w:w="5322" w:type="dxa"/>
          </w:tcPr>
          <w:p w14:paraId="1CF492E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erőforrás felhasználással és a körforgásos gazdasággal kapcsolatos politikák</w:t>
            </w:r>
          </w:p>
        </w:tc>
        <w:tc>
          <w:tcPr>
            <w:tcW w:w="1526" w:type="dxa"/>
          </w:tcPr>
          <w:p w14:paraId="6DB4A6EB"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FB10330" w14:textId="77777777" w:rsidTr="005A4858">
        <w:tc>
          <w:tcPr>
            <w:tcW w:w="1160" w:type="dxa"/>
            <w:vMerge/>
          </w:tcPr>
          <w:p w14:paraId="7E85D21C"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EDA78B3"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E5-2</w:t>
            </w:r>
          </w:p>
        </w:tc>
        <w:tc>
          <w:tcPr>
            <w:tcW w:w="5322" w:type="dxa"/>
          </w:tcPr>
          <w:p w14:paraId="4E556708"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erőforrás felhasználással és a körforgásos gazdasággal kapcsolatos intézkedések és erőforrások</w:t>
            </w:r>
          </w:p>
        </w:tc>
        <w:tc>
          <w:tcPr>
            <w:tcW w:w="1526" w:type="dxa"/>
          </w:tcPr>
          <w:p w14:paraId="3D5E8F6C"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4C2D4CD" w14:textId="77777777" w:rsidTr="005A4858">
        <w:tc>
          <w:tcPr>
            <w:tcW w:w="1160" w:type="dxa"/>
            <w:vMerge/>
          </w:tcPr>
          <w:p w14:paraId="74D44A4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0F32CA7C"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E5-3</w:t>
            </w:r>
          </w:p>
        </w:tc>
        <w:tc>
          <w:tcPr>
            <w:tcW w:w="5322" w:type="dxa"/>
          </w:tcPr>
          <w:p w14:paraId="2A8EA32E"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erőforrás felhasználással és a körforgásos gazdasággal kapcsolatos célok</w:t>
            </w:r>
          </w:p>
        </w:tc>
        <w:tc>
          <w:tcPr>
            <w:tcW w:w="1526" w:type="dxa"/>
          </w:tcPr>
          <w:p w14:paraId="3D16F507"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B4351EF" w14:textId="77777777" w:rsidTr="005A4858">
        <w:tc>
          <w:tcPr>
            <w:tcW w:w="1160" w:type="dxa"/>
            <w:vMerge/>
          </w:tcPr>
          <w:p w14:paraId="316A8C5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5F96FDEF"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E5-4</w:t>
            </w:r>
          </w:p>
        </w:tc>
        <w:tc>
          <w:tcPr>
            <w:tcW w:w="5322" w:type="dxa"/>
          </w:tcPr>
          <w:p w14:paraId="3E989E3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Erőforrás beáramlások</w:t>
            </w:r>
          </w:p>
        </w:tc>
        <w:tc>
          <w:tcPr>
            <w:tcW w:w="1526" w:type="dxa"/>
          </w:tcPr>
          <w:p w14:paraId="7FFB0031"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5EC8D1F" w14:textId="77777777" w:rsidTr="005A4858">
        <w:tc>
          <w:tcPr>
            <w:tcW w:w="1160" w:type="dxa"/>
            <w:vMerge/>
          </w:tcPr>
          <w:p w14:paraId="40AB1AA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F2AA141"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E5-5</w:t>
            </w:r>
          </w:p>
        </w:tc>
        <w:tc>
          <w:tcPr>
            <w:tcW w:w="5322" w:type="dxa"/>
          </w:tcPr>
          <w:p w14:paraId="21792EFB"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Erőforrás kiáramlások</w:t>
            </w:r>
          </w:p>
        </w:tc>
        <w:tc>
          <w:tcPr>
            <w:tcW w:w="1526" w:type="dxa"/>
          </w:tcPr>
          <w:p w14:paraId="410C0A1B"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AF09152" w14:textId="77777777" w:rsidTr="005A4858">
        <w:tc>
          <w:tcPr>
            <w:tcW w:w="1160" w:type="dxa"/>
          </w:tcPr>
          <w:p w14:paraId="5EEE938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019ECE3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E5-6</w:t>
            </w:r>
          </w:p>
        </w:tc>
        <w:tc>
          <w:tcPr>
            <w:tcW w:w="5322" w:type="dxa"/>
          </w:tcPr>
          <w:p w14:paraId="445A70A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erőforrás felhasználással és a körforgásos gazdasággal kapcsolatos hatásokból, kockázatokból és lehetőségekből eredő várható pénzügyi hatások</w:t>
            </w:r>
          </w:p>
        </w:tc>
        <w:tc>
          <w:tcPr>
            <w:tcW w:w="1526" w:type="dxa"/>
          </w:tcPr>
          <w:p w14:paraId="5CA0412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Nincs közzététel (fokozatosan bevezetett közzétételi követelmény)</w:t>
            </w:r>
          </w:p>
        </w:tc>
      </w:tr>
      <w:tr w:rsidR="00BD159D" w:rsidRPr="00E45723" w14:paraId="76BBDE0E" w14:textId="77777777" w:rsidTr="005A4858">
        <w:tc>
          <w:tcPr>
            <w:tcW w:w="1160" w:type="dxa"/>
            <w:vMerge w:val="restart"/>
          </w:tcPr>
          <w:p w14:paraId="4A03BEF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S1</w:t>
            </w:r>
          </w:p>
        </w:tc>
        <w:tc>
          <w:tcPr>
            <w:tcW w:w="847" w:type="dxa"/>
          </w:tcPr>
          <w:p w14:paraId="0CC120AF"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w:t>
            </w:r>
          </w:p>
        </w:tc>
        <w:tc>
          <w:tcPr>
            <w:tcW w:w="5322" w:type="dxa"/>
          </w:tcPr>
          <w:p w14:paraId="680F9A16"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saját munkaerővel kapcsolatos politikák</w:t>
            </w:r>
          </w:p>
        </w:tc>
        <w:tc>
          <w:tcPr>
            <w:tcW w:w="1526" w:type="dxa"/>
          </w:tcPr>
          <w:p w14:paraId="399726E4"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67DEB7F" w14:textId="77777777" w:rsidTr="005A4858">
        <w:tc>
          <w:tcPr>
            <w:tcW w:w="1160" w:type="dxa"/>
            <w:vMerge/>
          </w:tcPr>
          <w:p w14:paraId="2042A823"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383913A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S1-2</w:t>
            </w:r>
          </w:p>
        </w:tc>
        <w:tc>
          <w:tcPr>
            <w:tcW w:w="5322" w:type="dxa"/>
          </w:tcPr>
          <w:p w14:paraId="00B44F82"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saját munkavállalókkal és a munkavállalói képviselőkkel a hatások terén folytatott együttműködés érdekében alkalmazott folyamatok</w:t>
            </w:r>
          </w:p>
        </w:tc>
        <w:tc>
          <w:tcPr>
            <w:tcW w:w="1526" w:type="dxa"/>
          </w:tcPr>
          <w:p w14:paraId="205ACD2D"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D7AF3BE" w14:textId="77777777" w:rsidTr="005A4858">
        <w:tc>
          <w:tcPr>
            <w:tcW w:w="1160" w:type="dxa"/>
            <w:vMerge/>
          </w:tcPr>
          <w:p w14:paraId="37C05CAA"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9AFA8BE"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S1-3</w:t>
            </w:r>
          </w:p>
        </w:tc>
        <w:tc>
          <w:tcPr>
            <w:tcW w:w="5322" w:type="dxa"/>
          </w:tcPr>
          <w:p w14:paraId="12E969B4"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negatív hatások korrekciójának folyamatai és a saját munkavállalók számára az aggályok megfogalmazására lehetőséget biztosító csatornák</w:t>
            </w:r>
          </w:p>
        </w:tc>
        <w:tc>
          <w:tcPr>
            <w:tcW w:w="1526" w:type="dxa"/>
          </w:tcPr>
          <w:p w14:paraId="1F88C85A"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4BBE934F" w14:textId="77777777" w:rsidTr="005A4858">
        <w:tc>
          <w:tcPr>
            <w:tcW w:w="1160" w:type="dxa"/>
            <w:vMerge/>
          </w:tcPr>
          <w:p w14:paraId="50E5B210"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6ECFB30"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S1-4</w:t>
            </w:r>
          </w:p>
        </w:tc>
        <w:tc>
          <w:tcPr>
            <w:tcW w:w="5322" w:type="dxa"/>
          </w:tcPr>
          <w:p w14:paraId="1C6D1F14"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Intézkedések a saját munkaerőre gyakorolt lényeges hatásokra vonatkozóan, valamint a saját munkaerőhöz kapcsolódó lényeges kockázatok csökkentésére és lényeges lehetőségek kihasználására irányuló megközelítések, továbbá ezen intézkedések hatékonysága</w:t>
            </w:r>
          </w:p>
        </w:tc>
        <w:tc>
          <w:tcPr>
            <w:tcW w:w="1526" w:type="dxa"/>
          </w:tcPr>
          <w:p w14:paraId="214E166A"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72A8B03" w14:textId="77777777" w:rsidTr="005A4858">
        <w:tc>
          <w:tcPr>
            <w:tcW w:w="1160" w:type="dxa"/>
            <w:vMerge/>
          </w:tcPr>
          <w:p w14:paraId="69261D61"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64210B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S1-5</w:t>
            </w:r>
          </w:p>
        </w:tc>
        <w:tc>
          <w:tcPr>
            <w:tcW w:w="5322" w:type="dxa"/>
          </w:tcPr>
          <w:p w14:paraId="5F882DB2"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lényeges negatív hatások kezeléséhez, a pozitív hatások előmozdításához, valamint a lényeges kockázatok és lehetőségek kezeléséhez kapcsolódó célok</w:t>
            </w:r>
          </w:p>
        </w:tc>
        <w:tc>
          <w:tcPr>
            <w:tcW w:w="1526" w:type="dxa"/>
          </w:tcPr>
          <w:p w14:paraId="064DF131"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3792092" w14:textId="77777777" w:rsidTr="005A4858">
        <w:tc>
          <w:tcPr>
            <w:tcW w:w="1160" w:type="dxa"/>
            <w:vMerge/>
          </w:tcPr>
          <w:p w14:paraId="3623E45B"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9FC510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S1-6</w:t>
            </w:r>
          </w:p>
        </w:tc>
        <w:tc>
          <w:tcPr>
            <w:tcW w:w="5322" w:type="dxa"/>
          </w:tcPr>
          <w:p w14:paraId="7FBE18F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vállalkozás alkalmazottainak jellemzői</w:t>
            </w:r>
          </w:p>
        </w:tc>
        <w:tc>
          <w:tcPr>
            <w:tcW w:w="1526" w:type="dxa"/>
          </w:tcPr>
          <w:p w14:paraId="3AD0B33E"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23AA63FC" w14:textId="77777777" w:rsidTr="005A4858">
        <w:tc>
          <w:tcPr>
            <w:tcW w:w="1160" w:type="dxa"/>
            <w:vMerge/>
          </w:tcPr>
          <w:p w14:paraId="08E37315"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8C2B1C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S1-7</w:t>
            </w:r>
          </w:p>
        </w:tc>
        <w:tc>
          <w:tcPr>
            <w:tcW w:w="5322" w:type="dxa"/>
          </w:tcPr>
          <w:p w14:paraId="002B5EF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saját munkaerőn belül nem alkalmazottként foglalkoztatott munkavállalók jellemzői</w:t>
            </w:r>
          </w:p>
        </w:tc>
        <w:tc>
          <w:tcPr>
            <w:tcW w:w="1526" w:type="dxa"/>
          </w:tcPr>
          <w:p w14:paraId="1AE6CF46"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Nincs közzététel (fokozatosan bevezetett közzétételi követelmény)</w:t>
            </w:r>
          </w:p>
        </w:tc>
      </w:tr>
      <w:tr w:rsidR="00BD159D" w:rsidRPr="00E45723" w14:paraId="14309C8B" w14:textId="77777777" w:rsidTr="005A4858">
        <w:tc>
          <w:tcPr>
            <w:tcW w:w="1160" w:type="dxa"/>
            <w:vMerge/>
          </w:tcPr>
          <w:p w14:paraId="5ACA7B35"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4E5971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S1-8</w:t>
            </w:r>
          </w:p>
        </w:tc>
        <w:tc>
          <w:tcPr>
            <w:tcW w:w="5322" w:type="dxa"/>
          </w:tcPr>
          <w:p w14:paraId="16E22A58"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kollektív tárgyalások hatálya és a szociális párbeszéd</w:t>
            </w:r>
          </w:p>
        </w:tc>
        <w:tc>
          <w:tcPr>
            <w:tcW w:w="1526" w:type="dxa"/>
          </w:tcPr>
          <w:p w14:paraId="7D7F3567"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6C908A5" w14:textId="77777777" w:rsidTr="005A4858">
        <w:tc>
          <w:tcPr>
            <w:tcW w:w="1160" w:type="dxa"/>
            <w:vMerge/>
          </w:tcPr>
          <w:p w14:paraId="27F2382B"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1261A1E4"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S1-9</w:t>
            </w:r>
          </w:p>
        </w:tc>
        <w:tc>
          <w:tcPr>
            <w:tcW w:w="5322" w:type="dxa"/>
          </w:tcPr>
          <w:p w14:paraId="468C5A41"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Sokszínűségi mérőszámok</w:t>
            </w:r>
          </w:p>
        </w:tc>
        <w:tc>
          <w:tcPr>
            <w:tcW w:w="1526" w:type="dxa"/>
          </w:tcPr>
          <w:p w14:paraId="116F52D2"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045DE84A" w14:textId="77777777" w:rsidTr="005A4858">
        <w:tc>
          <w:tcPr>
            <w:tcW w:w="1160" w:type="dxa"/>
            <w:vMerge/>
          </w:tcPr>
          <w:p w14:paraId="195D914A"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359B745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S1-10</w:t>
            </w:r>
          </w:p>
        </w:tc>
        <w:tc>
          <w:tcPr>
            <w:tcW w:w="5322" w:type="dxa"/>
          </w:tcPr>
          <w:p w14:paraId="27CBDB4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Megfelelő bérek</w:t>
            </w:r>
          </w:p>
        </w:tc>
        <w:tc>
          <w:tcPr>
            <w:tcW w:w="1526" w:type="dxa"/>
          </w:tcPr>
          <w:p w14:paraId="52A7A47B"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E4DAB53" w14:textId="77777777" w:rsidTr="005A4858">
        <w:tc>
          <w:tcPr>
            <w:tcW w:w="1160" w:type="dxa"/>
            <w:vMerge/>
          </w:tcPr>
          <w:p w14:paraId="21A51E0D"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567E90EB"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S1-11</w:t>
            </w:r>
          </w:p>
          <w:p w14:paraId="508A6A0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S1-12</w:t>
            </w:r>
          </w:p>
        </w:tc>
        <w:tc>
          <w:tcPr>
            <w:tcW w:w="5322" w:type="dxa"/>
          </w:tcPr>
          <w:p w14:paraId="69135707"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Szociális védelem </w:t>
            </w:r>
          </w:p>
          <w:p w14:paraId="25FE8D5F"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Fogyatékkal élő személyek</w:t>
            </w:r>
          </w:p>
        </w:tc>
        <w:tc>
          <w:tcPr>
            <w:tcW w:w="1526" w:type="dxa"/>
          </w:tcPr>
          <w:p w14:paraId="3182499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 xml:space="preserve">Nincs közzététel (fokozatosan bevezetett </w:t>
            </w:r>
            <w:r w:rsidRPr="00E45723">
              <w:rPr>
                <w:rFonts w:asciiTheme="minorHAnsi" w:hAnsiTheme="minorHAnsi" w:cs="Calibri"/>
                <w:sz w:val="20"/>
              </w:rPr>
              <w:lastRenderedPageBreak/>
              <w:t>közzétételi követelmény)</w:t>
            </w:r>
          </w:p>
        </w:tc>
      </w:tr>
      <w:tr w:rsidR="00BD159D" w:rsidRPr="00E45723" w14:paraId="4E8A1C24" w14:textId="77777777" w:rsidTr="005A4858">
        <w:tc>
          <w:tcPr>
            <w:tcW w:w="1160" w:type="dxa"/>
            <w:vMerge/>
          </w:tcPr>
          <w:p w14:paraId="34B272F5"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3CF0F8BF"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S1-13</w:t>
            </w:r>
          </w:p>
        </w:tc>
        <w:tc>
          <w:tcPr>
            <w:tcW w:w="5322" w:type="dxa"/>
          </w:tcPr>
          <w:p w14:paraId="038385C4"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Képzési és készségfejlesztési mérőszámok</w:t>
            </w:r>
          </w:p>
        </w:tc>
        <w:tc>
          <w:tcPr>
            <w:tcW w:w="1526" w:type="dxa"/>
          </w:tcPr>
          <w:p w14:paraId="67AF6387"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482DA3EE" w14:textId="77777777" w:rsidTr="005A4858">
        <w:tc>
          <w:tcPr>
            <w:tcW w:w="1160" w:type="dxa"/>
            <w:vMerge/>
          </w:tcPr>
          <w:p w14:paraId="236672B6"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C4B7D9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S1-14</w:t>
            </w:r>
          </w:p>
        </w:tc>
        <w:tc>
          <w:tcPr>
            <w:tcW w:w="5322" w:type="dxa"/>
          </w:tcPr>
          <w:p w14:paraId="671E0303"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Egészségvédelmi és biztonsági mérőszámok</w:t>
            </w:r>
          </w:p>
        </w:tc>
        <w:tc>
          <w:tcPr>
            <w:tcW w:w="1526" w:type="dxa"/>
          </w:tcPr>
          <w:p w14:paraId="05667F4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34022F0" w14:textId="77777777" w:rsidTr="005A4858">
        <w:tc>
          <w:tcPr>
            <w:tcW w:w="1160" w:type="dxa"/>
            <w:vMerge/>
          </w:tcPr>
          <w:p w14:paraId="19F6B2D6"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8377943"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S1-15</w:t>
            </w:r>
          </w:p>
        </w:tc>
        <w:tc>
          <w:tcPr>
            <w:tcW w:w="5322" w:type="dxa"/>
          </w:tcPr>
          <w:p w14:paraId="7333B7AF"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munka és a magánélet közötti egyensúly mérőszámai</w:t>
            </w:r>
          </w:p>
        </w:tc>
        <w:tc>
          <w:tcPr>
            <w:tcW w:w="1526" w:type="dxa"/>
          </w:tcPr>
          <w:p w14:paraId="221AA532"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42282E7" w14:textId="77777777" w:rsidTr="005A4858">
        <w:tc>
          <w:tcPr>
            <w:tcW w:w="1160" w:type="dxa"/>
            <w:vMerge/>
          </w:tcPr>
          <w:p w14:paraId="7E893EBB"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2387B59"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S1-16</w:t>
            </w:r>
          </w:p>
          <w:p w14:paraId="7BE1096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S1-17</w:t>
            </w:r>
          </w:p>
        </w:tc>
        <w:tc>
          <w:tcPr>
            <w:tcW w:w="5322" w:type="dxa"/>
          </w:tcPr>
          <w:p w14:paraId="0333A3CC"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Jövedelmi mérőszámok (bérkülönbség és teljes jövedelem)</w:t>
            </w:r>
          </w:p>
          <w:p w14:paraId="6F1F6CB3"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Incidensek, panaszok és súlyos emberi jogi hatások</w:t>
            </w:r>
          </w:p>
        </w:tc>
        <w:tc>
          <w:tcPr>
            <w:tcW w:w="1526" w:type="dxa"/>
          </w:tcPr>
          <w:p w14:paraId="2399F396"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7204FB32" w14:textId="77777777" w:rsidTr="005A4858">
        <w:tc>
          <w:tcPr>
            <w:tcW w:w="1160" w:type="dxa"/>
            <w:vMerge w:val="restart"/>
          </w:tcPr>
          <w:p w14:paraId="1B04C7B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Style w:val="Strong"/>
                <w:rFonts w:asciiTheme="minorHAnsi" w:hAnsiTheme="minorHAnsi" w:cs="Calibri"/>
                <w:sz w:val="20"/>
              </w:rPr>
              <w:t>S2</w:t>
            </w:r>
          </w:p>
        </w:tc>
        <w:tc>
          <w:tcPr>
            <w:tcW w:w="847" w:type="dxa"/>
          </w:tcPr>
          <w:p w14:paraId="216E6B4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S2-1</w:t>
            </w:r>
          </w:p>
        </w:tc>
        <w:tc>
          <w:tcPr>
            <w:tcW w:w="5322" w:type="dxa"/>
          </w:tcPr>
          <w:p w14:paraId="24158A2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értékláncban dolgozókkal kapcsolatos politikák</w:t>
            </w:r>
          </w:p>
        </w:tc>
        <w:tc>
          <w:tcPr>
            <w:tcW w:w="1526" w:type="dxa"/>
          </w:tcPr>
          <w:p w14:paraId="69620FCC"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DAD67A4" w14:textId="77777777" w:rsidTr="005A4858">
        <w:tc>
          <w:tcPr>
            <w:tcW w:w="1160" w:type="dxa"/>
            <w:vMerge/>
          </w:tcPr>
          <w:p w14:paraId="44259132"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03FF18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S2-2</w:t>
            </w:r>
          </w:p>
        </w:tc>
        <w:tc>
          <w:tcPr>
            <w:tcW w:w="5322" w:type="dxa"/>
          </w:tcPr>
          <w:p w14:paraId="60216AA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Az értékláncban dolgozókkal a hatások terén folytatott együttműködés érdekében alkalmazott folyamatok</w:t>
            </w:r>
          </w:p>
        </w:tc>
        <w:tc>
          <w:tcPr>
            <w:tcW w:w="1526" w:type="dxa"/>
          </w:tcPr>
          <w:p w14:paraId="7D05AC3C"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2BF46D9D" w14:textId="77777777" w:rsidTr="005A4858">
        <w:tc>
          <w:tcPr>
            <w:tcW w:w="1160" w:type="dxa"/>
            <w:vMerge/>
          </w:tcPr>
          <w:p w14:paraId="606DE381"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72BDBF66"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S2-3</w:t>
            </w:r>
          </w:p>
        </w:tc>
        <w:tc>
          <w:tcPr>
            <w:tcW w:w="5322" w:type="dxa"/>
          </w:tcPr>
          <w:p w14:paraId="7464AFB3"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negatív hatások korrekciójának folyamatai és az értékláncban dolgozók számára az aggályok megfogalmazására lehetőséget biztosító csatornák</w:t>
            </w:r>
          </w:p>
        </w:tc>
        <w:tc>
          <w:tcPr>
            <w:tcW w:w="1526" w:type="dxa"/>
          </w:tcPr>
          <w:p w14:paraId="55B56BC6"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AA6C26B" w14:textId="77777777" w:rsidTr="005A4858">
        <w:tc>
          <w:tcPr>
            <w:tcW w:w="1160" w:type="dxa"/>
            <w:vMerge/>
          </w:tcPr>
          <w:p w14:paraId="5B1DDBFA"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38CEBA6"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S2-4</w:t>
            </w:r>
          </w:p>
        </w:tc>
        <w:tc>
          <w:tcPr>
            <w:tcW w:w="5322" w:type="dxa"/>
          </w:tcPr>
          <w:p w14:paraId="7039135F"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Intézkedések az értékláncban dolgozókra gyakorolt lényeges hatásokra vonatkozóan, valamint az értékláncban dolgozókhoz kapcsolódó lényeges kockázatok kezelésére és lényeges lehetőségek kihasználására irányuló megközelítések, továbbá ezen intézkedések hatékonysága</w:t>
            </w:r>
          </w:p>
        </w:tc>
        <w:tc>
          <w:tcPr>
            <w:tcW w:w="1526" w:type="dxa"/>
          </w:tcPr>
          <w:p w14:paraId="58A91C12"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6190E844" w14:textId="77777777" w:rsidTr="005A4858">
        <w:tc>
          <w:tcPr>
            <w:tcW w:w="1160" w:type="dxa"/>
            <w:vMerge/>
          </w:tcPr>
          <w:p w14:paraId="1A7D6195"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57155B6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S2-5</w:t>
            </w:r>
          </w:p>
        </w:tc>
        <w:tc>
          <w:tcPr>
            <w:tcW w:w="5322" w:type="dxa"/>
          </w:tcPr>
          <w:p w14:paraId="695F98AA"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lényeges negatív hatások kezeléséhez, a pozitív hatások előmozdításához, valamint a lényeges kockázatok és lehetőségek kezeléséhez kapcsolódó célok</w:t>
            </w:r>
          </w:p>
        </w:tc>
        <w:tc>
          <w:tcPr>
            <w:tcW w:w="1526" w:type="dxa"/>
          </w:tcPr>
          <w:p w14:paraId="13709856"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1819472" w14:textId="77777777" w:rsidTr="005A4858">
        <w:tc>
          <w:tcPr>
            <w:tcW w:w="1160" w:type="dxa"/>
          </w:tcPr>
          <w:p w14:paraId="0F2B6E6B" w14:textId="77777777" w:rsidR="00BD159D" w:rsidRPr="00E45723" w:rsidRDefault="00FD7771" w:rsidP="00EA3B06">
            <w:pPr>
              <w:suppressAutoHyphens/>
              <w:spacing w:before="36" w:after="36"/>
              <w:jc w:val="left"/>
              <w:rPr>
                <w:rFonts w:asciiTheme="minorHAnsi" w:hAnsiTheme="minorHAnsi" w:cs="Calibri"/>
                <w:sz w:val="20"/>
              </w:rPr>
            </w:pPr>
            <w:r w:rsidRPr="00E45723">
              <w:rPr>
                <w:rStyle w:val="Strong"/>
                <w:rFonts w:asciiTheme="minorHAnsi" w:hAnsiTheme="minorHAnsi" w:cs="Calibri"/>
                <w:sz w:val="20"/>
              </w:rPr>
              <w:t>S4</w:t>
            </w:r>
          </w:p>
        </w:tc>
        <w:tc>
          <w:tcPr>
            <w:tcW w:w="847" w:type="dxa"/>
          </w:tcPr>
          <w:p w14:paraId="1037C010"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S4-1</w:t>
            </w:r>
          </w:p>
        </w:tc>
        <w:tc>
          <w:tcPr>
            <w:tcW w:w="5322" w:type="dxa"/>
          </w:tcPr>
          <w:p w14:paraId="45CFDA56"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fogyasztókkal és a végfelhasználókkal kapcsolatos politikák</w:t>
            </w:r>
          </w:p>
        </w:tc>
        <w:tc>
          <w:tcPr>
            <w:tcW w:w="1526" w:type="dxa"/>
          </w:tcPr>
          <w:p w14:paraId="51F7FBBE"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51E64B66" w14:textId="77777777" w:rsidTr="005A4858">
        <w:tc>
          <w:tcPr>
            <w:tcW w:w="1160" w:type="dxa"/>
          </w:tcPr>
          <w:p w14:paraId="5328ACE2"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5A7D4147"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S4-2</w:t>
            </w:r>
          </w:p>
        </w:tc>
        <w:tc>
          <w:tcPr>
            <w:tcW w:w="5322" w:type="dxa"/>
          </w:tcPr>
          <w:p w14:paraId="123E1F3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fogyasztókkal és a végfelhasználókkal a hatások terén folytatott együttműködés érdekében alkalmazott folyamatok</w:t>
            </w:r>
          </w:p>
        </w:tc>
        <w:tc>
          <w:tcPr>
            <w:tcW w:w="1526" w:type="dxa"/>
          </w:tcPr>
          <w:p w14:paraId="743FE2A2"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6411D9D" w14:textId="77777777" w:rsidTr="005A4858">
        <w:tc>
          <w:tcPr>
            <w:tcW w:w="1160" w:type="dxa"/>
          </w:tcPr>
          <w:p w14:paraId="0AE76D49"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B584C34"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S4-3</w:t>
            </w:r>
          </w:p>
        </w:tc>
        <w:tc>
          <w:tcPr>
            <w:tcW w:w="5322" w:type="dxa"/>
          </w:tcPr>
          <w:p w14:paraId="35705A0E"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negatív hatások korrekciójának folyamatai és a fogyasztók és a végfelhasználók számára az aggályok megfogalmazására lehetőséget biztosító csatornák</w:t>
            </w:r>
          </w:p>
        </w:tc>
        <w:tc>
          <w:tcPr>
            <w:tcW w:w="1526" w:type="dxa"/>
          </w:tcPr>
          <w:p w14:paraId="323BABF8"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22F315B1" w14:textId="77777777" w:rsidTr="005A4858">
        <w:tc>
          <w:tcPr>
            <w:tcW w:w="1160" w:type="dxa"/>
          </w:tcPr>
          <w:p w14:paraId="7B19E5AD"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2B8D0F4A"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S4-4</w:t>
            </w:r>
          </w:p>
        </w:tc>
        <w:tc>
          <w:tcPr>
            <w:tcW w:w="5322" w:type="dxa"/>
          </w:tcPr>
          <w:p w14:paraId="5D906405"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Intézkedések a fogyasztókra és a végfelhasználókra gyakorolt lényeges hatásokra vonatkozóan, valamint a fogyasztókhoz és a végfelhasználókhoz kapcsolódó lényeges kockázatok kezelésére és lényeges lehetőségek kihasználására irányuló megközelítések, továbbá ezen intézkedések hatékonysága</w:t>
            </w:r>
          </w:p>
        </w:tc>
        <w:tc>
          <w:tcPr>
            <w:tcW w:w="1526" w:type="dxa"/>
          </w:tcPr>
          <w:p w14:paraId="075A015E"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3F4D2646" w14:textId="77777777" w:rsidTr="005A4858">
        <w:tc>
          <w:tcPr>
            <w:tcW w:w="1160" w:type="dxa"/>
          </w:tcPr>
          <w:p w14:paraId="6293F706" w14:textId="77777777" w:rsidR="00BD159D" w:rsidRPr="00E45723" w:rsidRDefault="00BD159D" w:rsidP="00EA3B06">
            <w:pPr>
              <w:suppressAutoHyphens/>
              <w:spacing w:before="36" w:after="36"/>
              <w:jc w:val="left"/>
              <w:rPr>
                <w:rFonts w:asciiTheme="minorHAnsi" w:hAnsiTheme="minorHAnsi" w:cs="Calibri"/>
                <w:sz w:val="20"/>
              </w:rPr>
            </w:pPr>
          </w:p>
        </w:tc>
        <w:tc>
          <w:tcPr>
            <w:tcW w:w="847" w:type="dxa"/>
          </w:tcPr>
          <w:p w14:paraId="61788535"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S4-5</w:t>
            </w:r>
          </w:p>
        </w:tc>
        <w:tc>
          <w:tcPr>
            <w:tcW w:w="5322" w:type="dxa"/>
          </w:tcPr>
          <w:p w14:paraId="679B2EE6"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lényeges negatív hatások kezeléséhez, a pozitív hatások előmozdításához, valamint a lényeges kockázatok és lehetőségek kezeléséhez kapcsolódó célok</w:t>
            </w:r>
          </w:p>
        </w:tc>
        <w:tc>
          <w:tcPr>
            <w:tcW w:w="1526" w:type="dxa"/>
          </w:tcPr>
          <w:p w14:paraId="476315EE" w14:textId="77777777" w:rsidR="00BD159D" w:rsidRPr="00E45723" w:rsidRDefault="00BD159D" w:rsidP="00EA3B06">
            <w:pPr>
              <w:suppressAutoHyphens/>
              <w:spacing w:before="36" w:after="36"/>
              <w:jc w:val="left"/>
              <w:rPr>
                <w:rFonts w:asciiTheme="minorHAnsi" w:hAnsiTheme="minorHAnsi" w:cs="Calibri"/>
                <w:sz w:val="20"/>
              </w:rPr>
            </w:pPr>
          </w:p>
        </w:tc>
      </w:tr>
      <w:tr w:rsidR="00BD159D" w:rsidRPr="00E45723" w14:paraId="13A4C770" w14:textId="77777777" w:rsidTr="005A4858">
        <w:tc>
          <w:tcPr>
            <w:tcW w:w="1160" w:type="dxa"/>
          </w:tcPr>
          <w:p w14:paraId="0DC22AF7" w14:textId="77777777" w:rsidR="00BD159D" w:rsidRPr="00E45723" w:rsidRDefault="00FD7771" w:rsidP="00EA3B06">
            <w:pPr>
              <w:suppressAutoHyphens/>
              <w:spacing w:before="36" w:after="36"/>
              <w:jc w:val="left"/>
              <w:rPr>
                <w:rFonts w:asciiTheme="minorHAnsi" w:hAnsiTheme="minorHAnsi" w:cs="Calibri"/>
                <w:sz w:val="20"/>
              </w:rPr>
            </w:pPr>
            <w:r w:rsidRPr="00E45723">
              <w:rPr>
                <w:rStyle w:val="Strong"/>
                <w:rFonts w:asciiTheme="minorHAnsi" w:hAnsiTheme="minorHAnsi" w:cs="Calibri"/>
                <w:sz w:val="20"/>
              </w:rPr>
              <w:t>G1</w:t>
            </w:r>
          </w:p>
        </w:tc>
        <w:tc>
          <w:tcPr>
            <w:tcW w:w="847" w:type="dxa"/>
          </w:tcPr>
          <w:p w14:paraId="6CF70FE8"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G1-1</w:t>
            </w:r>
          </w:p>
          <w:p w14:paraId="5D2A30BD"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G1-3</w:t>
            </w:r>
          </w:p>
          <w:p w14:paraId="369CAD6F" w14:textId="77777777" w:rsidR="00BD159D" w:rsidRPr="00E45723" w:rsidRDefault="00BD159D" w:rsidP="00EA3B06">
            <w:pPr>
              <w:pStyle w:val="NormalWeb"/>
              <w:suppressAutoHyphens/>
              <w:spacing w:before="36" w:beforeAutospacing="0" w:after="36" w:afterAutospacing="0"/>
              <w:jc w:val="left"/>
              <w:rPr>
                <w:rFonts w:asciiTheme="minorHAnsi" w:hAnsiTheme="minorHAnsi" w:cs="Calibri"/>
                <w:sz w:val="20"/>
              </w:rPr>
            </w:pPr>
          </w:p>
          <w:p w14:paraId="33B64EF2" w14:textId="77777777" w:rsidR="00BD159D" w:rsidRPr="00E45723" w:rsidRDefault="00FD7771" w:rsidP="00EA3B06">
            <w:pPr>
              <w:pStyle w:val="NormalWeb"/>
              <w:suppressAutoHyphens/>
              <w:spacing w:before="36" w:beforeAutospacing="0" w:after="36" w:afterAutospacing="0"/>
              <w:jc w:val="left"/>
              <w:rPr>
                <w:rFonts w:asciiTheme="minorHAnsi" w:hAnsiTheme="minorHAnsi" w:cs="Calibri"/>
                <w:sz w:val="20"/>
              </w:rPr>
            </w:pPr>
            <w:r w:rsidRPr="00E45723">
              <w:rPr>
                <w:rFonts w:asciiTheme="minorHAnsi" w:hAnsiTheme="minorHAnsi" w:cs="Calibri"/>
                <w:sz w:val="20"/>
              </w:rPr>
              <w:t>G1-4</w:t>
            </w:r>
          </w:p>
        </w:tc>
        <w:tc>
          <w:tcPr>
            <w:tcW w:w="5322" w:type="dxa"/>
          </w:tcPr>
          <w:p w14:paraId="73FF68A9"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vállalati kultúrára és az üzleti magatartásra vonatkozó politikák, valamint a vállalati kultúra</w:t>
            </w:r>
          </w:p>
          <w:p w14:paraId="285F17ED"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A korrupció és a vesztegetés megelőzése és felderítése</w:t>
            </w:r>
          </w:p>
          <w:p w14:paraId="6325B4BD" w14:textId="77777777" w:rsidR="00BD159D" w:rsidRPr="00E45723" w:rsidRDefault="00FD7771" w:rsidP="00086AFB">
            <w:pPr>
              <w:pStyle w:val="NormalWeb"/>
              <w:suppressAutoHyphens/>
              <w:spacing w:before="36" w:beforeAutospacing="0" w:after="36" w:afterAutospacing="0"/>
              <w:rPr>
                <w:rFonts w:asciiTheme="minorHAnsi" w:hAnsiTheme="minorHAnsi" w:cs="Calibri"/>
                <w:sz w:val="20"/>
              </w:rPr>
            </w:pPr>
            <w:r w:rsidRPr="00E45723">
              <w:rPr>
                <w:rFonts w:asciiTheme="minorHAnsi" w:hAnsiTheme="minorHAnsi" w:cs="Calibri"/>
                <w:sz w:val="20"/>
              </w:rPr>
              <w:t>Megerősített korrupciós vagy vesztegetési esetek</w:t>
            </w:r>
          </w:p>
        </w:tc>
        <w:tc>
          <w:tcPr>
            <w:tcW w:w="1526" w:type="dxa"/>
          </w:tcPr>
          <w:p w14:paraId="3893A81A" w14:textId="77777777" w:rsidR="00BD159D" w:rsidRPr="00E45723" w:rsidRDefault="00BD159D" w:rsidP="00EA3B06">
            <w:pPr>
              <w:suppressAutoHyphens/>
              <w:spacing w:before="36" w:after="36"/>
              <w:jc w:val="left"/>
              <w:rPr>
                <w:rFonts w:asciiTheme="minorHAnsi" w:hAnsiTheme="minorHAnsi" w:cs="Calibri"/>
                <w:sz w:val="20"/>
              </w:rPr>
            </w:pPr>
          </w:p>
        </w:tc>
      </w:tr>
    </w:tbl>
    <w:p w14:paraId="756C6BF1" w14:textId="77777777" w:rsidR="00C70BA5" w:rsidRPr="00E45723" w:rsidRDefault="00C70BA5" w:rsidP="00EA3B06">
      <w:pPr>
        <w:pStyle w:val="BodyText"/>
        <w:rPr>
          <w:rFonts w:asciiTheme="minorHAnsi" w:hAnsiTheme="minorHAnsi" w:cs="Calibri"/>
          <w:b/>
        </w:rPr>
      </w:pPr>
    </w:p>
    <w:p w14:paraId="3B93673E" w14:textId="7C201256" w:rsidR="00BD159D" w:rsidRPr="00E45723" w:rsidRDefault="00FD7771" w:rsidP="00EA3B06">
      <w:pPr>
        <w:pStyle w:val="BodyText"/>
        <w:rPr>
          <w:rFonts w:asciiTheme="minorHAnsi" w:hAnsiTheme="minorHAnsi" w:cs="Calibri"/>
          <w:b/>
        </w:rPr>
      </w:pPr>
      <w:r w:rsidRPr="00E45723">
        <w:rPr>
          <w:rFonts w:asciiTheme="minorHAnsi" w:hAnsiTheme="minorHAnsi" w:cs="Calibri"/>
          <w:b/>
        </w:rPr>
        <w:t>Az ESRS E4 Biodiverzitás és ökoszisztémák negatív lényegességi értékelésének magyarázata</w:t>
      </w:r>
    </w:p>
    <w:p w14:paraId="20EC7CE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Cégcsoport a kettős lényegességi elemzés (DMA) keretében értékelte a biodiverzitás és ökoszisztémák (ESRS E4) témaköréhez kapcsolódó tényleges és potenciális hatásokat, kockázatokat és lehetőségeket. Az értékelés eredménye alapján az ESRS E4 témakör a Vállalat esetében nem </w:t>
      </w:r>
      <w:r w:rsidRPr="00E45723">
        <w:rPr>
          <w:rFonts w:asciiTheme="minorHAnsi" w:hAnsiTheme="minorHAnsi" w:cs="Calibri"/>
        </w:rPr>
        <w:lastRenderedPageBreak/>
        <w:t>minősült lényegesnek, mivel a Vállalat tevékenységei jellemzően nem járnak jelentős földhasználati változással, élőhely-átalakítással vagy olyan közvetlen beavatkozással, amely érdemben befolyásolná a biodiverzitást vagy az ökoszisztémák állapotát. </w:t>
      </w:r>
    </w:p>
    <w:p w14:paraId="2B81944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Group működése elsősorban meglévő létesítmények üzemeltetésére és szolgáltatási jellegű tevékenységekre épül, ezért a biodiverzitásra gyakorolt közvetlen hatások kiterjedése és mértéke korlátozott. A Vállalat továbbá nem folytat olyan elsődleges termelői tevékenységet (pl. mezőgazdaság, erdőgazdálkodás, bányászat), amely a biodiverzitás szempontjából jellemzően magas kitettséggel járna, és értékláncában sem azonosított olyan üzleti kapcsolatot, amely a biodiverzitási kockázatok szempontjából kiemeltnek tekinthető. A fentiekre tekintettel a Vállalat a biodiverzitás és ökoszisztémák témakörét nem sorolta a lényeges fenntarthatósági témák közé, ugyanakkor a kapcsolódó szabályozási és érintetti elvárásokat továbbra is figyelemmel kíséri.</w:t>
      </w:r>
    </w:p>
    <w:p w14:paraId="252204C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ESRS S3 érintett közösségekre vonatkozó negatív lényegességi értékelés magyarázata</w:t>
      </w:r>
    </w:p>
    <w:p w14:paraId="251E9E8A" w14:textId="0F6919D2"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Cégcsoport a kettős lényegességi elemzés (DMA) keretében értékelte az érintett közösségekhez (ESRS S3) kapcsolódó tényleges és potenciális hatásokat, kockázatokat és lehetőségeket. </w:t>
      </w:r>
      <w:r w:rsidR="00D77F04" w:rsidRPr="00E45723">
        <w:rPr>
          <w:rFonts w:asciiTheme="minorHAnsi" w:hAnsiTheme="minorHAnsi" w:cs="Calibri"/>
        </w:rPr>
        <w:br/>
      </w:r>
      <w:r w:rsidRPr="00E45723">
        <w:rPr>
          <w:rFonts w:asciiTheme="minorHAnsi" w:hAnsiTheme="minorHAnsi" w:cs="Calibri"/>
        </w:rPr>
        <w:t>Az értékelés eredménye alapján az ESRS S3 témakör a Vállalat esetében nem minősült lényegesnek, mivel a Vállalat működése jellemzően nem jár olyan mértékű közvetlen, helyi közösségeket érintő társadalmi hatásokkal, amelyek a lényegességi küszöbértéket elérnék.</w:t>
      </w:r>
    </w:p>
    <w:p w14:paraId="22B4CFD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A Cégcsoport tevékenysége elsősorban szolgáltatási jellegű, meglévő telephelyekhez és ügyfél-létesítményekhez kapcsolódik, így a helyi közösségekre gyakorolt hatások – például zajterhelés, közlekedési terhelés vagy egyéb zavaró tényezők – korlátozottan és eseti jelleggel jelentkezhetnek. A Vállalat nem végez olyan nagyléptékű beruházási vagy ipari tevékenységet, amely jellemzően jelentős közösségi kitettséggel, lakossági érintettséggel vagy társadalmi konfliktusokkal járna. </w:t>
      </w:r>
    </w:p>
    <w:p w14:paraId="0D96AF1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fentiek alapján a Vállalat az ESRS S3 témakört nem sorolta a lényeges fenntarthatósági témák közé, ugyanakkor az érintetti visszajelzéseket és a kapcsolódó jogszabályi előírásokat továbbra is figyelemmel kíséri, és törekszik a működésből eredő esetleges helyi hatások minimalizálására.</w:t>
      </w:r>
    </w:p>
    <w:p w14:paraId="68C8F254"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A lényeges hatásokkal, kockázatokkal és lehetőségekkel kapcsolatban közzéteendő lényeges információk meghatározásának magyarázata</w:t>
      </w:r>
    </w:p>
    <w:p w14:paraId="000577F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59.]</w:t>
      </w:r>
    </w:p>
    <w:p w14:paraId="6CD793A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Group a lényeges hatásokkal, kockázatokkal és lehetőségekkel (IRO-k) kapcsolatos közzéteendő információk körét a kettős lényegességi elemzés eredményei, valamint az ESRS által előírt közzétételi követelmények és adatpontok alapján határozza meg. A közzétételi tartalom kialakítása során a Vállalat azt vizsgálja, hogy az adott információ mennyiben járul hozzá a lényegesség alátámasztásához, az érintett hatások és kitettségek megértéséhez, valamint ahhoz, hogy az érintettek valós és kiegyensúlyozott képet kapjanak a működésből és az értékláncból eredő fenntarthatósági kockázatokról és lehetőségekről. </w:t>
      </w:r>
    </w:p>
    <w:p w14:paraId="2548102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közzéteendő információk meghatározásakor a Cégcsoport figyelembe veszi az ESRS témaspecifikus követelményeit, a LIWO Group működési sajátosságait, valamint a szolgáltatási környezetben (takarítás, egészségügyi higiénia, műszaki üzemeltetés) jelentkező tényleges és potenciális hatásokat. A releváns információk kiválasztása úgy történik, hogy azok egyértelműen bemutassák a lényeges témák hatás- és pénzügyi lényegességi vonatkozásait, továbbá megfelelően szemléltessék a kockázatok és lehetőségek működésre gyakorolt következményeit. </w:t>
      </w:r>
    </w:p>
    <w:p w14:paraId="2A779AF6" w14:textId="5A63B20B" w:rsidR="00BD159D" w:rsidRPr="00E45723" w:rsidRDefault="00FD7771" w:rsidP="00D77F04">
      <w:pPr>
        <w:pStyle w:val="BodyText"/>
        <w:suppressAutoHyphens/>
        <w:rPr>
          <w:rFonts w:asciiTheme="minorHAnsi" w:hAnsiTheme="minorHAnsi" w:cs="Calibri"/>
        </w:rPr>
      </w:pPr>
      <w:r w:rsidRPr="00E45723">
        <w:rPr>
          <w:rFonts w:asciiTheme="minorHAnsi" w:hAnsiTheme="minorHAnsi" w:cs="Calibri"/>
        </w:rPr>
        <w:t xml:space="preserve">A LIWO Group a közzététel szempontjából akkor tekint egy információt lényegesnek, ha az szükséges ahhoz, hogy az érintettek megértsék az adott IRO kiváltó okait, várható nagyságrendjét, lehetséges következményeit, illetve azt, hogy a Vállalat milyen intézkedésekkel kezeli vagy tervezi </w:t>
      </w:r>
      <w:r w:rsidRPr="00E45723">
        <w:rPr>
          <w:rFonts w:asciiTheme="minorHAnsi" w:hAnsiTheme="minorHAnsi" w:cs="Calibri"/>
        </w:rPr>
        <w:lastRenderedPageBreak/>
        <w:t>kezelni azokat. A kiválasztási folyamat célja, hogy a jelentésben kizárólag olyan adatok és narratív elemek szerepeljenek, amelyek érdemben hozzájárulnak a lényeges fenntarthatósági témák átlátható bemutatásához, és biztosítják, hogy a fenntarthatósági nyilatkozat konzisztens és ellenőrizhető legyen.</w:t>
      </w:r>
    </w:p>
    <w:p w14:paraId="49808DDB" w14:textId="77777777" w:rsidR="00BD159D" w:rsidRPr="00E45723" w:rsidRDefault="00FD7771" w:rsidP="00EA3B06">
      <w:pPr>
        <w:pStyle w:val="Stlus2"/>
        <w:suppressAutoHyphens/>
        <w:rPr>
          <w:rFonts w:asciiTheme="minorHAnsi" w:hAnsiTheme="minorHAnsi" w:cs="Calibri"/>
        </w:rPr>
      </w:pPr>
      <w:bookmarkStart w:id="30" w:name="_Toc239834917"/>
      <w:r w:rsidRPr="00E45723">
        <w:rPr>
          <w:rFonts w:asciiTheme="minorHAnsi" w:hAnsiTheme="minorHAnsi" w:cs="Calibri"/>
        </w:rPr>
        <w:t>Környezetvédelem</w:t>
      </w:r>
      <w:bookmarkEnd w:id="30"/>
    </w:p>
    <w:p w14:paraId="63CEF721" w14:textId="77777777" w:rsidR="00BD159D" w:rsidRPr="00E45723" w:rsidRDefault="00FD7771" w:rsidP="00D77F04">
      <w:pPr>
        <w:pStyle w:val="Heading2"/>
        <w:suppressAutoHyphens/>
        <w:spacing w:after="240"/>
        <w:rPr>
          <w:rFonts w:asciiTheme="minorHAnsi" w:hAnsiTheme="minorHAnsi" w:cs="Calibri"/>
          <w:highlight w:val="none"/>
        </w:rPr>
      </w:pPr>
      <w:bookmarkStart w:id="31" w:name="_Toc239834918"/>
      <w:r w:rsidRPr="00E45723">
        <w:rPr>
          <w:rFonts w:asciiTheme="minorHAnsi" w:hAnsiTheme="minorHAnsi" w:cs="Calibri"/>
        </w:rPr>
        <w:t>E1 – Klímaváltozás</w:t>
      </w:r>
      <w:bookmarkEnd w:id="31"/>
    </w:p>
    <w:p w14:paraId="15EB8E66" w14:textId="77777777" w:rsidR="00BD159D" w:rsidRPr="00E45723" w:rsidRDefault="00FD7771">
      <w:pPr>
        <w:rPr>
          <w:rFonts w:asciiTheme="minorHAnsi" w:hAnsiTheme="minorHAnsi" w:cs="Calibri"/>
        </w:rPr>
      </w:pPr>
      <w:r w:rsidRPr="00E45723">
        <w:rPr>
          <w:rFonts w:asciiTheme="minorHAnsi" w:hAnsiTheme="minorHAnsi" w:cs="Calibri"/>
        </w:rPr>
        <w:t>A LIWO Cégcsoport kettős lényegességi elemzése (DMA) alapján az éghajlatváltozás mérséklése és az energiafelhasználás lényeges témának minősül. A Cégcsoport működésének egyik legjelentősebb klímaváltozással kapcsolatos hatása a nagyméretű gépjárműflotta üzemanyag-felhasználásához és kapcsolódó üvegházhatásúgáz-kibocsátásához köthető, emellett az energiafelhasználás is releváns hatást jelent a működés során. A Cégcsoport stratégiája ezért kiemelt figyelmet fordít a kibocsátások csökkentésére, az energiahatékonyság javítására, a megújuló energiaforrások alkalmazására, valamint a flotta fokozatos korszerűsítésére. A DMA emellett azonosította az energiahatékonysági beruházásokból és a fenntarthatóbb szolgáltatások fejlesztéséből eredő üzleti lehetőségeket is, amelyek hozzájárulhatnak a hosszú távú versenyképesség és működési hatékonyság erősítéséhez.</w:t>
      </w:r>
    </w:p>
    <w:p w14:paraId="08C297A1" w14:textId="77777777" w:rsidR="00BD159D" w:rsidRPr="00E45723" w:rsidRDefault="00FD7771">
      <w:pPr>
        <w:suppressAutoHyphens/>
        <w:rPr>
          <w:rFonts w:asciiTheme="minorHAnsi" w:hAnsiTheme="minorHAnsi" w:cs="Calibri"/>
        </w:rPr>
      </w:pPr>
      <w:r w:rsidRPr="00E45723">
        <w:rPr>
          <w:rFonts w:asciiTheme="minorHAnsi" w:hAnsiTheme="minorHAnsi" w:cs="Calibri"/>
        </w:rPr>
        <w:t>[ESRS E1 bek. 20 a), AR 9] A LIWO FM Csoport rendszeres időközönként felméri a működéséből és ellátási láncából eredő tényleges és potenciális éghajlati hatásokat. Az értékelés a kettős lényegességi elemzéshez, valamint a kockázat- és lehetőségkezelési rendszerhez illeszkedve, integrált módon történik. Ennek keretében a Vállalat: </w:t>
      </w:r>
    </w:p>
    <w:p w14:paraId="2C3FB449"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Feltérképezi a közvetlen éghajlati hatásokat, így különösen az üzemeltetéshez kapcsolódó energia- és üzemanyagfelhasználást, valamint a távhő- és erőművi tevékenységekhez kapcsolódó kibocsátásokat. </w:t>
      </w:r>
    </w:p>
    <w:p w14:paraId="22F4223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Értékeli a hatásokat a súlyosság (mérték, hatókör, helyrehozhatóság) és a bekövetkezés valószínűsége alapján, továbbá elemzi az éghajlatváltozással összefüggő fizikai és átállási kockázatokat (pl. szélsőséges időjárási események, szabályozói változások). </w:t>
      </w:r>
    </w:p>
    <w:p w14:paraId="0AD1A60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Bevonja a releváns belső és külső érintetteket – többek között az üzemeltetési és HSE területeket, logisztikai partnereket és beszállítókat – a tényleges és potenciális hatások teljes körű megértése érdekében. </w:t>
      </w:r>
    </w:p>
    <w:p w14:paraId="27DBDCD3" w14:textId="77777777" w:rsidR="00BD159D" w:rsidRPr="00E45723" w:rsidRDefault="00FD7771" w:rsidP="00FD7771">
      <w:pPr>
        <w:numPr>
          <w:ilvl w:val="0"/>
          <w:numId w:val="8"/>
        </w:numPr>
        <w:rPr>
          <w:rFonts w:asciiTheme="minorHAnsi" w:hAnsiTheme="minorHAnsi" w:cs="Calibri"/>
        </w:rPr>
      </w:pPr>
      <w:r w:rsidRPr="00E45723">
        <w:rPr>
          <w:rFonts w:asciiTheme="minorHAnsi" w:hAnsiTheme="minorHAnsi" w:cs="Calibri"/>
        </w:rPr>
        <w:t>Beépíti a megállapításokat az éves stratégiai és operatív tervezésbe, különös tekintettel a kibocsátáscsökkentési célokra, az energiahatékonysági intézkedésekre, valamint a környezetkímélő szállítási megoldások előmozdítására. A folyamat jelenleg nem formalizált, ugyanakkor a Cégcsoport által elfogadott fenntarthatósági stratégia iránymutatást biztosít a kapcsolódó célok és intézkedések meghatározásához, amelyek alapján az egyes akciótervek és fejlesztési kezdeményezések kialakításra kerülnek.</w:t>
      </w:r>
    </w:p>
    <w:p w14:paraId="38B3428D" w14:textId="77777777" w:rsidR="00BD159D" w:rsidRPr="00E45723" w:rsidRDefault="00FD7771">
      <w:pPr>
        <w:pStyle w:val="ListParagraph"/>
        <w:suppressAutoHyphens/>
        <w:rPr>
          <w:rFonts w:asciiTheme="minorHAnsi" w:hAnsiTheme="minorHAnsi" w:cs="Calibri"/>
          <w:bCs/>
        </w:rPr>
      </w:pPr>
      <w:r w:rsidRPr="00E45723">
        <w:rPr>
          <w:rFonts w:asciiTheme="minorHAnsi" w:hAnsiTheme="minorHAnsi" w:cs="Calibri"/>
          <w:b/>
          <w:bCs/>
        </w:rPr>
        <w:t>[ESRS E1 AR 9 a)] A vállalkozás átvilágította tevékenységeit és terveit annak érdekében, hogy azonosítsa a tényleges és potenciális jövőbeli ÜHG-kibocsátási forrásokat, és adott esetben az egyéb éghajlatváltozással kapcsolatos hatások mozgatórugóit a saját működésében és az értéklánc mentén.</w:t>
      </w:r>
    </w:p>
    <w:p w14:paraId="3A5A9D36" w14:textId="77777777" w:rsidR="00C70BA5" w:rsidRPr="00E45723" w:rsidRDefault="00C70BA5" w:rsidP="00EA3B06">
      <w:pPr>
        <w:pStyle w:val="BodyText"/>
        <w:suppressAutoHyphens/>
        <w:rPr>
          <w:rFonts w:asciiTheme="minorHAnsi" w:hAnsiTheme="minorHAnsi" w:cs="Calibri"/>
          <w:b/>
        </w:rPr>
      </w:pPr>
    </w:p>
    <w:p w14:paraId="500CE207" w14:textId="4EBCC190"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Az éghajlattal kapcsolatos fizikai kockázatokkal kapcsolatos folyamat leírása a saját működésben és az értéklánc mentén</w:t>
      </w:r>
    </w:p>
    <w:p w14:paraId="19481956"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E1 bek. 20 b)] A Társaság az éghajlattal kapcsolatos fizikai kockázatok azonosítását és értékelését a kettős lényegességi elemzés (DMA) keretrendszerébe integrált módon végzi, kiterjesztve azt a saját működésre és az értéklánc releváns szakaszaira is.</w:t>
      </w:r>
    </w:p>
    <w:p w14:paraId="7C5AF16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folyamat első lépéseként a Társaság feltérképezi működési helyszíneit, szolgáltatási területeit és földrajzi jelenlétét, valamint azokat a tevékenységeket, amelyek közvetlenül ki vannak téve az éghajlati és időjárási hatásoknak. A fizikai kockázatok azonosítása során különösen az extrém időjárási eseményekhez, hőhullámokhoz, csapadék-intenzitás változásokhoz, valamint az ezekből eredő működési zavarokhoz kapcsolódó kitettséget vizsgálja. A saját működés tekintetében az értékelés kiterjed: </w:t>
      </w:r>
    </w:p>
    <w:p w14:paraId="47EC212F" w14:textId="77777777" w:rsidR="00BD159D" w:rsidRPr="00E45723" w:rsidRDefault="00FD7771" w:rsidP="00D77F04">
      <w:pPr>
        <w:pStyle w:val="BodyText"/>
        <w:numPr>
          <w:ilvl w:val="0"/>
          <w:numId w:val="20"/>
        </w:numPr>
        <w:suppressAutoHyphens/>
        <w:spacing w:before="0" w:after="200"/>
        <w:rPr>
          <w:rFonts w:asciiTheme="minorHAnsi" w:hAnsiTheme="minorHAnsi" w:cs="Calibri"/>
        </w:rPr>
      </w:pPr>
      <w:r w:rsidRPr="00E45723">
        <w:rPr>
          <w:rFonts w:asciiTheme="minorHAnsi" w:hAnsiTheme="minorHAnsi" w:cs="Calibri"/>
        </w:rPr>
        <w:t>a helyszíni szolgáltatásnyújtás folyamatosságára,</w:t>
      </w:r>
    </w:p>
    <w:p w14:paraId="48C1F266" w14:textId="77777777" w:rsidR="00BD159D" w:rsidRPr="00E45723" w:rsidRDefault="00FD7771" w:rsidP="00D77F04">
      <w:pPr>
        <w:pStyle w:val="BodyText"/>
        <w:numPr>
          <w:ilvl w:val="0"/>
          <w:numId w:val="20"/>
        </w:numPr>
        <w:suppressAutoHyphens/>
        <w:spacing w:before="0" w:after="200"/>
        <w:rPr>
          <w:rFonts w:asciiTheme="minorHAnsi" w:hAnsiTheme="minorHAnsi" w:cs="Calibri"/>
        </w:rPr>
      </w:pPr>
      <w:r w:rsidRPr="00E45723">
        <w:rPr>
          <w:rFonts w:asciiTheme="minorHAnsi" w:hAnsiTheme="minorHAnsi" w:cs="Calibri"/>
        </w:rPr>
        <w:t>a munkavállalók munkavégzési körülményeire és biztonságára,</w:t>
      </w:r>
    </w:p>
    <w:p w14:paraId="537D033A" w14:textId="77777777" w:rsidR="00BD159D" w:rsidRPr="00E45723" w:rsidRDefault="00FD7771" w:rsidP="00D77F04">
      <w:pPr>
        <w:pStyle w:val="BodyText"/>
        <w:numPr>
          <w:ilvl w:val="0"/>
          <w:numId w:val="20"/>
        </w:numPr>
        <w:suppressAutoHyphens/>
        <w:spacing w:before="0" w:after="200"/>
        <w:rPr>
          <w:rFonts w:asciiTheme="minorHAnsi" w:hAnsiTheme="minorHAnsi" w:cs="Calibri"/>
        </w:rPr>
      </w:pPr>
      <w:r w:rsidRPr="00E45723">
        <w:rPr>
          <w:rFonts w:asciiTheme="minorHAnsi" w:hAnsiTheme="minorHAnsi" w:cs="Calibri"/>
        </w:rPr>
        <w:t>az eszközök, berendezések és létesítmények működési kitettségére,</w:t>
      </w:r>
    </w:p>
    <w:p w14:paraId="7DF1AF8B" w14:textId="77777777" w:rsidR="00BD159D" w:rsidRPr="00E45723" w:rsidRDefault="00FD7771" w:rsidP="00D77F04">
      <w:pPr>
        <w:pStyle w:val="BodyText"/>
        <w:numPr>
          <w:ilvl w:val="0"/>
          <w:numId w:val="20"/>
        </w:numPr>
        <w:suppressAutoHyphens/>
        <w:spacing w:before="0" w:after="200"/>
        <w:rPr>
          <w:rFonts w:asciiTheme="minorHAnsi" w:hAnsiTheme="minorHAnsi" w:cs="Calibri"/>
        </w:rPr>
      </w:pPr>
      <w:r w:rsidRPr="00E45723">
        <w:rPr>
          <w:rFonts w:asciiTheme="minorHAnsi" w:hAnsiTheme="minorHAnsi" w:cs="Calibri"/>
        </w:rPr>
        <w:t>valamint a közlekedési és logisztikai folyamatok zavarkockázataira.</w:t>
      </w:r>
    </w:p>
    <w:p w14:paraId="3BE861C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értéklánc mentén a Társaság vizsgálja a beszállítói és alvállalkozói teljesítés folyamatosságát, az ellátási és szolgáltatási lánc időjárási és infrastrukturális sérülékenységét, valamint az ügyféloldali létesítmények működési kitettségét, amelyek a szolgáltatásnyújtás feltételeit befolyásolhatják.</w:t>
      </w:r>
    </w:p>
    <w:p w14:paraId="5CFBF9E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fizikai éghajlati kockázatok értékelése a DMA keretében alkalmazott hatás- és pénzügyi kockázati szempontok szerint történik, figyelembe véve a potenciális működési kiesések, többletköltségek és szolgáltatási kockázatok lehetőségét. Az azonosított kockázatok beépülnek a fenntarthatósági és működési kockázati értékelésekbe, és szükség esetén a kockázatkezelési intézkedések tervezésének alapját képezik.</w:t>
      </w:r>
    </w:p>
    <w:p w14:paraId="49AF720E" w14:textId="77777777" w:rsidR="00BD159D" w:rsidRPr="00E45723" w:rsidRDefault="00FD7771" w:rsidP="00086AFB">
      <w:pPr>
        <w:rPr>
          <w:rFonts w:asciiTheme="minorHAnsi" w:hAnsiTheme="minorHAnsi" w:cs="Calibri"/>
          <w:bCs/>
        </w:rPr>
      </w:pPr>
      <w:r w:rsidRPr="00E45723">
        <w:rPr>
          <w:rFonts w:asciiTheme="minorHAnsi" w:hAnsiTheme="minorHAnsi" w:cs="Calibri"/>
          <w:b/>
          <w:bCs/>
        </w:rPr>
        <w:t>[ESRS E1 AR 11 a)] Az éghajlattal kapcsolatos veszélyeket a LIWO Cégcsoport rövid, közép- és hosszú távon vizsgálja. A Cégcsoport ugyanakkor jelenleg nem rendelkezik formalizált, egységesen meghatározott rövid, közép- és hosszú távú időhorizontokkal, valamint ezek eszközök várható élettartamához, stratégiai tervezési horizontjaihoz és tőkeallokációs terveihez való kapcsolódásának részletes meghatározásával</w:t>
      </w:r>
      <w:r w:rsidRPr="00E45723">
        <w:rPr>
          <w:rStyle w:val="BadgeCharacter"/>
          <w:rFonts w:asciiTheme="minorHAnsi" w:hAnsiTheme="minorHAnsi" w:cs="Calibri"/>
          <w:bCs/>
        </w:rPr>
        <w:t>.</w:t>
      </w:r>
    </w:p>
    <w:p w14:paraId="6AB75A13"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eszközök és az üzleti tevékenységek milyen mértékben lehetnek kitéve az azonosított éghajlattal kapcsolatos veszélyeknek, és milyen mértékben érzékenyek azokra</w:t>
      </w:r>
    </w:p>
    <w:p w14:paraId="170786B0" w14:textId="03E6525D" w:rsidR="00BD159D" w:rsidRPr="00E45723" w:rsidRDefault="00FD7771">
      <w:pPr>
        <w:suppressAutoHyphens/>
        <w:spacing w:after="120"/>
        <w:rPr>
          <w:rFonts w:asciiTheme="minorHAnsi" w:hAnsiTheme="minorHAnsi" w:cs="Calibri"/>
        </w:rPr>
      </w:pPr>
      <w:r w:rsidRPr="00E45723">
        <w:rPr>
          <w:rFonts w:asciiTheme="minorHAnsi" w:hAnsiTheme="minorHAnsi" w:cs="Calibri"/>
        </w:rPr>
        <w:t>[ESRS E1 bek. 20 b) ii., AR 11 c)] A LIWO Cégcsoport a kettős lényegességi elemzés (DMA) keretében értékelte az éghajlatváltozással összefüggő hatásokat, kockázatokat és lehető</w:t>
      </w:r>
      <w:r w:rsidR="00D77F04" w:rsidRPr="00E45723">
        <w:rPr>
          <w:rFonts w:asciiTheme="minorHAnsi" w:hAnsiTheme="minorHAnsi" w:cs="Calibri"/>
        </w:rPr>
        <w:t>-</w:t>
      </w:r>
      <w:r w:rsidRPr="00E45723">
        <w:rPr>
          <w:rFonts w:asciiTheme="minorHAnsi" w:hAnsiTheme="minorHAnsi" w:cs="Calibri"/>
        </w:rPr>
        <w:t xml:space="preserve">ségeket, valamint azok kapcsolatát a Cégcsoport eszközeivel és üzleti tevékenységeivel. </w:t>
      </w:r>
      <w:r w:rsidR="00D77F04" w:rsidRPr="00E45723">
        <w:rPr>
          <w:rFonts w:asciiTheme="minorHAnsi" w:hAnsiTheme="minorHAnsi" w:cs="Calibri"/>
        </w:rPr>
        <w:br/>
      </w:r>
      <w:r w:rsidRPr="00E45723">
        <w:rPr>
          <w:rFonts w:asciiTheme="minorHAnsi" w:hAnsiTheme="minorHAnsi" w:cs="Calibri"/>
        </w:rPr>
        <w:t>A vizsgálat során a Cégcsoport elsősorban a szolgáltatásnyújtási tevékenységeihez, gépjármű</w:t>
      </w:r>
      <w:r w:rsidR="00D77F04" w:rsidRPr="00E45723">
        <w:rPr>
          <w:rFonts w:asciiTheme="minorHAnsi" w:hAnsiTheme="minorHAnsi" w:cs="Calibri"/>
        </w:rPr>
        <w:t>-</w:t>
      </w:r>
      <w:r w:rsidRPr="00E45723">
        <w:rPr>
          <w:rFonts w:asciiTheme="minorHAnsi" w:hAnsiTheme="minorHAnsi" w:cs="Calibri"/>
        </w:rPr>
        <w:t>flottájához és energiafelhasználásához kapcsolódó tényezőket vette figyelembe.</w:t>
      </w:r>
    </w:p>
    <w:p w14:paraId="16C6C41D" w14:textId="77777777" w:rsidR="00BD159D" w:rsidRPr="00E45723" w:rsidRDefault="00FD7771">
      <w:pPr>
        <w:spacing w:after="120"/>
        <w:rPr>
          <w:rFonts w:asciiTheme="minorHAnsi" w:hAnsiTheme="minorHAnsi" w:cs="Calibri"/>
        </w:rPr>
      </w:pPr>
      <w:r w:rsidRPr="00E45723">
        <w:rPr>
          <w:rFonts w:asciiTheme="minorHAnsi" w:hAnsiTheme="minorHAnsi" w:cs="Calibri"/>
        </w:rPr>
        <w:t>A DMA eredménye alapján a Cégcsoport esetében nem kerültek azonosításra lényeges éghajlatváltozással kapcsolatos fizikai vagy átállási kockázatok. Ugyanakkor a vizsgálat során értékelésre kerültek az éghajlatváltozással összefüggő szabályozási, működési és piaci tényezők, valamint azok lehetséges hatásai a működésre és a költségszerkezetre. A Cégcsoport klímaváltozással kapcsolatos lényeges témái elsősorban a saját működésből eredő üvegházhatásúgáz-kibocsátásokhoz és energiafelhasználáshoz kapcsolódó hatásokhoz, valamint az energiahatékonysági fejlesztésekben és a fenntarthatóbb szolgáltatásokban rejlő lehetőségekhez kapcsolódnak.</w:t>
      </w:r>
    </w:p>
    <w:p w14:paraId="56AA8F2A" w14:textId="0E29E955" w:rsidR="00BD159D" w:rsidRPr="00E45723" w:rsidRDefault="00FD7771">
      <w:pPr>
        <w:suppressAutoHyphens/>
        <w:rPr>
          <w:rFonts w:asciiTheme="minorHAnsi" w:hAnsiTheme="minorHAnsi" w:cs="Calibri"/>
        </w:rPr>
      </w:pPr>
      <w:r w:rsidRPr="00E45723">
        <w:rPr>
          <w:rFonts w:asciiTheme="minorHAnsi" w:hAnsiTheme="minorHAnsi" w:cs="Calibri"/>
        </w:rPr>
        <w:lastRenderedPageBreak/>
        <w:t>[ESRS E1 bek. 21] A Társaság a beszámolási időszakban nem alkalmazott formális éghajlati forgatókönyv-elemzést a rövid, közép- és hosszú távú fizikai kockázatok értékelésére. A fizikai klímakockázatok azonosítása és értékelése a kettős lényegességi elemzés, az értéklánc-vizsgálat és a működési kitettségek kvalitatív értékelése alapján történt. A Társaság a jövőben vizsgálja forgatókönyv-alapú megközelítés alkalmazásának lehetőségét.</w:t>
      </w:r>
    </w:p>
    <w:p w14:paraId="684319F8" w14:textId="77777777" w:rsidR="00BD159D" w:rsidRPr="00E45723" w:rsidRDefault="00FD7771" w:rsidP="00EA3B06">
      <w:pPr>
        <w:pStyle w:val="Heading3"/>
        <w:suppressAutoHyphens/>
        <w:rPr>
          <w:rFonts w:asciiTheme="minorHAnsi" w:hAnsiTheme="minorHAnsi" w:cs="Calibri"/>
        </w:rPr>
      </w:pPr>
      <w:bookmarkStart w:id="32" w:name="_Toc239834919"/>
      <w:r w:rsidRPr="00E45723">
        <w:rPr>
          <w:rFonts w:asciiTheme="minorHAnsi" w:hAnsiTheme="minorHAnsi" w:cs="Calibri"/>
        </w:rPr>
        <w:t>E1-1 Átállási terv az éghajlat</w:t>
      </w:r>
      <w:r w:rsidRPr="00E45723">
        <w:rPr>
          <w:rFonts w:ascii="Cambria Math" w:hAnsi="Cambria Math" w:cs="Cambria Math"/>
        </w:rPr>
        <w:t>‑</w:t>
      </w:r>
      <w:r w:rsidRPr="00E45723">
        <w:rPr>
          <w:rFonts w:asciiTheme="minorHAnsi" w:hAnsiTheme="minorHAnsi" w:cs="Calibri"/>
        </w:rPr>
        <w:t>változás mérséklésére</w:t>
      </w:r>
      <w:bookmarkEnd w:id="32"/>
    </w:p>
    <w:p w14:paraId="71482585" w14:textId="78E92829"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[ESRS E1 bek. 17.] Átállási tervet fogadtunk el</w:t>
      </w:r>
      <w:r w:rsidRPr="00E45723">
        <w:rPr>
          <w:rFonts w:asciiTheme="minorHAnsi" w:hAnsiTheme="minorHAnsi" w:cs="Calibri"/>
          <w:b/>
        </w:rPr>
        <w:t>:</w:t>
      </w:r>
      <w:r w:rsidRPr="00E45723">
        <w:rPr>
          <w:rStyle w:val="BadgeCharacter"/>
          <w:rFonts w:asciiTheme="minorHAnsi" w:hAnsiTheme="minorHAnsi" w:cs="Calibri"/>
          <w:b w:val="0"/>
        </w:rPr>
        <w:t xml:space="preserve"> </w:t>
      </w:r>
      <w:r w:rsidRPr="00E45723">
        <w:rPr>
          <w:rStyle w:val="BadgeCharacter"/>
          <w:rFonts w:asciiTheme="minorHAnsi" w:hAnsiTheme="minorHAnsi" w:cs="Calibri"/>
          <w:bCs/>
        </w:rPr>
        <w:t>Nem</w:t>
      </w:r>
      <w:r w:rsidRPr="00E45723">
        <w:rPr>
          <w:rStyle w:val="BadgeCharacter"/>
          <w:rFonts w:asciiTheme="minorHAnsi" w:hAnsiTheme="minorHAnsi" w:cs="Calibri"/>
          <w:b w:val="0"/>
        </w:rPr>
        <w:t xml:space="preserve"> </w:t>
      </w:r>
    </w:p>
    <w:p w14:paraId="77D444C4" w14:textId="23B69546"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[ESRS E1 bek. 17.] Az átállási terv elfogadását tervezzük</w:t>
      </w:r>
      <w:r w:rsidRPr="00E45723">
        <w:rPr>
          <w:rFonts w:asciiTheme="minorHAnsi" w:hAnsiTheme="minorHAnsi" w:cs="Calibri"/>
          <w:b/>
        </w:rPr>
        <w:t xml:space="preserve">: </w:t>
      </w:r>
      <w:r w:rsidRPr="00E45723">
        <w:rPr>
          <w:rStyle w:val="BadgeCharacter"/>
          <w:rFonts w:asciiTheme="minorHAnsi" w:hAnsiTheme="minorHAnsi" w:cs="Calibri"/>
          <w:bCs/>
        </w:rPr>
        <w:t>Igen</w:t>
      </w:r>
      <w:r w:rsidRPr="00E45723">
        <w:rPr>
          <w:rStyle w:val="BadgeCharacter"/>
          <w:rFonts w:asciiTheme="minorHAnsi" w:hAnsiTheme="minorHAnsi" w:cs="Calibri"/>
          <w:b w:val="0"/>
        </w:rPr>
        <w:t xml:space="preserve"> </w:t>
      </w:r>
    </w:p>
    <w:p w14:paraId="255F114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[ESRS E1 bek. 17.] Az átállási terv tervezett elfogadásának dátuma:</w:t>
      </w:r>
      <w:r w:rsidRPr="00E45723">
        <w:rPr>
          <w:rFonts w:asciiTheme="minorHAnsi" w:hAnsiTheme="minorHAnsi" w:cs="Calibri"/>
          <w:b/>
        </w:rPr>
        <w:t xml:space="preserve"> </w:t>
      </w:r>
      <w:r w:rsidRPr="00E45723">
        <w:rPr>
          <w:rStyle w:val="BadgeCharacter"/>
          <w:rFonts w:asciiTheme="minorHAnsi" w:hAnsiTheme="minorHAnsi" w:cs="Calibri"/>
          <w:bCs/>
        </w:rPr>
        <w:t>2026</w:t>
      </w:r>
    </w:p>
    <w:p w14:paraId="4B27D226" w14:textId="77777777" w:rsidR="00BD159D" w:rsidRPr="00E45723" w:rsidRDefault="00FD7771" w:rsidP="00EA3B06">
      <w:pPr>
        <w:pStyle w:val="Heading3"/>
        <w:suppressAutoHyphens/>
        <w:rPr>
          <w:rFonts w:asciiTheme="minorHAnsi" w:hAnsiTheme="minorHAnsi" w:cs="Calibri"/>
        </w:rPr>
      </w:pPr>
      <w:bookmarkStart w:id="33" w:name="_Toc239834920"/>
      <w:r w:rsidRPr="00E45723">
        <w:rPr>
          <w:rFonts w:asciiTheme="minorHAnsi" w:hAnsiTheme="minorHAnsi" w:cs="Calibri"/>
        </w:rPr>
        <w:t>E1-2 Az éghajlatváltozás mérséklésével és alkalmazkodásával kapcsolatos politikák</w:t>
      </w:r>
      <w:bookmarkEnd w:id="33"/>
    </w:p>
    <w:p w14:paraId="51B5DC76"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szabályozó eljárás főbb tartalmának leírása</w:t>
      </w:r>
    </w:p>
    <w:p w14:paraId="48D780D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w:t>
      </w:r>
      <w:r w:rsidRPr="00E45723">
        <w:rPr>
          <w:rFonts w:asciiTheme="minorHAnsi" w:hAnsiTheme="minorHAnsi" w:cs="Calibri"/>
        </w:rPr>
        <w:t>ESRS E1 bek. 24, 25.</w:t>
      </w:r>
      <w:r w:rsidRPr="00E45723">
        <w:rPr>
          <w:rFonts w:asciiTheme="minorHAnsi" w:hAnsiTheme="minorHAnsi" w:cs="Calibri"/>
          <w:b/>
        </w:rPr>
        <w:t xml:space="preserve">, </w:t>
      </w:r>
      <w:r w:rsidRPr="00E45723">
        <w:rPr>
          <w:rFonts w:asciiTheme="minorHAnsi" w:hAnsiTheme="minorHAnsi" w:cs="Calibri"/>
        </w:rPr>
        <w:t>ESRS 2 bek. 62.] A vállalat nem rendelkezik az éghajlatváltozás mérséklésével és alkalmazkodásával kapcsolatos szabályzatokkal, formalizált, jóváhagyott klímavédelmi politikával, ugyanakkor 2025-ben megkezdte egy átfogó éghajlatváltozási stratégia és az ahhoz kapcsolódó vállalati szintű politika kidolgozását. A folyamat célja, hogy egységes keretrendszer kerüljön kialakításra az üvegházhatású gázok kibocsátásának mérséklésére, az energiahatékonyság javítására, valamint a klímaváltozáshoz való alkalmazkodás szisztematikus, vállalati működésbe integrált kezelésére. A kidolgozás alatt álló politika várhatóan a következő jelentési ciklus során kerül véglegesítésre és bevezetésre a Cégcsoport egészében.</w:t>
      </w:r>
    </w:p>
    <w:p w14:paraId="7CC2D245" w14:textId="77777777" w:rsidR="00BD159D" w:rsidRPr="00E45723" w:rsidRDefault="00FD7771">
      <w:pPr>
        <w:rPr>
          <w:rFonts w:asciiTheme="minorHAnsi" w:hAnsiTheme="minorHAnsi" w:cs="Calibri"/>
        </w:rPr>
      </w:pPr>
      <w:r w:rsidRPr="00E45723">
        <w:rPr>
          <w:rFonts w:asciiTheme="minorHAnsi" w:hAnsiTheme="minorHAnsi" w:cs="Calibri"/>
        </w:rPr>
        <w:t>A szabályzat elfogadására azért nem került sor, mert a Társaság a releváns kibocsátási források feltérképezését, a klímakockázatok és lehetőségek értékelését, valamint a hosszú távú célok és kezdeményezések meghatározását még véglegesíti. A folyamat lezárását követően a klímapolitika a vezetés jóváhagyására és hivatalos bevezetésre kerül a következő jelentési ciklusban az Anyavállalatra vonatkozóan.</w:t>
      </w:r>
    </w:p>
    <w:p w14:paraId="5909ABFB" w14:textId="77777777" w:rsidR="00BD159D" w:rsidRPr="00E45723" w:rsidRDefault="00FD7771" w:rsidP="00D77F04">
      <w:pPr>
        <w:pStyle w:val="Heading3"/>
        <w:suppressAutoHyphens/>
        <w:spacing w:after="240"/>
        <w:rPr>
          <w:rFonts w:asciiTheme="minorHAnsi" w:hAnsiTheme="minorHAnsi" w:cs="Calibri"/>
        </w:rPr>
      </w:pPr>
      <w:bookmarkStart w:id="34" w:name="_Toc239834921"/>
      <w:r w:rsidRPr="00E45723">
        <w:rPr>
          <w:rFonts w:asciiTheme="minorHAnsi" w:hAnsiTheme="minorHAnsi" w:cs="Calibri"/>
        </w:rPr>
        <w:t>E1-3 Az éghajlatváltozási politikákkal kapcsolatos intézkedések és erőforrások</w:t>
      </w:r>
      <w:bookmarkEnd w:id="34"/>
    </w:p>
    <w:p w14:paraId="6317B365"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[ESRS 2 bek. 68 a)] A Társaság jelenleg egy átfogó ESG stratégia tervezetén dolgozik, amelynek részeként több, az éghajlatváltozás mérséklésére és az ahhoz való alkalmazkodásra irányuló intézkedés került előkészítésre. Ezek az intézkedések még nem kerültek formálisan elfogadásra, azonban már kidolgozott tartalommal rendelkeznek, és a stratégia véglegesítését követően a vállalat működésébe beépítésre kerülnek.  </w:t>
      </w:r>
    </w:p>
    <w:p w14:paraId="1F4A0328"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ÜHG</w:t>
      </w:r>
      <w:r w:rsidRPr="00E45723">
        <w:rPr>
          <w:rFonts w:ascii="Cambria Math" w:hAnsi="Cambria Math" w:cs="Cambria Math"/>
        </w:rPr>
        <w:t>‑</w:t>
      </w:r>
      <w:r w:rsidRPr="00E45723">
        <w:rPr>
          <w:rFonts w:asciiTheme="minorHAnsi" w:hAnsiTheme="minorHAnsi" w:cs="Calibri"/>
        </w:rPr>
        <w:t>kibocsátások mérése és számítási rendszer kialakítása – A vállalat az ESG stratégia tervezetében kiemelt célként határozza meg az ÜHG</w:t>
      </w:r>
      <w:r w:rsidRPr="00E45723">
        <w:rPr>
          <w:rFonts w:ascii="Cambria Math" w:hAnsi="Cambria Math" w:cs="Cambria Math"/>
        </w:rPr>
        <w:t>‑</w:t>
      </w:r>
      <w:r w:rsidRPr="00E45723">
        <w:rPr>
          <w:rFonts w:asciiTheme="minorHAnsi" w:hAnsiTheme="minorHAnsi" w:cs="Calibri"/>
        </w:rPr>
        <w:t xml:space="preserve">kibocsátások teljes körű mérésének és nyomon követésének bevezetését. A tervezett intézkedések közé tartozik a Scope 1, 2 és 3 kibocsátások számítási módszertanának kialakítása, az adatforrások egységesítése és a karbonlábnyom-számítás rendszerének megalapozása.  </w:t>
      </w:r>
    </w:p>
    <w:p w14:paraId="7567EAB9"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 xml:space="preserve">Klímasemlegességi és átállási terv előkészítése – A tervezet tartalmaz egy hosszú távú klímasemlegességi pálya kialakítását, amely az emissziócsökkentés fő irányait, valamint az alkalmazkodási és mérséklési lépéseket foglalja össze. A vállalat jelenleg a szükséges háttérelemzéseket, kockázatfeltárást és az átállási terv szakmai alapjait dolgozza ki.  </w:t>
      </w:r>
    </w:p>
    <w:p w14:paraId="2EA4A934"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Energiahatékonysági intézkedések előkészítése – A stratégia tervezete energiahatékonyság</w:t>
      </w:r>
      <w:r w:rsidRPr="00E45723">
        <w:rPr>
          <w:rFonts w:ascii="Cambria Math" w:hAnsi="Cambria Math" w:cs="Cambria Math"/>
        </w:rPr>
        <w:t>‑</w:t>
      </w:r>
      <w:r w:rsidRPr="00E45723">
        <w:rPr>
          <w:rFonts w:asciiTheme="minorHAnsi" w:hAnsiTheme="minorHAnsi" w:cs="Calibri"/>
        </w:rPr>
        <w:t xml:space="preserve">növelő intézkedéseket is tartalmaz. A vállalat az energiafelhasználás csökkentésére </w:t>
      </w:r>
      <w:r w:rsidRPr="00E45723">
        <w:rPr>
          <w:rFonts w:asciiTheme="minorHAnsi" w:hAnsiTheme="minorHAnsi" w:cs="Calibri"/>
        </w:rPr>
        <w:lastRenderedPageBreak/>
        <w:t xml:space="preserve">irányuló lehetőségeket, belső ösztönzőket és operatív fejlesztési pontokat térképez fel annak érdekében, hogy működése hatékonyabbá és alacsonyabb kibocsátásúvá váljon.  </w:t>
      </w:r>
    </w:p>
    <w:p w14:paraId="7DFBFC3D"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Alternatív hajtású járművekre történő átállás tervezése – A vállalat a saját járműflottájának dekarbonizációját is megkezdte előkészíteni. A stratégia tervezete vizsgálja az alternatív hajtású járművek beszerzésének lehetőségeit, ezek integrálását az operációba, valamint a flotta ÜHG</w:t>
      </w:r>
      <w:r w:rsidRPr="00E45723">
        <w:rPr>
          <w:rFonts w:ascii="Cambria Math" w:hAnsi="Cambria Math" w:cs="Cambria Math"/>
        </w:rPr>
        <w:t>‑</w:t>
      </w:r>
      <w:r w:rsidRPr="00E45723">
        <w:rPr>
          <w:rFonts w:asciiTheme="minorHAnsi" w:hAnsiTheme="minorHAnsi" w:cs="Calibri"/>
        </w:rPr>
        <w:t xml:space="preserve">profiljának csökkentését szolgáló eszközöket.  </w:t>
      </w:r>
    </w:p>
    <w:p w14:paraId="4708B3E2"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 xml:space="preserve">Megújuló energiaforrásokra való átállás előkészítése – A tervezet részeként a vállalat vizsgálja a zöld áramra és más alacsony karbonintenzitású energiaforrásokra való áttérés lehetőségeit. A cél a karbonintenzív energiafelhasználás csökkentése és a megújuló energia arányának növelése a működésben.  </w:t>
      </w:r>
    </w:p>
    <w:p w14:paraId="33E9CB88"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Fenntarthatósági és klímapolitika előkészítése – A klímaváltozás mérséklésére és alkalmazkodására irányuló intézkedéseket a vállalat egy új fenntarthatósági politikában kívánja rögzíteni. A dokumentum jelenleg tervezés alatt áll, és egységes keretet biztosít majd a vállalat klímastratégiai törekvéseinek és éghajlati céljainak.</w:t>
      </w:r>
    </w:p>
    <w:p w14:paraId="2B31DF7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főbb intézkedések várható eredményeinek közzététele és annak, hogy azok végrehajtása hogyan járul hozzá a szakpolitikai célok és célszámok eléréséhez</w:t>
      </w:r>
    </w:p>
    <w:p w14:paraId="3357E2BB" w14:textId="77777777" w:rsidR="00BD159D" w:rsidRPr="00E45723" w:rsidRDefault="00FD7771">
      <w:pPr>
        <w:rPr>
          <w:rFonts w:asciiTheme="minorHAnsi" w:hAnsiTheme="minorHAnsi" w:cs="Calibri"/>
        </w:rPr>
      </w:pPr>
      <w:r w:rsidRPr="00E45723">
        <w:rPr>
          <w:rFonts w:asciiTheme="minorHAnsi" w:hAnsiTheme="minorHAnsi" w:cs="Calibri"/>
        </w:rPr>
        <w:t>[ESRS 2 bek. 68 a)] Az ESG stratégia tervezett klímaintézkedései várhatóan jelentős mértékben támogatják a Társaság dekarbonizációs és energiahatékonysági törekvéseit. Az alábbi tervezett lépések együttesen járulnak hozzá az éghajlatváltozás mérséklésére irányuló vállalati és szabályozói célok eléréséhez:</w:t>
      </w:r>
    </w:p>
    <w:p w14:paraId="4DA1E05F" w14:textId="65404124"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ÜHG</w:t>
      </w:r>
      <w:r w:rsidRPr="00E45723">
        <w:rPr>
          <w:rFonts w:asciiTheme="minorHAnsi" w:hAnsiTheme="minorHAnsi" w:cs="Calibri"/>
        </w:rPr>
        <w:noBreakHyphen/>
        <w:t>kibocsátások számítási rendszerének bevezetése:</w:t>
      </w:r>
      <w:r w:rsidR="00D77F04" w:rsidRPr="00E45723">
        <w:rPr>
          <w:rFonts w:asciiTheme="minorHAnsi" w:hAnsiTheme="minorHAnsi" w:cs="Calibri"/>
        </w:rPr>
        <w:t xml:space="preserve"> </w:t>
      </w:r>
      <w:r w:rsidRPr="00E45723">
        <w:rPr>
          <w:rFonts w:asciiTheme="minorHAnsi" w:hAnsiTheme="minorHAnsi" w:cs="Calibri"/>
        </w:rPr>
        <w:t>Az ÜHG</w:t>
      </w:r>
      <w:r w:rsidRPr="00E45723">
        <w:rPr>
          <w:rFonts w:asciiTheme="minorHAnsi" w:hAnsiTheme="minorHAnsi" w:cs="Calibri"/>
        </w:rPr>
        <w:noBreakHyphen/>
        <w:t>adatok pontos és konzisztens gyűjtése megalapozza a kibocsátások csökkentésére irányuló későbbi intézkedéseket. Az átlátható adatrendszer segíti a klímacélok meghatározását, és biztosítja, hogy a vállalat hitelesen tudjon hozzájárulni a szabályozói dekarbonizációs elvárásokhoz. </w:t>
      </w:r>
    </w:p>
    <w:p w14:paraId="56297E71"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Klímasemlegességi és átállási terv kialakítása: A hosszú távú kibocsátáscsökkentési pálya meghatározása stratégiai irányt ad a vállalatnak. A terv várható eredménye, hogy a vállalat működése összhangba kerül a klímasemlegességi törekvésekkel, és a fő emissziós területeken célzott beavatkozások válhatnak megvalósíthatóvá. </w:t>
      </w:r>
    </w:p>
    <w:p w14:paraId="10E49E67"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Energiahatékonysági fejlesztések előkészítése: A tervezett intézkedések várhatóan csökkentik az energiafelhasználás karbonintenzitását és erősítik a vállalat alkalmazkodóképességét a növekvő energiaárakkal és szabályozási elvárásokkal szemben. Ezek a lépések közvetlenül támogatják az uniós és hazai energiahatékonysági célokat. </w:t>
      </w:r>
    </w:p>
    <w:p w14:paraId="2D9D97BB" w14:textId="48EE92C4"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Alternatív hajtású járművek bevezetésének előkészítése: A járműflotta karbonin</w:t>
      </w:r>
      <w:r w:rsidR="00D77F04" w:rsidRPr="00E45723">
        <w:rPr>
          <w:rFonts w:asciiTheme="minorHAnsi" w:hAnsiTheme="minorHAnsi" w:cs="Calibri"/>
        </w:rPr>
        <w:t>-</w:t>
      </w:r>
      <w:r w:rsidRPr="00E45723">
        <w:rPr>
          <w:rFonts w:asciiTheme="minorHAnsi" w:hAnsiTheme="minorHAnsi" w:cs="Calibri"/>
        </w:rPr>
        <w:t>tenzitásának csökkentése várhatóan mérsékli a közvetlen ÜHG</w:t>
      </w:r>
      <w:r w:rsidRPr="00E45723">
        <w:rPr>
          <w:rFonts w:asciiTheme="minorHAnsi" w:hAnsiTheme="minorHAnsi" w:cs="Calibri"/>
        </w:rPr>
        <w:noBreakHyphen/>
        <w:t xml:space="preserve">kibocsátásokat, és hozzájárul az alacsony kibocsátású közlekedésre vonatkozó szakpolitikai célokhoz. </w:t>
      </w:r>
      <w:r w:rsidR="00D77F04" w:rsidRPr="00E45723">
        <w:rPr>
          <w:rFonts w:asciiTheme="minorHAnsi" w:hAnsiTheme="minorHAnsi" w:cs="Calibri"/>
        </w:rPr>
        <w:br/>
      </w:r>
      <w:r w:rsidRPr="00E45723">
        <w:rPr>
          <w:rFonts w:asciiTheme="minorHAnsi" w:hAnsiTheme="minorHAnsi" w:cs="Calibri"/>
        </w:rPr>
        <w:t>Az átállás segíti a vállalat működési lábnyomának csökkentését és az energiahatékony mobilitási megoldások elterjedését. </w:t>
      </w:r>
    </w:p>
    <w:p w14:paraId="11D2B143"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Megújuló energiaforrások alkalmazásának vizsgálata: A zöld áramra való átállás előkészítése várhatóan csökkenti az energiafogyasztás karbonintenzitását, és előmozdítja a villamosenergia</w:t>
      </w:r>
      <w:r w:rsidRPr="00E45723">
        <w:rPr>
          <w:rFonts w:asciiTheme="minorHAnsi" w:hAnsiTheme="minorHAnsi" w:cs="Calibri"/>
        </w:rPr>
        <w:noBreakHyphen/>
        <w:t>felhasználás fenntarthatóvá tételét. Ezzel a vállalat közvetlenül hozzájárul a megújuló energia arányának növelésére irányuló szakpolitikai célokhoz. </w:t>
      </w:r>
    </w:p>
    <w:p w14:paraId="5AE70006" w14:textId="0381473E"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lastRenderedPageBreak/>
        <w:t xml:space="preserve">Fenntarthatósági és klímapolitika előkészítése: A kialakítás alatt álló politika egységesíti a vállalat klímacéljait és intézkedéseit, ezáltal erősíti a belső irányítási keretrendszert. </w:t>
      </w:r>
      <w:r w:rsidR="00D77F04" w:rsidRPr="00E45723">
        <w:rPr>
          <w:rFonts w:asciiTheme="minorHAnsi" w:hAnsiTheme="minorHAnsi" w:cs="Calibri"/>
        </w:rPr>
        <w:br/>
      </w:r>
      <w:r w:rsidRPr="00E45723">
        <w:rPr>
          <w:rFonts w:asciiTheme="minorHAnsi" w:hAnsiTheme="minorHAnsi" w:cs="Calibri"/>
        </w:rPr>
        <w:t>A várható eredmény egy olyan működési gyakorlat, amely hosszú távon biztosítja a szabályozói elvárásoknak való megfelelést, és támogatja az éghajlati célok következetes teljesítését.</w:t>
      </w:r>
    </w:p>
    <w:p w14:paraId="6AF8D83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főbb intézkedések hatókörének leírása</w:t>
      </w:r>
    </w:p>
    <w:p w14:paraId="678BC7B7" w14:textId="77777777" w:rsidR="00BD159D" w:rsidRPr="00E45723" w:rsidRDefault="00FD7771">
      <w:pPr>
        <w:spacing w:after="0"/>
        <w:rPr>
          <w:rFonts w:asciiTheme="minorHAnsi" w:hAnsiTheme="minorHAnsi" w:cs="Calibri"/>
        </w:rPr>
      </w:pPr>
      <w:r w:rsidRPr="00E45723">
        <w:rPr>
          <w:rFonts w:asciiTheme="minorHAnsi" w:hAnsiTheme="minorHAnsi" w:cs="Calibri"/>
        </w:rPr>
        <w:t>[ESRS 2 bek. 68 b)] A klímaváltozással kapcsolatos, az ESG stratégia tervezetében szereplő intézkedések a Társaság teljes működésére kiterjednek, különösen azokra a területekre, amelyek közvetlenül vagy közvetetten hozzájárulnak az üvegházhatású gázok kibocsátásához. A hatókör kiterjed a saját tevékenységből származó kibocsátásokra (Scope 1), az energiafelhasználáshoz köthető kibocsátásokra (Scope 2), valamint a legfontosabb értéklánci kibocsátási kategóriákra (Scope 3). Az intézkedések lefedik továbbá a vállalat energiagazdálkodását, a járműflotta üzemeltetését, a beszerzési folyamatokat, valamint az energiahatékonyságot és megújulóenergia</w:t>
      </w:r>
      <w:r w:rsidRPr="00E45723">
        <w:rPr>
          <w:rFonts w:asciiTheme="minorHAnsi" w:hAnsiTheme="minorHAnsi" w:cs="Calibri"/>
        </w:rPr>
        <w:noBreakHyphen/>
        <w:t>használatot érintő fejlesztési lehetőségeket. A fenntarthatósági és klímapolitika előkészítése pedig szervezeti szinten teremti meg azt a keretrendszert, amely biztosítja, hogy az intézkedések a vállalat valamennyi releváns működési egységére és folyamatára kiterjedjenek.</w:t>
      </w:r>
    </w:p>
    <w:p w14:paraId="78799C8E"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[ESRS 2 bek. 68 c)] Az a határidő, amelyen belül a kulcsfontosságú intézkedést végre kell hajtani:</w:t>
      </w:r>
      <w:r w:rsidRPr="00E45723">
        <w:rPr>
          <w:rStyle w:val="BadgeCharacter"/>
          <w:rFonts w:asciiTheme="minorHAnsi" w:hAnsiTheme="minorHAnsi" w:cs="Calibri"/>
          <w:b w:val="0"/>
        </w:rPr>
        <w:t xml:space="preserve"> </w:t>
      </w:r>
      <w:r w:rsidRPr="00E45723">
        <w:rPr>
          <w:rStyle w:val="BadgeCharacter"/>
          <w:rFonts w:asciiTheme="minorHAnsi" w:hAnsiTheme="minorHAnsi" w:cs="Calibri"/>
          <w:bCs/>
        </w:rPr>
        <w:t>Középtávú</w:t>
      </w:r>
      <w:r w:rsidRPr="00E45723">
        <w:rPr>
          <w:rStyle w:val="BadgeCharacter"/>
          <w:rFonts w:asciiTheme="minorHAnsi" w:hAnsiTheme="minorHAnsi" w:cs="Calibri"/>
          <w:b w:val="0"/>
        </w:rPr>
        <w:t xml:space="preserve"> </w:t>
      </w:r>
    </w:p>
    <w:p w14:paraId="6C77F50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Az év, amikor a főbb intézkedést be kell fejezni: </w:t>
      </w:r>
      <w:r w:rsidRPr="00E45723">
        <w:rPr>
          <w:rStyle w:val="BadgeCharacter"/>
          <w:rFonts w:asciiTheme="minorHAnsi" w:hAnsiTheme="minorHAnsi" w:cs="Calibri"/>
          <w:bCs/>
        </w:rPr>
        <w:t>2035</w:t>
      </w:r>
    </w:p>
    <w:p w14:paraId="51013BDB" w14:textId="60E4945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tényleges anyagi hatások által károsultak jogorvoslatának biztosítása, az abban való együttműködés vagy annak támogatása érdekében megtett főbb intézkedések és azok eredményeinek leírása</w:t>
      </w:r>
    </w:p>
    <w:p w14:paraId="376220B1" w14:textId="77777777" w:rsidR="00BD159D" w:rsidRPr="00E45723" w:rsidRDefault="00FD7771" w:rsidP="00D77F04">
      <w:pPr>
        <w:spacing w:after="0"/>
        <w:rPr>
          <w:rFonts w:asciiTheme="minorHAnsi" w:hAnsiTheme="minorHAnsi" w:cs="Calibri"/>
        </w:rPr>
      </w:pPr>
      <w:r w:rsidRPr="00E45723">
        <w:rPr>
          <w:rFonts w:asciiTheme="minorHAnsi" w:hAnsiTheme="minorHAnsi" w:cs="Calibri"/>
        </w:rPr>
        <w:t>[ESRS 2 bek. 68 d)] A Társaság működése kapcsán a materialitási értékelés során nem azonosítottunk olyan tényleges anyagi hatást vagy érintetti kárt, amely jogorvoslati folyamat működtetését tenné szükségessé. Ennek megfelelően a vállalatnál jelenleg nincs külön, kifejezetten ilyen esetekre kialakított jogorvoslati mechanizmus. A vállalat általános panaszkezelési és ügyfélszolgálati folyamatai biztosítják, hogy esetleges érintetti bejelentések kivizsgálása és kezelése megtörténjen. Amennyiben a jövőben olyan környezeti vagy társadalmi hatás kerülne azonosításra, amely jogorvoslatot igényel, a Társaság vállalja a szükséges eljárások és együttműködési mechanizmusok kialakítását.</w:t>
      </w:r>
    </w:p>
    <w:p w14:paraId="4A8D01DD" w14:textId="77777777" w:rsidR="00BD159D" w:rsidRPr="00E45723" w:rsidRDefault="00FD7771" w:rsidP="00D77F04">
      <w:pPr>
        <w:spacing w:before="240" w:after="0"/>
        <w:rPr>
          <w:rFonts w:asciiTheme="minorHAnsi" w:hAnsiTheme="minorHAnsi" w:cs="Calibri"/>
        </w:rPr>
      </w:pPr>
      <w:r w:rsidRPr="00E45723">
        <w:rPr>
          <w:rFonts w:asciiTheme="minorHAnsi" w:hAnsiTheme="minorHAnsi" w:cs="Calibri"/>
        </w:rPr>
        <w:t>[ESRS 2 bek. 68 e)] A LIWO Cégcsoport a korábbi időszakokban nem rendelkezett olyan, éghajlatváltozással vagy fenntarthatósággal kapcsolatos, csoportszintű intézkedésekkel, cselekvési tervekkel vagy programokkal, amelyek előrehaladásáról mennyiségi vagy minőségi információ közzététele szükséges lett volna. A jelenlegi ESG stratégia tervezete jelenti az első olyan, csoportszintű keretet, amelyhez kapcsolódóan a jövőbeli jelentési ciklusokban az előrehaladás nyomon követése és bemutatása biztosítottá válik.</w:t>
      </w:r>
    </w:p>
    <w:p w14:paraId="2ED3C0A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Az éghajlatváltozás mérséklésére irányuló intézkedések a következő dekarbonizációs eszközöket alkalmazzák: </w:t>
      </w:r>
    </w:p>
    <w:p w14:paraId="0C9190F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éghajlatváltozás mérséklésére irányuló intézkedések keretében a LIWO Cégcsoport több dekarbonizációs eszközt alkalmaz működésének üvegházhatásúgáz-kibocsátásának csökkentése érdekében. Az alkalmazott eszközök közé tartoznak az energiahatékonysági fejlesztések, az energia- és erőforrás-fogyasztás csökkentését célzó intézkedések, a fosszilis energiahordozók elektromos megoldásokkal történő kiváltása, valamint a megújuló energiaforrások használatának növelése.</w:t>
      </w:r>
      <w:r w:rsidRPr="00E45723">
        <w:rPr>
          <w:rStyle w:val="BadgeCharacter"/>
          <w:rFonts w:asciiTheme="minorHAnsi" w:hAnsiTheme="minorHAnsi" w:cs="Calibri"/>
        </w:rPr>
        <w:t xml:space="preserve"> </w:t>
      </w:r>
    </w:p>
    <w:p w14:paraId="47734193" w14:textId="77777777" w:rsidR="00BD159D" w:rsidRPr="00E45723" w:rsidRDefault="00FD7771" w:rsidP="00EA3B06">
      <w:pPr>
        <w:pStyle w:val="Heading3"/>
        <w:suppressAutoHyphens/>
        <w:rPr>
          <w:rFonts w:asciiTheme="minorHAnsi" w:hAnsiTheme="minorHAnsi" w:cs="Calibri"/>
        </w:rPr>
      </w:pPr>
      <w:bookmarkStart w:id="35" w:name="_Toc239834922"/>
      <w:r w:rsidRPr="00E45723">
        <w:rPr>
          <w:rFonts w:asciiTheme="minorHAnsi" w:hAnsiTheme="minorHAnsi" w:cs="Calibri"/>
        </w:rPr>
        <w:lastRenderedPageBreak/>
        <w:t>E1-4 Az éghajlatváltozás mérséklésével és az ahhoz való alkalmazkodással kapcsolatos célok</w:t>
      </w:r>
      <w:bookmarkEnd w:id="35"/>
    </w:p>
    <w:p w14:paraId="2BA7892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E1 bek. 30., E1 bek. 81.] A LIWO Cégcsoport szintjén jelenleg nem kerültek elfogadásra mérhető, eredményorientált célok az éghajlatváltozás mérséklésével és az ahhoz való alkalmazkodással kapcsolatban. A tagvállalatok gyakorlata ugyanakkor eltérő: a LIWO FM, a LIWO Csehország és a LIWO Szlovákia esetében ilyen célok nem kerültek elfogadásra, míg a LIWO Románia, LIWO Bulgária, a LIWO Szlovénia, a LIWO Lengyelország és a LIWO Németország rendelkeznek mérhető, eredményorientált klímacélokkal. A célkitűzések csoportszintű egységesítése jelenleg még nem történt meg.</w:t>
      </w:r>
    </w:p>
    <w:p w14:paraId="55468F50" w14:textId="0091C816" w:rsidR="00BD159D" w:rsidRPr="00E45723" w:rsidRDefault="00FD7771" w:rsidP="00D77F04">
      <w:pPr>
        <w:suppressAutoHyphens/>
        <w:rPr>
          <w:rFonts w:asciiTheme="minorHAnsi" w:hAnsiTheme="minorHAnsi" w:cs="Calibri"/>
        </w:rPr>
      </w:pPr>
      <w:r w:rsidRPr="00E45723">
        <w:rPr>
          <w:rFonts w:asciiTheme="minorHAnsi" w:hAnsiTheme="minorHAnsi" w:cs="Calibri"/>
        </w:rPr>
        <w:t xml:space="preserve">[ESRS 2 bek. 80 a)] A LIWO Cégcsoport szintjén jelenleg nem értelmezhető közvetlen kapcsolat a szakpolitikai célok és a klímaváltozással kapcsolatos vállalati politikák között, tekintettel arra, hogy csoportszinten nem kerültek meghatározásra mérhető, eredményorientált célok. </w:t>
      </w:r>
      <w:r w:rsidR="00D77F04" w:rsidRPr="00E45723">
        <w:rPr>
          <w:rFonts w:asciiTheme="minorHAnsi" w:hAnsiTheme="minorHAnsi" w:cs="Calibri"/>
        </w:rPr>
        <w:br/>
      </w:r>
      <w:r w:rsidRPr="00E45723">
        <w:rPr>
          <w:rFonts w:asciiTheme="minorHAnsi" w:hAnsiTheme="minorHAnsi" w:cs="Calibri"/>
        </w:rPr>
        <w:t xml:space="preserve">A csoportszintű integrációja a klímaváltozással kapcsolatos céloknak a következő évekre tervezett.  </w:t>
      </w:r>
    </w:p>
    <w:p w14:paraId="61B2E06A" w14:textId="77777777" w:rsidR="00BD159D" w:rsidRPr="00E45723" w:rsidRDefault="00FD7771" w:rsidP="00D77F04">
      <w:pPr>
        <w:suppressAutoHyphens/>
        <w:rPr>
          <w:rFonts w:asciiTheme="minorHAnsi" w:hAnsiTheme="minorHAnsi" w:cs="Calibri"/>
        </w:rPr>
      </w:pPr>
      <w:r w:rsidRPr="00E45723">
        <w:rPr>
          <w:rFonts w:asciiTheme="minorHAnsi" w:hAnsiTheme="minorHAnsi" w:cs="Calibri"/>
        </w:rPr>
        <w:t xml:space="preserve">A tagvállalatok gyakorlata e tekintetben eltérő: </w:t>
      </w:r>
    </w:p>
    <w:p w14:paraId="1E9784BF"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 xml:space="preserve">A LIWO Csehország és a LIWO Szlovákia nem határoztak meg mérhető célokat, így ezen esetekben a szakpolitikai célok és a vállalati politikák közötti kapcsolat sem került kialakításra; a téma jelenleg elsősorban a vonatkozó jogszabályoknak és belső eljárásoknak való megfelelés mentén kerül kezelésre. </w:t>
      </w:r>
    </w:p>
    <w:p w14:paraId="35CC52DA"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 xml:space="preserve">A LIWO Románia és LIWO Bulgária esetében a klímapolitika már tartalmaz mérhető, határidőhöz kötött célokat az üvegházhatású gázok kibocsátásának csökkentésére és az alkalmazkodásra, amelyek összhangban állnak az Európai Unió klímasemlegességi céljaival, és integrált részét képezik a fenntarthatósági stratégiának. </w:t>
      </w:r>
    </w:p>
    <w:p w14:paraId="7A934943"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 xml:space="preserve">A LIWO Szlovénia az ISO 14001 szabvány szerinti környezetirányítási rendszer keretében kezeli a témát, amely a jogszabályi megfelelésre, a szennyezés megelőzésére és a folyamatos fejlesztésre fókuszál, azonban konkrét, mérhető klímacélokhoz való közvetlen kapcsolódás nem került meghatározásra. </w:t>
      </w:r>
    </w:p>
    <w:p w14:paraId="7F6E87E5"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LIWO Lengyelország esetében az EU Ecolabel megszerzésére irányuló célkitűzés összhangban áll az integrált irányítási rendszer politikájával, és közvetetten támogatja a klímaváltozás mérséklését – többek között a környezeti lábnyom csökkentésén, valamint az erőforrás-hatékonyság javításán keresztül.</w:t>
      </w:r>
    </w:p>
    <w:p w14:paraId="4E60666F"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A LIWO Németország egy dedikált felelőst jelölt ki az energiafogyasztás felügyeletére és csökkentésére, amely operatív szinten hozzájárul a klímavédelmi törekvésekhez, ugyanakkor formálisan meghatározott, mérhető célokhoz való kapcsolódás nem került rögzítésre.</w:t>
      </w:r>
    </w:p>
    <w:p w14:paraId="24ECF665"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célérték meghatározásához használt módszertanok és jelentős feltételezések leírása</w:t>
      </w:r>
    </w:p>
    <w:p w14:paraId="31B556A3" w14:textId="77777777" w:rsidR="00BD159D" w:rsidRPr="00E45723" w:rsidRDefault="00FD7771">
      <w:pPr>
        <w:suppressAutoHyphens/>
        <w:rPr>
          <w:rFonts w:asciiTheme="minorHAnsi" w:hAnsiTheme="minorHAnsi" w:cs="Calibri"/>
          <w:bCs/>
        </w:rPr>
      </w:pPr>
      <w:r w:rsidRPr="00E45723">
        <w:rPr>
          <w:rFonts w:asciiTheme="minorHAnsi" w:hAnsiTheme="minorHAnsi" w:cs="Calibri"/>
          <w:bCs/>
        </w:rPr>
        <w:t>[ESRS 2 bek. 80 f)] A LIWO Cégcsoport szintjén jelenleg nem kerültek meghatározásra mérhető, eredményorientált klímacélok, ennek megfelelően a célértékek meghatározásához kapcsolódó egységes módszertanok és jelentős feltételezések sem állnak rendelkezésre.</w:t>
      </w:r>
    </w:p>
    <w:p w14:paraId="14C96BCE" w14:textId="77777777" w:rsidR="00BD159D" w:rsidRPr="00E45723" w:rsidRDefault="00FD7771" w:rsidP="00D77F04">
      <w:pPr>
        <w:pStyle w:val="BodyText"/>
        <w:numPr>
          <w:ilvl w:val="0"/>
          <w:numId w:val="22"/>
        </w:numPr>
        <w:rPr>
          <w:rFonts w:asciiTheme="minorHAnsi" w:hAnsiTheme="minorHAnsi" w:cs="Calibri"/>
        </w:rPr>
      </w:pPr>
      <w:r w:rsidRPr="00E45723">
        <w:rPr>
          <w:rFonts w:asciiTheme="minorHAnsi" w:hAnsiTheme="minorHAnsi" w:cs="Calibri"/>
        </w:rPr>
        <w:t xml:space="preserve">A tagvállalatok gyakorlata e tekintetben eltérő. A LIWO Csehország és a LIWO Szlovákia nem határoztak meg mérhető klímacélokat, így esetükben nem kerültek kialakításra célmeghatározási módszertanok vagy kapcsolódó feltételezések; a működés elsősorban a </w:t>
      </w:r>
      <w:r w:rsidRPr="00E45723">
        <w:rPr>
          <w:rFonts w:asciiTheme="minorHAnsi" w:hAnsiTheme="minorHAnsi" w:cs="Calibri"/>
        </w:rPr>
        <w:lastRenderedPageBreak/>
        <w:t>környezeti hatások nyomon követésére és a jogszabályi megfelelés biztosítására korlátozódik. A LIWO Románia és LIWO Bulgária esetében a célok meghatározása az üvegházhatású gázkibocsátások csökkentésére irányul, különös tekintettel a Scope 1, 2 és 3 kibocsátásokra; ennek keretében a módszertan részét képezi az emissziós adatok központosított gyűjtése és nyomon követése (pl. EPA számítási eszköz alkalmazásával), valamint a munkavállalók szemléletformálása a járműhasználatból eredő kibocsátások csökkentése érdekében.</w:t>
      </w:r>
    </w:p>
    <w:p w14:paraId="0E398758" w14:textId="77777777" w:rsidR="00BD159D" w:rsidRPr="00E45723" w:rsidRDefault="00FD7771" w:rsidP="00D77F04">
      <w:pPr>
        <w:pStyle w:val="BodyText"/>
        <w:numPr>
          <w:ilvl w:val="0"/>
          <w:numId w:val="22"/>
        </w:numPr>
        <w:suppressAutoHyphens/>
        <w:rPr>
          <w:rFonts w:asciiTheme="minorHAnsi" w:hAnsiTheme="minorHAnsi" w:cs="Calibri"/>
        </w:rPr>
      </w:pPr>
      <w:r w:rsidRPr="00E45723">
        <w:rPr>
          <w:rFonts w:asciiTheme="minorHAnsi" w:hAnsiTheme="minorHAnsi" w:cs="Calibri"/>
        </w:rPr>
        <w:t>A LIWO Lengyelország esetében az EU Ecolabel minősítés megszerzésére irányuló célkitűzés meghatározása belső működési adatok elemzésén, a vonatkozó környezetvédelmi szabályozásokon, valamint az integrált irányítási rendszer politikájában rögzített elveken alapul. A kapcsolódó jelentős feltételezések közé tartozik a tervezett környezetvédelmi intézkedések köre, a vállalati kötelezettségvállalásokkal való összhang, a nemzeti és uniós szabályozási környezet figyelembevétele, valamint a fenntartható működési elvek – például az alacsony környezeti hatású tisztítószerek alkalmazása – integrálása.</w:t>
      </w:r>
    </w:p>
    <w:p w14:paraId="5009F5B6" w14:textId="77777777" w:rsidR="00BD159D" w:rsidRPr="00E45723" w:rsidRDefault="00FD7771" w:rsidP="00D77F04">
      <w:pPr>
        <w:pStyle w:val="BodyText"/>
        <w:numPr>
          <w:ilvl w:val="0"/>
          <w:numId w:val="22"/>
        </w:numPr>
        <w:suppressAutoHyphens/>
        <w:rPr>
          <w:rFonts w:asciiTheme="minorHAnsi" w:hAnsiTheme="minorHAnsi" w:cs="Calibri"/>
        </w:rPr>
      </w:pPr>
      <w:r w:rsidRPr="00E45723">
        <w:rPr>
          <w:rFonts w:asciiTheme="minorHAnsi" w:hAnsiTheme="minorHAnsi" w:cs="Calibri"/>
        </w:rPr>
        <w:t>A LIWO Németország esetében az energiafogyasztás (villamos energia, földgáz) rendszeres nyomon követése, valamint az energiahatékonyságot javító műszaki megoldások – például automatikus szelepek – bevezetése képezi az intézkedések alapját, ugyanakkor formalizált, célérték-meghatározási módszertan nem került kialakításra.</w:t>
      </w:r>
    </w:p>
    <w:p w14:paraId="2924308B"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célkitűzés tudományos megalapozottsága és az érintett felek bevonása</w:t>
      </w:r>
    </w:p>
    <w:p w14:paraId="6C670DC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[ESRS 2 bek. 80 g)–h)] A LIWO Cégcsoport szintjén a klímacélok tudományos megalapozottsága és az érintett felek bevonása nem értelmezhető, tekintettel a csoportszintű célok hiányára. A tagvállalatok többségénél – így a LIWO Csehország, a LIWO Szlovákia, a LIWO Szlovénia, a LIWO Lengyelország és a LIWO Németország esetében – a célkitűzések nem tekinthetők kifejezetten tudományos bizonyítékokon alapulónak, és az érintettek bevonása sem formalizált. A LIWO Románia–Bulgária esetében megjelenik a szabályozási és szakpolitikai célokhoz való igazodás, azonban ennek tudományos megalapozottsága és az érintetti bevonás részletei nem kerültek egységesen rögzítésre. </w:t>
      </w:r>
    </w:p>
    <w:p w14:paraId="4888577F"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célértékekhez és módszertanokhoz kapcsolódó változások</w:t>
      </w:r>
    </w:p>
    <w:p w14:paraId="319172A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80 i)] A LIWO Cégcsoport szintjén a célok hiánya miatt ilyen jellegű változások nem értelmezhetők. A tagvállalatok többségénél sem történt releváns változás: a LIWO Csehország és a LIWO Szlovákia esetében célok hiányában sem a metrikák, sem a módszertanok nem változtak, míg a LIWO Románia–Bulgária, a LIWO Lengyelország és a LIWO Németország nem számoltak be változásról. A LIWO Szlovénia esetében a célokhoz és módszertanokhoz kapcsolódó módosítások dokumentálása biztosított, beleértve a feltételezések, korlátok és adatforrások bemutatását is.</w:t>
      </w:r>
    </w:p>
    <w:p w14:paraId="33E7A657"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közzétett célokhoz viszonyított teljesítmény</w:t>
      </w:r>
    </w:p>
    <w:p w14:paraId="58E52A4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80 j)] A LIWO Cégcsoport szintjén a célok hiányában egységes teljesítményértékelés nem lehetséges. A LIWO Csehország és a LIWO Szlovákia esetében a célok hiánya miatt a teljesítmény nem értékelhető, ugyanakkor a környezeti hatások nyomon követése biztosított. A LIWO Románia–Bulgária folyamatosan monitorozza az előrehaladást, amely az éves jelentésekben kerül bemutatásra. A LIWO Szlovénia a célok teljesülését rendszeresen értékeli és az eltérések alapján fejlesztési intézkedéseket határoz meg. A LIWO Lengyelország esetében az előrehaladás az integrált irányítási rendszer keretében, belső és külső auditok révén kerül ellenőrzésre; az EU Ecolabel megszerzésére irányuló célkitűzés 2025-ben sikeresen megvalósult. A LIWO Németország esetében a kitűzött célok 2025-ben teljesültek.</w:t>
      </w:r>
    </w:p>
    <w:p w14:paraId="6A92C080"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lastRenderedPageBreak/>
        <w:t>ÜHG-kibocsátáscsökkentési célok és azok hatóköre</w:t>
      </w:r>
    </w:p>
    <w:p w14:paraId="7DA02F5C" w14:textId="4FCC62B6" w:rsidR="00BD159D" w:rsidRPr="00E45723" w:rsidRDefault="00FD7771" w:rsidP="00D77F04">
      <w:pPr>
        <w:pStyle w:val="BodyText"/>
        <w:rPr>
          <w:rFonts w:asciiTheme="minorHAnsi" w:hAnsiTheme="minorHAnsi" w:cs="Calibri"/>
        </w:rPr>
      </w:pPr>
      <w:r w:rsidRPr="00E45723">
        <w:rPr>
          <w:rFonts w:asciiTheme="minorHAnsi" w:hAnsiTheme="minorHAnsi" w:cs="Calibri"/>
        </w:rPr>
        <w:t>[ESRS E1 bek. 33–34] A LIWO Cégcsoport szintjén nem kerültek meghatározásra ÜHG-kibocsátáscsökkentési célok, így azok hatóköre, báziséve, időtávja, valamint az egyes kibocsátási körök (Scope 1, 2, 3) szerinti lefedettség és arányok sem kerültek egységesen meghatározásra. A tagvállalatok közül kizárólag a LIWO Románia–Bulgária határozott meg ilyen célokat, és ehhez kapcsolódóan konkrét dekarbonizációs intézkedéseket is bevezetett, ideértve a hibrid járművek beszerzését, a zöldenergia használatára való átállást, valamint a környezeti szempontok érvényesítését a beszerzési és szolgáltatási folyamatokban. A LIWO Csehország és a LIWO Szlovákia nem határoztak meg ÜHG-csökkentési célokat, így dekarbonizációs eszközök sem kerültek számszerűsítésre, és a Scope 3 kibocsátások jelenleg nem kerülnek szisztematikusan mérésre. A LIWO Lengyelország esetében az EU Ecolabel célkitűzés nem minősül formális ÜHG-csökkentési célnak, míg a LIWO Németország elsősorban operatív energiahatékonysági intézkedésekre fókuszál.</w:t>
      </w:r>
    </w:p>
    <w:p w14:paraId="0545C759" w14:textId="77777777" w:rsidR="00BD159D" w:rsidRPr="00E45723" w:rsidRDefault="00FD7771" w:rsidP="00EA3B06">
      <w:pPr>
        <w:pStyle w:val="Heading3"/>
        <w:suppressAutoHyphens/>
        <w:rPr>
          <w:rFonts w:asciiTheme="minorHAnsi" w:hAnsiTheme="minorHAnsi" w:cs="Calibri"/>
        </w:rPr>
      </w:pPr>
      <w:bookmarkStart w:id="36" w:name="_Toc239834923"/>
      <w:r w:rsidRPr="00E45723">
        <w:rPr>
          <w:rFonts w:asciiTheme="minorHAnsi" w:hAnsiTheme="minorHAnsi" w:cs="Calibri"/>
        </w:rPr>
        <w:t>E1-5 Energiafogyasztás és energiamix</w:t>
      </w:r>
      <w:bookmarkEnd w:id="36"/>
    </w:p>
    <w:p w14:paraId="60FD5C99"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Az üzemi tevékenységekhez kapcsolódó teljes energiafogyasztás</w:t>
      </w:r>
    </w:p>
    <w:p w14:paraId="72D64D6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E1 bek 37.] A LIWO Cégcsoport üzemi tevékenységeihez kapcsolódó teljes energiafogyasztása 20 414,35 MWh volt, amely döntően fosszilis forrásokból származik, kisebb arányban atomenergia és megújuló energia mellett.</w:t>
      </w:r>
    </w:p>
    <w:p w14:paraId="2264FB0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adatszolgáltatás az Anyavállalat, valamint több tagvállalat működését fedi le, ugyanakkor nem teljes körű: a LIWO Olaszország, a LIWO Szlovákia és a LIWO Szlovénia nem szerepelnek benne. Az energiafelhasználás meghatározó része az Anyavállalathoz és a LIWO Lengyelországhoz köthető, míg a többi érintett ország hozzájárulása lényegesen alacsonyabb.</w:t>
      </w:r>
    </w:p>
    <w:p w14:paraId="16FF30CF" w14:textId="2C413C48"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üzemi tevékenységekhez kapcsolódó teljes energiafogyasztás: 20</w:t>
      </w:r>
      <w:r w:rsidR="00D77F04" w:rsidRPr="00E45723">
        <w:rPr>
          <w:rFonts w:asciiTheme="minorHAnsi" w:hAnsiTheme="minorHAnsi" w:cs="Calibri"/>
          <w:b/>
        </w:rPr>
        <w:t xml:space="preserve"> </w:t>
      </w:r>
      <w:r w:rsidRPr="00E45723">
        <w:rPr>
          <w:rFonts w:asciiTheme="minorHAnsi" w:hAnsiTheme="minorHAnsi" w:cs="Calibri"/>
          <w:b/>
        </w:rPr>
        <w:t>414,35 MWh</w:t>
      </w:r>
    </w:p>
    <w:p w14:paraId="570032F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Fosszilis forrásokból származó teljes energiafogyasztás: 19 578,06 MWh</w:t>
      </w:r>
    </w:p>
    <w:p w14:paraId="3DAF14C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Atomenergia-forrásokból származó teljes energiafogyasztás: 1 992,00 MWh</w:t>
      </w:r>
    </w:p>
    <w:p w14:paraId="00BDE0B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Megújuló forrásokból származó teljes energiafogyasztás: 354,78 MWh</w:t>
      </w:r>
    </w:p>
    <w:p w14:paraId="0F631AC3" w14:textId="1A3F9A80"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FM ZRT.: 14</w:t>
      </w:r>
      <w:r w:rsidR="00D77F04" w:rsidRPr="00E45723">
        <w:rPr>
          <w:rFonts w:asciiTheme="minorHAnsi" w:hAnsiTheme="minorHAnsi" w:cs="Calibri"/>
          <w:b/>
        </w:rPr>
        <w:t xml:space="preserve"> </w:t>
      </w:r>
      <w:r w:rsidRPr="00E45723">
        <w:rPr>
          <w:rFonts w:asciiTheme="minorHAnsi" w:hAnsiTheme="minorHAnsi" w:cs="Calibri"/>
          <w:b/>
        </w:rPr>
        <w:t>300,12 MWh</w:t>
      </w:r>
    </w:p>
    <w:p w14:paraId="6806607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Fosszilis forrásokból származó teljes energiafogyasztás: 13 810,39 MWh</w:t>
      </w:r>
    </w:p>
    <w:p w14:paraId="57B082D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Atomenergia-forrásokból származó teljes energiafogyasztás: 480,00 MWh</w:t>
      </w:r>
    </w:p>
    <w:p w14:paraId="2998A27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Megújuló forrásokból származó teljes energiafogyasztás: 9,73 MWh</w:t>
      </w:r>
    </w:p>
    <w:p w14:paraId="59B79799" w14:textId="77777777" w:rsidR="00BD159D" w:rsidRPr="00E45723" w:rsidRDefault="00FD7771">
      <w:pPr>
        <w:suppressAutoHyphens/>
        <w:spacing w:before="6" w:after="120"/>
        <w:rPr>
          <w:rFonts w:asciiTheme="minorHAnsi" w:hAnsiTheme="minorHAnsi" w:cs="Calibri"/>
          <w:b/>
          <w:bCs/>
        </w:rPr>
      </w:pPr>
      <w:r w:rsidRPr="00E45723">
        <w:rPr>
          <w:rFonts w:asciiTheme="minorHAnsi" w:hAnsiTheme="minorHAnsi" w:cs="Calibri"/>
          <w:b/>
          <w:bCs/>
        </w:rPr>
        <w:t>Teljes energiatermelés</w:t>
      </w:r>
    </w:p>
    <w:p w14:paraId="733FA185" w14:textId="77777777" w:rsidR="00BD159D" w:rsidRPr="00E45723" w:rsidRDefault="00FD7771">
      <w:pPr>
        <w:suppressAutoHyphens/>
        <w:spacing w:before="6" w:after="6"/>
        <w:rPr>
          <w:rFonts w:asciiTheme="minorHAnsi" w:hAnsiTheme="minorHAnsi" w:cs="Calibri"/>
        </w:rPr>
      </w:pPr>
      <w:r w:rsidRPr="00E45723">
        <w:rPr>
          <w:rFonts w:asciiTheme="minorHAnsi" w:hAnsiTheme="minorHAnsi" w:cs="Calibri"/>
        </w:rPr>
        <w:t>[ESRS E1 bek. 39.] Az energiatermelés kizárólag az Anyavállalathoz köthető. A LIWO Csehország, a LIWO Románia–Bulgária, a LIWO Szlovénia, a LIWO Lengyelország és a LIWO Németország esetében energiatermelés nem történt. A Cégcsoport többi tagvállalata nem szolgáltatott adatot az energiatermelés tekintetében.</w:t>
      </w:r>
    </w:p>
    <w:p w14:paraId="6CFBD921"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Teljes energiatermelés: 49,46 MWh</w:t>
      </w:r>
    </w:p>
    <w:p w14:paraId="14C5C51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Nem megújuló energiatermelés: 0,00 MWh</w:t>
      </w:r>
    </w:p>
    <w:p w14:paraId="0226F82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Megújuló energiatermelés: 49 455,00 MWh</w:t>
      </w:r>
    </w:p>
    <w:p w14:paraId="2C0B6A4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LIWO FM ZRT.: 49,46 MWh</w:t>
      </w:r>
    </w:p>
    <w:p w14:paraId="4CF90BC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Nem megújuló energiatermelés: 0,00 MWh</w:t>
      </w:r>
    </w:p>
    <w:p w14:paraId="09457D9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Megújuló energiatermelés: 49 455,00 kWh</w:t>
      </w:r>
    </w:p>
    <w:p w14:paraId="7E02870B" w14:textId="77777777" w:rsidR="00BD159D" w:rsidRPr="00E45723" w:rsidRDefault="00FD7771">
      <w:pPr>
        <w:rPr>
          <w:rFonts w:asciiTheme="minorHAnsi" w:hAnsiTheme="minorHAnsi" w:cs="Calibri"/>
        </w:rPr>
      </w:pPr>
      <w:r w:rsidRPr="00E45723">
        <w:rPr>
          <w:rFonts w:asciiTheme="minorHAnsi" w:hAnsiTheme="minorHAnsi" w:cs="Calibri"/>
        </w:rPr>
        <w:t>[ESRS E1 bek. 42.] A LIWO Cégcsoporton belül az éghajlatváltozás mérsékléséhez és az energiaintenzitás meghatározásához használt ágazatok alkalmazása nem egységes, és csoportszinten nem került egységesen meghatározásra.</w:t>
      </w:r>
    </w:p>
    <w:p w14:paraId="4203A7FB" w14:textId="77777777" w:rsidR="00BD159D" w:rsidRPr="00E45723" w:rsidRDefault="00FD7771">
      <w:pPr>
        <w:suppressAutoHyphens/>
        <w:spacing w:before="6" w:after="6"/>
        <w:rPr>
          <w:rFonts w:asciiTheme="minorHAnsi" w:hAnsiTheme="minorHAnsi" w:cs="Calibri"/>
        </w:rPr>
      </w:pPr>
      <w:r w:rsidRPr="00E45723">
        <w:rPr>
          <w:rFonts w:asciiTheme="minorHAnsi" w:hAnsiTheme="minorHAnsi" w:cs="Calibri"/>
        </w:rPr>
        <w:t>A tagvállalatok közül az Anyavállalat, valamint a LIWO Németország az építőipar és műszaki tudományok (NACE: F) kategóriába sorolja tevékenységét, míg a LIWO Szlovénia a vegyi termékek gyártása (NACE: C) ágazatot alkalmazza, a LIWO Lengyelország pedig az ingatlan- és szolgáltatási szektorhoz (NACE: L) kapcsolódó besorolást használ. A többi tagvállalat esetében nem került megadásra releváns ágazati besorolás, így az adatszolgáltatás ezen a területen nem teljes körű.</w:t>
      </w:r>
    </w:p>
    <w:p w14:paraId="2150331C" w14:textId="77777777" w:rsidR="00BD159D" w:rsidRPr="00E45723" w:rsidRDefault="00FD7771" w:rsidP="00EA3B06">
      <w:pPr>
        <w:pStyle w:val="Heading3"/>
        <w:suppressAutoHyphens/>
        <w:rPr>
          <w:rFonts w:asciiTheme="minorHAnsi" w:hAnsiTheme="minorHAnsi" w:cs="Calibri"/>
        </w:rPr>
      </w:pPr>
      <w:bookmarkStart w:id="37" w:name="_Toc239834924"/>
      <w:r w:rsidRPr="00E45723">
        <w:rPr>
          <w:rFonts w:asciiTheme="minorHAnsi" w:hAnsiTheme="minorHAnsi" w:cs="Calibri"/>
        </w:rPr>
        <w:t>E1-6 Bruttó scope 1., 2., 3. és teljes ÜHG-kibocsátás</w:t>
      </w:r>
      <w:bookmarkEnd w:id="37"/>
    </w:p>
    <w:p w14:paraId="1CC5745E" w14:textId="77777777" w:rsidR="00BD159D" w:rsidRPr="00E45723" w:rsidRDefault="00FD7771">
      <w:pPr>
        <w:pStyle w:val="ListParagraph"/>
        <w:suppressAutoHyphens/>
        <w:spacing w:before="120" w:after="240"/>
        <w:ind w:left="0"/>
        <w:rPr>
          <w:rFonts w:asciiTheme="minorHAnsi" w:hAnsiTheme="minorHAnsi" w:cs="Calibri"/>
        </w:rPr>
      </w:pPr>
      <w:r w:rsidRPr="00E45723">
        <w:rPr>
          <w:rFonts w:asciiTheme="minorHAnsi" w:hAnsiTheme="minorHAnsi" w:cs="Calibri"/>
        </w:rPr>
        <w:t>A jelenlegi számítások a Társaság Scope 1 és Scope 2 kibocsátásaira terjednek ki. Az ezekhez kapcsolódó adatok forrása leányvállalatonként eltérő: a magyarországi leányvállalat esetében a jogszabályi adatszolgáltatás keretében gyűjtött, a Központi Statisztikai Hivatal (KSH) által előírt OSAP adatok szolgálnak alapul, amelyek magas szintű megbízhatóságot és konzisztenciát biztosítanak. A külföldi leányvállalatok esetében az adatszolgáltatás a helyi működéshez illeszkedő, belső módszertanok alapján történik.</w:t>
      </w:r>
    </w:p>
    <w:p w14:paraId="5E0E00A8" w14:textId="77777777" w:rsidR="00BD159D" w:rsidRPr="00E45723" w:rsidRDefault="00FD7771" w:rsidP="00D77F04">
      <w:pPr>
        <w:suppressAutoHyphens/>
        <w:rPr>
          <w:rFonts w:asciiTheme="minorHAnsi" w:hAnsiTheme="minorHAnsi" w:cs="Calibri"/>
        </w:rPr>
      </w:pPr>
      <w:r w:rsidRPr="00E45723">
        <w:rPr>
          <w:rFonts w:asciiTheme="minorHAnsi" w:hAnsiTheme="minorHAnsi" w:cs="Calibri"/>
        </w:rPr>
        <w:t>Ez a megközelítés lehetővé teszi, hogy a Társaság már jelenleg is megalapozott módon értékelje kibocsátási intenzitását és azonosítsa a fejlesztési irányokat, ugyanakkor a különböző adatforrásokból eredő eltérések kezelése folyamatos fejlesztési területet jelent.</w:t>
      </w:r>
    </w:p>
    <w:p w14:paraId="5A3C03F2" w14:textId="77777777" w:rsidR="00BD159D" w:rsidRPr="00E45723" w:rsidRDefault="00FD7771" w:rsidP="00D77F04">
      <w:pPr>
        <w:rPr>
          <w:rFonts w:asciiTheme="minorHAnsi" w:hAnsiTheme="minorHAnsi" w:cs="Calibri"/>
        </w:rPr>
      </w:pPr>
      <w:r w:rsidRPr="00E45723">
        <w:rPr>
          <w:rFonts w:asciiTheme="minorHAnsi" w:hAnsiTheme="minorHAnsi" w:cs="Calibri"/>
        </w:rPr>
        <w:t>A Társaság tudatában van annak, hogy az adatgyűjtési és adatkezelési rendszerek lefedettsége még nem teljes körű minden működési terület tekintetében. Ennek megfelelően célzott fejlesztési programot indított az adatnyilvántartási, adatgyűjtési és adatelemzési rendszerek harmonizálása és továbbfejlesztése érdekében.</w:t>
      </w:r>
    </w:p>
    <w:p w14:paraId="4B704FBA" w14:textId="77777777" w:rsidR="00BD159D" w:rsidRPr="00E45723" w:rsidRDefault="00FD7771" w:rsidP="00D77F04">
      <w:pPr>
        <w:suppressAutoHyphens/>
        <w:rPr>
          <w:rFonts w:asciiTheme="minorHAnsi" w:hAnsiTheme="minorHAnsi" w:cs="Calibri"/>
        </w:rPr>
      </w:pPr>
      <w:r w:rsidRPr="00E45723">
        <w:rPr>
          <w:rFonts w:asciiTheme="minorHAnsi" w:hAnsiTheme="minorHAnsi" w:cs="Calibri"/>
        </w:rPr>
        <w:t>A rövid távú célkitűzések között kiemelt helyen szerepel, hogy a Társaság a következő jelentéstételi időszakra elérje a működés 100%-os adatlefedettségét és az adatok magas szintű megbízhatóságát, biztosítva, hogy minden releváns kibocsátási adat a megfelelő időben és a lehető legnagyobb pontossággal álljon rendelkezésre.</w:t>
      </w:r>
    </w:p>
    <w:p w14:paraId="2EAF733B" w14:textId="77777777" w:rsidR="00BD159D" w:rsidRPr="00E45723" w:rsidRDefault="00FD7771" w:rsidP="00D77F04">
      <w:pPr>
        <w:rPr>
          <w:rFonts w:asciiTheme="minorHAnsi" w:hAnsiTheme="minorHAnsi" w:cs="Calibri"/>
        </w:rPr>
      </w:pPr>
      <w:r w:rsidRPr="00E45723">
        <w:rPr>
          <w:rFonts w:asciiTheme="minorHAnsi" w:hAnsiTheme="minorHAnsi" w:cs="Calibri"/>
        </w:rPr>
        <w:t>A Társaság a jövőben törekszik a kibocsátási kör bővítésére is. Ennek keretében a Scope 3 kibocsátások tekintetében – a piaci gyakorlatban széles körben alkalmazott megközelítéssel összhangban – a későbbiekben árbevétel-alapú becslési módszertan bevezetését tervezi, amely lehetővé teszi az értéklánchoz kapcsolódó kibocsátások magasabb szintű lefedettségét és összehasonlítható értékelését.</w:t>
      </w:r>
    </w:p>
    <w:p w14:paraId="1BE45E0D" w14:textId="77777777" w:rsidR="00BD159D" w:rsidRPr="00E45723" w:rsidRDefault="00FD7771" w:rsidP="00D77F04">
      <w:pPr>
        <w:suppressAutoHyphens/>
        <w:rPr>
          <w:rFonts w:asciiTheme="minorHAnsi" w:hAnsiTheme="minorHAnsi" w:cs="Calibri"/>
        </w:rPr>
      </w:pPr>
      <w:r w:rsidRPr="00E45723">
        <w:rPr>
          <w:rFonts w:asciiTheme="minorHAnsi" w:hAnsiTheme="minorHAnsi" w:cs="Calibri"/>
        </w:rPr>
        <w:t>A Társaság ezen fejlesztések révén nemcsak az adatok minőségét kívánja javítani, hanem tovább erősíti az üvegházhatásúgáz-kibocsátási teljesítményének átlátható, következetes és összehasonlítható bemutatását, valamint a kibocsátási intenzitás csökkentésére irányuló stratégiai céljainak megvalósítását.</w:t>
      </w:r>
    </w:p>
    <w:p w14:paraId="3EF7E41A" w14:textId="77777777" w:rsidR="00BD159D" w:rsidRPr="00E45723" w:rsidRDefault="00FD7771" w:rsidP="00D77F04">
      <w:pPr>
        <w:suppressAutoHyphens/>
        <w:rPr>
          <w:rFonts w:asciiTheme="minorHAnsi" w:hAnsiTheme="minorHAnsi" w:cs="Calibri"/>
        </w:rPr>
      </w:pPr>
      <w:r w:rsidRPr="00E45723">
        <w:rPr>
          <w:rFonts w:asciiTheme="minorHAnsi" w:hAnsiTheme="minorHAnsi" w:cs="Calibri"/>
          <w:b/>
          <w:bCs/>
        </w:rPr>
        <w:t>Scope 1-be tartozó ÜHG-kibocsátás</w:t>
      </w:r>
    </w:p>
    <w:p w14:paraId="46F69E00"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[ESRS E1 bek. 44 a) 48 a)] A LIWO Cégcsoport Scope 1 ÜHG-kibocsátására vonatkozó adatszolgáltatás nem teljes körű, mivel több tagvállalat – így a LIWO Románia–Bulgária, a LIWO </w:t>
      </w:r>
      <w:r w:rsidRPr="00E45723">
        <w:rPr>
          <w:rFonts w:asciiTheme="minorHAnsi" w:hAnsiTheme="minorHAnsi" w:cs="Calibri"/>
        </w:rPr>
        <w:lastRenderedPageBreak/>
        <w:t>Szlovákia, a LIWO Szlovénia és a LIWO Németország – nem közölt adatot, ezért az alábbi értékek nem tekinthetők teljes csoportszintűnek.</w:t>
      </w:r>
    </w:p>
    <w:p w14:paraId="7E1836B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jelentett adatok alapján a bruttó Scope 1 ÜHG-kibocsátás 5 179,19 tonna volt, amely döntően mobil égésből (4 968,77 tonna) származik, míg az álló égés hozzájárulása alacsonyabb (202,02 tonna), a hűtőközegekhez kapcsolódó kibocsátás pedig nem jelentős (8,40 tonna). </w:t>
      </w:r>
    </w:p>
    <w:p w14:paraId="01F73C8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kibocsátás legnagyobb része az Anyavállalathoz köthető, ezt követi a LIWO Lengyelország és a LIWO Csehország, míg a LIWO Olaszország kibocsátása alacsonyabb. A kibocsátási szerkezet alapján a legtöbb érintett országban a mobil égés dominál, míg a LIWO Olaszország esetében az álló égés és a hűtőközegekhez kapcsolódó kibocsátás is megjelenik.</w:t>
      </w:r>
    </w:p>
    <w:p w14:paraId="04DAF107"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Bruttó Sope 1.-be tartozó ÜHG-kibocsátás: 5 179,19 mt</w:t>
      </w:r>
    </w:p>
    <w:p w14:paraId="5E5D3A1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Álló égés: 202,02 mt</w:t>
      </w:r>
    </w:p>
    <w:p w14:paraId="3989623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Mobil égés: 4 968,77 mt</w:t>
      </w:r>
    </w:p>
    <w:p w14:paraId="66892CB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Folyamat: 0,00 mt</w:t>
      </w:r>
    </w:p>
    <w:p w14:paraId="37867CA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Hűtőközegek / szökőanyagok: 8,40 mt</w:t>
      </w:r>
    </w:p>
    <w:p w14:paraId="3D6896F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FM ZRT.: 3 545,53 mt</w:t>
      </w:r>
    </w:p>
    <w:p w14:paraId="70735C9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Álló égés: 26,30 mt</w:t>
      </w:r>
    </w:p>
    <w:p w14:paraId="14B3D9C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Mobil égés: 3 519,23 mt</w:t>
      </w:r>
    </w:p>
    <w:p w14:paraId="52B7A2A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Folyamat: 0,00 mt</w:t>
      </w:r>
    </w:p>
    <w:p w14:paraId="69E7D34E"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Hűtőközegek / szökőanyagok: 0,00 mt</w:t>
      </w:r>
    </w:p>
    <w:p w14:paraId="063B2342" w14:textId="77777777" w:rsidR="00BD159D" w:rsidRPr="00E45723" w:rsidRDefault="00FD7771">
      <w:pPr>
        <w:suppressAutoHyphens/>
        <w:rPr>
          <w:rFonts w:asciiTheme="minorHAnsi" w:hAnsiTheme="minorHAnsi" w:cs="Calibri"/>
          <w:b/>
          <w:bCs/>
        </w:rPr>
      </w:pPr>
      <w:r w:rsidRPr="00E45723">
        <w:rPr>
          <w:rFonts w:asciiTheme="minorHAnsi" w:hAnsiTheme="minorHAnsi" w:cs="Calibri"/>
          <w:b/>
          <w:bCs/>
        </w:rPr>
        <w:t>Scope 2-be tartozó hely alapú ÜHG-kibocsátás</w:t>
      </w:r>
    </w:p>
    <w:p w14:paraId="25C457F8" w14:textId="77777777" w:rsidR="00BD159D" w:rsidRPr="00E45723" w:rsidRDefault="00FD7771">
      <w:pPr>
        <w:suppressAutoHyphens/>
        <w:rPr>
          <w:rFonts w:asciiTheme="minorHAnsi" w:hAnsiTheme="minorHAnsi" w:cs="Calibri"/>
        </w:rPr>
      </w:pPr>
      <w:r w:rsidRPr="00E45723">
        <w:rPr>
          <w:rFonts w:asciiTheme="minorHAnsi" w:hAnsiTheme="minorHAnsi" w:cs="Calibri"/>
        </w:rPr>
        <w:t>[ESRS E1 bek. 44. b) bek. 49 a)] A LIWO Cégcsoport Scope 2 ÜHG-kibocsátására vonatkozó adatszolgáltatása szintén nem teljes körű, mivel több tagvállalat – így a LIWO Románia–Bulgária, a LIWO Szlovákia és a LIWO Szlovénia – nem közölt adatot, ezért az alábbi értékek nem tekinthetők teljes csoportszintűnek.</w:t>
      </w:r>
    </w:p>
    <w:p w14:paraId="786F9963" w14:textId="77777777" w:rsidR="00BD159D" w:rsidRPr="00E45723" w:rsidRDefault="00FD7771">
      <w:pPr>
        <w:suppressAutoHyphens/>
        <w:spacing w:before="6" w:after="6"/>
        <w:rPr>
          <w:rFonts w:asciiTheme="minorHAnsi" w:hAnsiTheme="minorHAnsi" w:cs="Calibri"/>
        </w:rPr>
      </w:pPr>
      <w:r w:rsidRPr="00E45723">
        <w:rPr>
          <w:rFonts w:asciiTheme="minorHAnsi" w:hAnsiTheme="minorHAnsi" w:cs="Calibri"/>
        </w:rPr>
        <w:t>A jelentett adatok alapján a bruttó, helyszín alapú Scope 2 ÜHG-kibocsátás 383,65 tonna volt, amelynek nagyobb része villamosenergia-felhasználáshoz (267,49 tonna), kisebb része pedig fűtéshez, hűtéshez és gőzfelhasználáshoz (116,16 tonna) kapcsolódik.</w:t>
      </w:r>
    </w:p>
    <w:p w14:paraId="2CC52D9E" w14:textId="77777777" w:rsidR="00BD159D" w:rsidRPr="00E45723" w:rsidRDefault="00FD7771" w:rsidP="00D77F04">
      <w:pPr>
        <w:spacing w:before="240" w:after="6"/>
        <w:rPr>
          <w:rFonts w:asciiTheme="minorHAnsi" w:hAnsiTheme="minorHAnsi" w:cs="Calibri"/>
        </w:rPr>
      </w:pPr>
      <w:r w:rsidRPr="00E45723">
        <w:rPr>
          <w:rFonts w:asciiTheme="minorHAnsi" w:hAnsiTheme="minorHAnsi" w:cs="Calibri"/>
        </w:rPr>
        <w:t>A kibocsátás legnagyobb része az Anyavállalathoz köthető (205,09 tonna), ezt követi a LIWO Németország (102,70 tonna) és a LIWO Lengyelország (69,89 tonna), míg a LIWO Olaszország és a LIWO Csehország hozzájárulása alacsonyabb. A kibocsátási szerkezet alapján a villamosenergia dominál, ugyanakkor a LIWO Németország és a LIWO Lengyelország esetében a fűtéshez és hűtéshez kapcsolódó kibocsátás is jelentősebb arányt képvisel.</w:t>
      </w:r>
    </w:p>
    <w:p w14:paraId="2F4BD763"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Bruttó, helyszín alapú 2. körös (Scope 2) üvegházhatású gáz (ÜHG) kibocsátás: 383,65 </w:t>
      </w:r>
    </w:p>
    <w:p w14:paraId="0B92AF1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Elektromosság: 267,49 </w:t>
      </w:r>
    </w:p>
    <w:p w14:paraId="1553825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Fűtés, hűtés és gőz: 116,16 </w:t>
      </w:r>
    </w:p>
    <w:p w14:paraId="3FBCD312"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LIWO FM ZRT.: 205,09 </w:t>
      </w:r>
    </w:p>
    <w:p w14:paraId="49FA369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 xml:space="preserve">Elektromosság: 178,24 </w:t>
      </w:r>
    </w:p>
    <w:p w14:paraId="1F0D7C5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Fűtés, hűtés és gőz: 26,85 </w:t>
      </w:r>
    </w:p>
    <w:p w14:paraId="32F87D37" w14:textId="77777777" w:rsidR="00BD159D" w:rsidRPr="00E45723" w:rsidRDefault="00FD7771">
      <w:pPr>
        <w:suppressAutoHyphens/>
        <w:rPr>
          <w:rFonts w:asciiTheme="minorHAnsi" w:hAnsiTheme="minorHAnsi" w:cs="Calibri"/>
          <w:b/>
          <w:bCs/>
        </w:rPr>
      </w:pPr>
      <w:r w:rsidRPr="00E45723">
        <w:rPr>
          <w:rFonts w:asciiTheme="minorHAnsi" w:hAnsiTheme="minorHAnsi" w:cs="Calibri"/>
          <w:b/>
          <w:bCs/>
        </w:rPr>
        <w:t>Scope 2-be tartozó piaci alapú ÜHG-kibocsátás</w:t>
      </w:r>
    </w:p>
    <w:p w14:paraId="01E874C3" w14:textId="77777777" w:rsidR="00BD159D" w:rsidRPr="00E45723" w:rsidRDefault="00FD7771">
      <w:pPr>
        <w:suppressAutoHyphens/>
        <w:spacing w:before="6" w:after="6"/>
        <w:rPr>
          <w:rFonts w:asciiTheme="minorHAnsi" w:hAnsiTheme="minorHAnsi" w:cs="Calibri"/>
        </w:rPr>
      </w:pPr>
      <w:r w:rsidRPr="00E45723">
        <w:rPr>
          <w:rFonts w:asciiTheme="minorHAnsi" w:hAnsiTheme="minorHAnsi" w:cs="Calibri"/>
        </w:rPr>
        <w:t>[ESRS E1 bek. 44. b) bek. 49 a)] A LIWO Cégcsoport piaci alapú Scope 2 ÜHG-kibocsátására vonatkozó adatszolgáltatás nem teljes körű, mivel több tagvállalat – így a LIWO Románia–Bulgária, a LIWO Szlovákia, a LIWO Szlovénia és a LIWO Olaszország – nem közölt adatot.</w:t>
      </w:r>
    </w:p>
    <w:p w14:paraId="4DD3FEC8" w14:textId="77777777" w:rsidR="00BD159D" w:rsidRPr="00E45723" w:rsidRDefault="00FD7771" w:rsidP="005C52B3">
      <w:pPr>
        <w:suppressAutoHyphens/>
        <w:spacing w:before="240" w:after="6"/>
        <w:rPr>
          <w:rFonts w:asciiTheme="minorHAnsi" w:hAnsiTheme="minorHAnsi" w:cs="Calibri"/>
        </w:rPr>
      </w:pPr>
      <w:r w:rsidRPr="00E45723">
        <w:rPr>
          <w:rFonts w:asciiTheme="minorHAnsi" w:hAnsiTheme="minorHAnsi" w:cs="Calibri"/>
        </w:rPr>
        <w:t>A jelentett adatok alapján a bruttó piaci alapú Scope 2 ÜHG-kibocsátás 250,55 tonna volt, amely teljes mértékben a maradék energiamixhez kapcsolódik; megújuló energiához kötődő eszközök (pl. GO, REC, PPA) nem kerültek alkalmazásra. A kibocsátás döntő része az Anyavállalathoz köthető, míg a LIWO Németország ugyan jelentett adatot, de esetében kibocsátás nem merült fel.</w:t>
      </w:r>
    </w:p>
    <w:p w14:paraId="7673760E"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Bruttó piaci alapú, 2. körbe tartozó ÜHG-kibocsátás: 250,55 </w:t>
      </w:r>
    </w:p>
    <w:p w14:paraId="4684FE0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Összevont energiatulajdonság-tanúsítványok (GO-k, REC-k): 0,00 </w:t>
      </w:r>
    </w:p>
    <w:p w14:paraId="771257F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Közvetlen szerződések (PPA): 0,00 </w:t>
      </w:r>
    </w:p>
    <w:p w14:paraId="15C67202"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Szolgáltatónkénti kibocsátási ráták (zöld tarifa): 0,00 </w:t>
      </w:r>
    </w:p>
    <w:p w14:paraId="79107C2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Helyszíni megújuló energiatermelés: 0,00 </w:t>
      </w:r>
    </w:p>
    <w:p w14:paraId="0878FF8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Maradék keverék: 250,55 </w:t>
      </w:r>
    </w:p>
    <w:p w14:paraId="24EF999D"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LIWO FM ZRT.: 205,09 </w:t>
      </w:r>
    </w:p>
    <w:p w14:paraId="16E4DF0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Összevont energiatulajdonság-tanúsítványok (GO-k, REC-k): 0,00 </w:t>
      </w:r>
    </w:p>
    <w:p w14:paraId="654CAB7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Közvetlen szerződések (PPA): 0,00 </w:t>
      </w:r>
    </w:p>
    <w:p w14:paraId="495BD11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Szolgáltatónkénti kibocsátási ráták (zöld tarifa): 0,00 </w:t>
      </w:r>
    </w:p>
    <w:p w14:paraId="62717B2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Helyszíni megújuló energiatermelés: 0,00 </w:t>
      </w:r>
    </w:p>
    <w:p w14:paraId="368D930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Maradék keverék: 205,09 </w:t>
      </w:r>
    </w:p>
    <w:p w14:paraId="704E5EE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Maradék keverék: 0,00 </w:t>
      </w:r>
    </w:p>
    <w:p w14:paraId="44EB733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Teljes ÜHG-kibocsátás (lokáció alapú): 5 562,84 t CO₂eq</w:t>
      </w:r>
    </w:p>
    <w:p w14:paraId="17B09DF7"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Teljes ÜHG-kibocsátás (piaci alapú): 5 429,74 t CO₂eq</w:t>
      </w:r>
    </w:p>
    <w:p w14:paraId="7EC2B8D6" w14:textId="77777777" w:rsidR="00BD159D" w:rsidRPr="00E45723" w:rsidRDefault="00FD7771">
      <w:pPr>
        <w:suppressAutoHyphens/>
        <w:rPr>
          <w:rFonts w:asciiTheme="minorHAnsi" w:hAnsiTheme="minorHAnsi" w:cs="Calibri"/>
        </w:rPr>
      </w:pPr>
      <w:r w:rsidRPr="00E45723">
        <w:rPr>
          <w:rFonts w:asciiTheme="minorHAnsi" w:hAnsiTheme="minorHAnsi" w:cs="Calibri"/>
        </w:rPr>
        <w:t>[ESRS E1 bek. 47] [ESRS E1 AR 39 b)] A LIWO Cégcsoport szintjén az ÜHG-kibocsátások számításához alkalmazott módszertanok nem egységesek, és jelenleg nem áll rendelkezésre egységes, csoportszintű megközelítés. A jelentéstételi időszakban a legtöbb tagvállalat esetében nem történt jelentős változás sem a módszertanokban, sem a jelentéstételi határokban, így az adatok összehasonlíthatósága alapvetően biztosított.</w:t>
      </w:r>
    </w:p>
    <w:p w14:paraId="0F39DAF6" w14:textId="77777777" w:rsidR="00BD159D" w:rsidRPr="00E45723" w:rsidRDefault="00FD7771">
      <w:pPr>
        <w:rPr>
          <w:rFonts w:asciiTheme="minorHAnsi" w:hAnsiTheme="minorHAnsi" w:cs="Calibri"/>
        </w:rPr>
      </w:pPr>
      <w:r w:rsidRPr="00E45723">
        <w:rPr>
          <w:rFonts w:asciiTheme="minorHAnsi" w:hAnsiTheme="minorHAnsi" w:cs="Calibri"/>
        </w:rPr>
        <w:t>Az Anyavállalat az üvegházhatású gázkibocsátásait elsődlegesen a működési energiafelhasználási adatok alapján számítja, a Szabályozott Tevékenységek Felügyeleti Hatósága (SZTFH) által közzétett hivatalos módszertan és kalkulátor alkalmazásával. Az aktivitási adatok fő forrását a jogszabályi adatszolgáltatás keretében gyűjtött OSAP adatok, valamint a belső nyilvántartási rendszerek képezik, míg a kibocsátási tényezők a hatóság által publikált értékeken alapulnak, biztosítva az egységes és ellenőrizhető számítást.</w:t>
      </w:r>
    </w:p>
    <w:p w14:paraId="3991D487" w14:textId="54D3D8BF" w:rsidR="00BD159D" w:rsidRPr="00E45723" w:rsidRDefault="00FD7771">
      <w:pPr>
        <w:rPr>
          <w:rFonts w:asciiTheme="minorHAnsi" w:hAnsiTheme="minorHAnsi" w:cs="Calibri"/>
        </w:rPr>
      </w:pPr>
      <w:r w:rsidRPr="00E45723">
        <w:rPr>
          <w:rFonts w:asciiTheme="minorHAnsi" w:hAnsiTheme="minorHAnsi" w:cs="Calibri"/>
        </w:rPr>
        <w:lastRenderedPageBreak/>
        <w:t xml:space="preserve">A tagvállalatok többsége a számításokat a GHG Protocol és az ESRS E1 követelményei alapján végzi. A LIWO Csehország és a LIWO Szlovákia esetében a Scope 1 kibocsátások a járműüzemanyag-felhasználás alapján, standard kibocsátási tényezőkkel kerülnek meghatározásra, a Scope 2 kibocsátások helyszín alapú módszerrel, míg a Scope 3 kibocsátások becslése költségalapú megközelítéssel történik. A LIWO Szlovénia esetében az adott évben első alkalommal került sor a teljes vállalatra kiterjedő karbonlábnyom vizsgálatára; korábban csak egyes területek kerültek mérésre, ezért az adatkör bővülése korlátozhatja az időbeli összehasonlíthatóságot. </w:t>
      </w:r>
      <w:r w:rsidR="005C52B3" w:rsidRPr="00E45723">
        <w:rPr>
          <w:rFonts w:asciiTheme="minorHAnsi" w:hAnsiTheme="minorHAnsi" w:cs="Calibri"/>
        </w:rPr>
        <w:br/>
      </w:r>
      <w:r w:rsidRPr="00E45723">
        <w:rPr>
          <w:rFonts w:asciiTheme="minorHAnsi" w:hAnsiTheme="minorHAnsi" w:cs="Calibri"/>
        </w:rPr>
        <w:t>A LIWO Szlovénia emellett forrásonként eltérő módszertanokat alkalmaz (pl. villamosenergia számlaadatok és emissziós tényezők, üzemanyag-felhasználás, illetve anyagfelhasználás alapú számítások).</w:t>
      </w:r>
    </w:p>
    <w:p w14:paraId="2A930B9F" w14:textId="77777777" w:rsidR="00BD159D" w:rsidRPr="00E45723" w:rsidRDefault="00FD7771">
      <w:pPr>
        <w:suppressAutoHyphens/>
        <w:spacing w:after="120"/>
        <w:rPr>
          <w:rFonts w:asciiTheme="minorHAnsi" w:hAnsiTheme="minorHAnsi" w:cs="Calibri"/>
        </w:rPr>
      </w:pPr>
      <w:r w:rsidRPr="00E45723">
        <w:rPr>
          <w:rFonts w:asciiTheme="minorHAnsi" w:hAnsiTheme="minorHAnsi" w:cs="Calibri"/>
        </w:rPr>
        <w:t>A LIWO Románia–Bulgária és a LIWO Lengyelország nem szolgáltattak információt az alkalmazott módszertanokról, illetve a változásokra vonatkozóan.</w:t>
      </w:r>
    </w:p>
    <w:p w14:paraId="66319EA9" w14:textId="6E3ACA79" w:rsidR="00BD159D" w:rsidRPr="00E45723" w:rsidRDefault="00FD7771" w:rsidP="00EA3B06">
      <w:pPr>
        <w:pStyle w:val="BodyText"/>
        <w:rPr>
          <w:rFonts w:asciiTheme="minorHAnsi" w:hAnsiTheme="minorHAnsi" w:cs="Calibri"/>
          <w:b/>
        </w:rPr>
      </w:pPr>
      <w:r w:rsidRPr="00E45723">
        <w:rPr>
          <w:rFonts w:asciiTheme="minorHAnsi" w:hAnsiTheme="minorHAnsi" w:cs="Calibri"/>
          <w:b/>
        </w:rPr>
        <w:t>A szabályozott kibocsátás-kereskedelmi rendszer hatálya alá tartozó Scope 1 ÜHG-kibocsátások aránya</w:t>
      </w:r>
    </w:p>
    <w:p w14:paraId="18A0B9AD" w14:textId="77777777" w:rsidR="00BD159D" w:rsidRPr="00E45723" w:rsidRDefault="00FD7771" w:rsidP="005C52B3">
      <w:pPr>
        <w:pStyle w:val="ListParagraph"/>
        <w:suppressAutoHyphens/>
        <w:ind w:left="0"/>
        <w:rPr>
          <w:rFonts w:asciiTheme="minorHAnsi" w:hAnsiTheme="minorHAnsi" w:cs="Calibri"/>
          <w:bCs/>
        </w:rPr>
      </w:pPr>
      <w:r w:rsidRPr="00E45723">
        <w:rPr>
          <w:rFonts w:asciiTheme="minorHAnsi" w:hAnsiTheme="minorHAnsi" w:cs="Calibri"/>
          <w:bCs/>
        </w:rPr>
        <w:t>[ESRS E1 bek. 48 b)] A LIWO Cégcsoport esetében a szabályozott kibocsátás-kereskedelmi rendszer (ETS) hatálya alá tartozó Scope 1 ÜHG-kibocsátás nem került azonosításra.</w:t>
      </w:r>
    </w:p>
    <w:p w14:paraId="68FFD41F"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Ennek megfelelően az ETS hatálya alá tartozó kibocsátások aránya a teljes Scope 1 kibocsátáson belül 0%, ami azt jelzi, hogy a Cégcsoport tevékenységei jelenleg nem tartoznak ilyen szabályozás alá.</w:t>
      </w:r>
    </w:p>
    <w:p w14:paraId="3979A4E5"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Szerződéses eszköztípusok a Scope 2 ÜHG-kibocsátásra vonatkozóan</w:t>
      </w:r>
    </w:p>
    <w:p w14:paraId="0AB7B3CB" w14:textId="77777777" w:rsidR="00BD159D" w:rsidRPr="00E45723" w:rsidRDefault="00FD7771" w:rsidP="005C52B3">
      <w:pPr>
        <w:pStyle w:val="ListParagraph"/>
        <w:ind w:left="0"/>
        <w:rPr>
          <w:rFonts w:asciiTheme="minorHAnsi" w:hAnsiTheme="minorHAnsi" w:cs="Calibri"/>
        </w:rPr>
      </w:pPr>
      <w:r w:rsidRPr="00E45723">
        <w:rPr>
          <w:rFonts w:asciiTheme="minorHAnsi" w:hAnsiTheme="minorHAnsi" w:cs="Calibri"/>
        </w:rPr>
        <w:t>[ESRS E1 AR 45 d)] A LIWO Cégcsoport szintjén a Scope 2 ÜHG-kibocsátások meghatározása során szerződéses eszközök alkalmazása nem jellemző, és egységes, csoportszintű megközelítés ezen a területen nem került kialakításra.</w:t>
      </w:r>
    </w:p>
    <w:p w14:paraId="44793AFA"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Az Anyavállalat, valamint a LIWO Csehország, a LIWO Szlovákia és a LIWO Lengyelország esetében a villamosenergia-beszerzés standard hálózati forrásból történik, és nem alkalmaznak megújuló energiához kapcsolódó szerződéses eszközöket, így különösen eredetgarancia tanúsítványokat (GO), villamosenergia-vásárlási megállapodásokat (PPA) vagy zöld tarifákat. Ennek megfelelően a Scope 2 kibocsátások meghatározása a maradék energiamix alapján történik, és a piaci alapú értékek megegyeznek a helyszín alapú számítással.</w:t>
      </w:r>
    </w:p>
    <w:p w14:paraId="79D8668D"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A LIWO Lengyelország esetében a villamosenergia-beszerzés konkrét szolgáltatói struktúrához kapcsolódik, ugyanakkor a kibocsátások számítása szintén a nemzeti maradék energiamix (AIB emissziós tényezők) alapján történik, szerződéses eszközök alkalmazása nélkül.</w:t>
      </w:r>
    </w:p>
    <w:p w14:paraId="10F54B08"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Piaci alapú Scope 2-be tartozó ÜHG-kibocsátások, amelyek megújuló eredetigazolással együtt vásárolt villamos energiához kapcsolódnak: 0,00 mt</w:t>
      </w:r>
    </w:p>
    <w:p w14:paraId="608A4C82"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ÜHG Intenzitás</w:t>
      </w:r>
    </w:p>
    <w:p w14:paraId="34A608E5" w14:textId="77777777" w:rsidR="00BD159D" w:rsidRPr="00E45723" w:rsidRDefault="00FD7771" w:rsidP="005C52B3">
      <w:pPr>
        <w:rPr>
          <w:rFonts w:asciiTheme="minorHAnsi" w:hAnsiTheme="minorHAnsi" w:cs="Calibri"/>
        </w:rPr>
      </w:pPr>
      <w:r w:rsidRPr="00E45723">
        <w:rPr>
          <w:rFonts w:asciiTheme="minorHAnsi" w:hAnsiTheme="minorHAnsi" w:cs="Calibri"/>
        </w:rPr>
        <w:t>A Társaság az üvegházhatásúgáz-kibocsátások értékelése során árbevétel-alapú intenzitási mutatót alkalmaz, amely lehetővé teszi a működési hatékonyság és a kibocsátási teljesítmény összehasonlítható és időben nyomon követhető értékelését. A mutató alkalmazásával a Társaság képes a gazdasági teljesítmény és a környezeti hatások kapcsolatának átlátható bemutatására, valamint a működési hatékonyság javítására irányuló intézkedések eredményességének mérésére.</w:t>
      </w:r>
    </w:p>
    <w:p w14:paraId="60B001B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b/>
          <w:bCs/>
        </w:rPr>
        <w:t>A Társaság ÜHG-intenzitási mutatója</w:t>
      </w:r>
      <w:r w:rsidRPr="00E45723">
        <w:rPr>
          <w:rFonts w:asciiTheme="minorHAnsi" w:hAnsiTheme="minorHAnsi" w:cs="Calibri"/>
        </w:rPr>
        <w:t xml:space="preserve"> (Scope 1 és Scope 2 kibocsátások alapján, EBITDA-alapon számítva)</w:t>
      </w:r>
    </w:p>
    <w:p w14:paraId="5B3EE973" w14:textId="1A86E070" w:rsidR="00BD159D" w:rsidRPr="00E45723" w:rsidRDefault="00FD7771" w:rsidP="005C52B3">
      <w:pPr>
        <w:pStyle w:val="BodyText"/>
        <w:numPr>
          <w:ilvl w:val="0"/>
          <w:numId w:val="25"/>
        </w:numPr>
        <w:suppressAutoHyphens/>
        <w:rPr>
          <w:rFonts w:asciiTheme="minorHAnsi" w:hAnsiTheme="minorHAnsi" w:cs="Calibri"/>
          <w:bCs/>
        </w:rPr>
      </w:pPr>
      <w:r w:rsidRPr="00E45723">
        <w:rPr>
          <w:rFonts w:asciiTheme="minorHAnsi" w:hAnsiTheme="minorHAnsi" w:cs="Calibri"/>
          <w:b/>
        </w:rPr>
        <w:lastRenderedPageBreak/>
        <w:t xml:space="preserve">Lokáció alapú ÜHG-kibocsátás-intenzitás </w:t>
      </w:r>
      <w:r w:rsidRPr="00E45723">
        <w:rPr>
          <w:rFonts w:asciiTheme="minorHAnsi" w:hAnsiTheme="minorHAnsi" w:cs="Calibri"/>
          <w:bCs/>
        </w:rPr>
        <w:t>(teljes ÜHG-kibocsátás aránya a nettó bevé</w:t>
      </w:r>
      <w:r w:rsidR="005C52B3" w:rsidRPr="00E45723">
        <w:rPr>
          <w:rFonts w:asciiTheme="minorHAnsi" w:hAnsiTheme="minorHAnsi" w:cs="Calibri"/>
          <w:bCs/>
        </w:rPr>
        <w:t>-</w:t>
      </w:r>
      <w:r w:rsidRPr="00E45723">
        <w:rPr>
          <w:rFonts w:asciiTheme="minorHAnsi" w:hAnsiTheme="minorHAnsi" w:cs="Calibri"/>
          <w:bCs/>
        </w:rPr>
        <w:t>telhez viszonyítva) : 0,181 t CO₂eq / millió Ft</w:t>
      </w:r>
    </w:p>
    <w:p w14:paraId="178ED96A" w14:textId="435CEB86" w:rsidR="00BD159D" w:rsidRPr="00E45723" w:rsidRDefault="00FD7771" w:rsidP="005C52B3">
      <w:pPr>
        <w:pStyle w:val="BodyText"/>
        <w:numPr>
          <w:ilvl w:val="0"/>
          <w:numId w:val="25"/>
        </w:numPr>
        <w:suppressAutoHyphens/>
        <w:rPr>
          <w:rFonts w:asciiTheme="minorHAnsi" w:hAnsiTheme="minorHAnsi" w:cs="Calibri"/>
          <w:bCs/>
        </w:rPr>
      </w:pPr>
      <w:r w:rsidRPr="00E45723">
        <w:rPr>
          <w:rFonts w:asciiTheme="minorHAnsi" w:hAnsiTheme="minorHAnsi" w:cs="Calibri"/>
          <w:b/>
        </w:rPr>
        <w:t xml:space="preserve">Piaci alapú ÜHG-kibocsátás-intenzitás </w:t>
      </w:r>
      <w:r w:rsidRPr="00E45723">
        <w:rPr>
          <w:rFonts w:asciiTheme="minorHAnsi" w:hAnsiTheme="minorHAnsi" w:cs="Calibri"/>
          <w:bCs/>
        </w:rPr>
        <w:t>(teljes ÜHG-kibocsátás aránya a nettó bevé</w:t>
      </w:r>
      <w:r w:rsidR="005C52B3" w:rsidRPr="00E45723">
        <w:rPr>
          <w:rFonts w:asciiTheme="minorHAnsi" w:hAnsiTheme="minorHAnsi" w:cs="Calibri"/>
          <w:bCs/>
        </w:rPr>
        <w:t>-</w:t>
      </w:r>
      <w:r w:rsidRPr="00E45723">
        <w:rPr>
          <w:rFonts w:asciiTheme="minorHAnsi" w:hAnsiTheme="minorHAnsi" w:cs="Calibri"/>
          <w:bCs/>
        </w:rPr>
        <w:t>telhez viszonyítva) : 0,183 t CO₂eq / millió Ft</w:t>
      </w:r>
    </w:p>
    <w:p w14:paraId="5E377BE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adatok az alábbi országokra értendőek: Magyarország, Bulgária, Csehország, Lengyelország, Olaszország, Románia, Szlovákia, Szlovénia.</w:t>
      </w:r>
    </w:p>
    <w:p w14:paraId="2F1C2BD4" w14:textId="77777777" w:rsidR="00BD159D" w:rsidRPr="00E45723" w:rsidRDefault="00FD7771" w:rsidP="005C52B3">
      <w:pPr>
        <w:pStyle w:val="Heading2"/>
        <w:suppressAutoHyphens/>
        <w:spacing w:after="240"/>
        <w:rPr>
          <w:rFonts w:asciiTheme="minorHAnsi" w:hAnsiTheme="minorHAnsi" w:cs="Calibri"/>
          <w:highlight w:val="none"/>
        </w:rPr>
      </w:pPr>
      <w:bookmarkStart w:id="38" w:name="_Toc239834925"/>
      <w:r w:rsidRPr="00E45723">
        <w:rPr>
          <w:rFonts w:asciiTheme="minorHAnsi" w:hAnsiTheme="minorHAnsi" w:cs="Calibri"/>
        </w:rPr>
        <w:t>E2 – Környezetszennyezés</w:t>
      </w:r>
      <w:bookmarkEnd w:id="38"/>
    </w:p>
    <w:p w14:paraId="66CA2128" w14:textId="77777777" w:rsidR="00BD159D" w:rsidRPr="00E45723" w:rsidRDefault="00FD7771">
      <w:pPr>
        <w:rPr>
          <w:rFonts w:asciiTheme="minorHAnsi" w:hAnsiTheme="minorHAnsi" w:cs="Calibri"/>
        </w:rPr>
      </w:pPr>
      <w:r w:rsidRPr="00E45723">
        <w:rPr>
          <w:rFonts w:asciiTheme="minorHAnsi" w:hAnsiTheme="minorHAnsi" w:cs="Calibri"/>
        </w:rPr>
        <w:t>A LIWO Cégcsoport kettős lényegességi elemzése (DMA) alapján a légszennyezés, a vízszennyezés, valamint az aggodalomra okot adó és különös aggodalomra okot adó anyagok használata lényeges környezeti témának minősül. A Cégcsoport működéséből eredő legjelentősebb szennyezési hatások a nagyméretű gépjárműflotta üzemeltetéséhez kapcsolódó légszennyezőanyag-kibocsátásokhoz, valamint a takarítási, üzemeltetési és egyéb szolgáltatási tevékenységek során alkalmazott vegyi anyagok használatához köthetők. A felhasznált tisztító- és egyéb vegyi anyagok a teljes értéklánc mentén – a beszerzéstől a felhasználáson át a kibocsátásig – potenciális környezeti és egészségügyi kockázatokat hordoznak, különösen a vízterhelés és a veszélyes anyagok kezelése szempontjából. A Cégcsoport ezért kiemelt figyelmet fordít a szennyezések megelőzésére, a környezetkímélőbb termékek alkalmazására, valamint a vonatkozó környezetvédelmi és vegyianyag-kezelési követelmények érvényesítésére.</w:t>
      </w:r>
    </w:p>
    <w:p w14:paraId="7366DDC2"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[ESRS E2 bek. 11 a)] A vállalat átvizsgálta telephelyeit és üzleti tevékenységeit, hogy azonosítsa a szennyezéssel kapcsolatos tényleges és potenciális hatásokat, kockázatokat és lehetőségeket. </w:t>
      </w:r>
      <w:r w:rsidRPr="00E45723">
        <w:rPr>
          <w:rStyle w:val="BadgeCharacter"/>
          <w:rFonts w:asciiTheme="minorHAnsi" w:hAnsiTheme="minorHAnsi" w:cs="Calibri"/>
        </w:rPr>
        <w:t xml:space="preserve"> </w:t>
      </w:r>
    </w:p>
    <w:p w14:paraId="4C5660B3"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Azon telephelyek listája, ahol a szennyezés lényeges problémát jelent a vállalkozás saját működése, valamint az értékláncának upstream és downstream értékei szempontjából</w:t>
      </w:r>
    </w:p>
    <w:p w14:paraId="28C88B5F" w14:textId="77777777" w:rsidR="00BD159D" w:rsidRPr="00E45723" w:rsidRDefault="00FD7771">
      <w:pPr>
        <w:spacing w:after="120"/>
        <w:rPr>
          <w:rFonts w:asciiTheme="minorHAnsi" w:hAnsiTheme="minorHAnsi" w:cs="Calibri"/>
        </w:rPr>
      </w:pPr>
      <w:r w:rsidRPr="00E45723">
        <w:rPr>
          <w:rFonts w:asciiTheme="minorHAnsi" w:hAnsiTheme="minorHAnsi" w:cs="Calibri"/>
        </w:rPr>
        <w:t>[ESRS E2 AR 9] A Társaság saját működéséhez kapcsolódóan nem azonosított olyan telephelyet, ahol a szennyezés önmagában materiális környezeti hatást jelentene. A Társaság saját telephelyei elsősorban irodai és logisztikai jellegű létesítmények, amelyek működése nem jár jelentős szennyezési kockázattal.</w:t>
      </w:r>
    </w:p>
    <w:p w14:paraId="309774E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Társaság tevékenysége elsősorban szolgáltatásnyújtásra irányul, amelyet különböző ügyféltelephelyeken végez. Ide tartoznak például takarítási és egyéb létesítményüzemeltetési (facility management) szolgáltatások. Egyes esetekben a Társaság az adott létesítmény üzemeltetését is ellátja, azonban ezek a létesítmények továbbra is a megrendelők tulajdonában vagy üzemeltetésében állnak, és a Társaság tevékenysége szerződéses szolgáltatás keretében valósul meg.</w:t>
      </w:r>
    </w:p>
    <w:p w14:paraId="3D6CC75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szolgáltatási tevékenység során felhasznált anyagok és vegyszerek alkalmazása potenciálisan kapcsolódhat szennyezési kockázatokhoz, azonban ezek nem a Társaság tulajdonában álló telephelyeken jelentkeznek, hanem az ügyfelek által üzemeltetett létesítményekben.</w:t>
      </w:r>
    </w:p>
    <w:p w14:paraId="112927E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Tekintettel arra, hogy a szolgáltatásnyújtás nagyszámú, szerződéses alapon folyamatosan változó teljesítési helyszínen történik, a Társaság nem készít telephelyszintű listát ezekről a helyszínekről. A potenciális környezeti hatásokat a Társaság egységes működési szabályozások, környezetvédelmi előírások és a szolgáltatásnyújtási folyamatok kontrollján keresztül kezeli.</w:t>
      </w:r>
    </w:p>
    <w:p w14:paraId="72EBCE8F"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A szennyező anyagok hatásaival, kockázataival és lehetőségeivel kapcsolatos üzleti tevékenységek listája</w:t>
      </w:r>
    </w:p>
    <w:p w14:paraId="5B602C66" w14:textId="1049BFCA"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 xml:space="preserve">[ESRS E2 AR 9] A Társaság működése során a szennyezéssel kapcsolatos potenciális hatások, kockázatok és lehetőségek elsősorban a szolgáltatásnyújtási és a kapcsolódó beszerzési </w:t>
      </w:r>
      <w:r w:rsidRPr="00E45723">
        <w:rPr>
          <w:rFonts w:asciiTheme="minorHAnsi" w:hAnsiTheme="minorHAnsi" w:cs="Calibri"/>
        </w:rPr>
        <w:lastRenderedPageBreak/>
        <w:t>tevékenységekhez köthetők. A materiális szennyezési szempontból releváns üzleti tevékeny</w:t>
      </w:r>
      <w:r w:rsidR="005C52B3" w:rsidRPr="00E45723">
        <w:rPr>
          <w:rFonts w:asciiTheme="minorHAnsi" w:hAnsiTheme="minorHAnsi" w:cs="Calibri"/>
        </w:rPr>
        <w:t>-</w:t>
      </w:r>
      <w:r w:rsidRPr="00E45723">
        <w:rPr>
          <w:rFonts w:asciiTheme="minorHAnsi" w:hAnsiTheme="minorHAnsi" w:cs="Calibri"/>
        </w:rPr>
        <w:t>ségek különösen az alábbiak:</w:t>
      </w:r>
    </w:p>
    <w:p w14:paraId="139426FD" w14:textId="77777777" w:rsidR="00BD159D" w:rsidRPr="00E45723" w:rsidRDefault="00FD7771" w:rsidP="005C52B3">
      <w:pPr>
        <w:pStyle w:val="BodyText"/>
        <w:numPr>
          <w:ilvl w:val="0"/>
          <w:numId w:val="26"/>
        </w:numPr>
        <w:rPr>
          <w:rFonts w:asciiTheme="minorHAnsi" w:hAnsiTheme="minorHAnsi" w:cs="Calibri"/>
        </w:rPr>
      </w:pPr>
      <w:r w:rsidRPr="00E45723">
        <w:rPr>
          <w:rFonts w:asciiTheme="minorHAnsi" w:hAnsiTheme="minorHAnsi" w:cs="Calibri"/>
        </w:rPr>
        <w:t>takarítási szolgáltatások nyújtása, különös tekintettel a tisztító- és fertőtlenítőszerek használatára;</w:t>
      </w:r>
    </w:p>
    <w:p w14:paraId="35A87AE6" w14:textId="77777777" w:rsidR="00BD159D" w:rsidRPr="00E45723" w:rsidRDefault="00FD7771" w:rsidP="005C52B3">
      <w:pPr>
        <w:pStyle w:val="BodyText"/>
        <w:numPr>
          <w:ilvl w:val="0"/>
          <w:numId w:val="26"/>
        </w:numPr>
        <w:suppressAutoHyphens/>
        <w:rPr>
          <w:rFonts w:asciiTheme="minorHAnsi" w:hAnsiTheme="minorHAnsi" w:cs="Calibri"/>
        </w:rPr>
      </w:pPr>
      <w:r w:rsidRPr="00E45723">
        <w:rPr>
          <w:rFonts w:asciiTheme="minorHAnsi" w:hAnsiTheme="minorHAnsi" w:cs="Calibri"/>
        </w:rPr>
        <w:t>létesítményüzemeltetési (facility management) szolgáltatások biztosítása;</w:t>
      </w:r>
    </w:p>
    <w:p w14:paraId="1B7F8BDE" w14:textId="77777777" w:rsidR="00BD159D" w:rsidRPr="00E45723" w:rsidRDefault="00FD7771" w:rsidP="005C52B3">
      <w:pPr>
        <w:pStyle w:val="BodyText"/>
        <w:numPr>
          <w:ilvl w:val="0"/>
          <w:numId w:val="26"/>
        </w:numPr>
        <w:suppressAutoHyphens/>
        <w:rPr>
          <w:rFonts w:asciiTheme="minorHAnsi" w:hAnsiTheme="minorHAnsi" w:cs="Calibri"/>
        </w:rPr>
      </w:pPr>
      <w:r w:rsidRPr="00E45723">
        <w:rPr>
          <w:rFonts w:asciiTheme="minorHAnsi" w:hAnsiTheme="minorHAnsi" w:cs="Calibri"/>
        </w:rPr>
        <w:t>mosodai szolgáltatási tevékenységek;</w:t>
      </w:r>
    </w:p>
    <w:p w14:paraId="072593FA" w14:textId="77777777" w:rsidR="00BD159D" w:rsidRPr="00E45723" w:rsidRDefault="00FD7771" w:rsidP="005C52B3">
      <w:pPr>
        <w:pStyle w:val="BodyText"/>
        <w:numPr>
          <w:ilvl w:val="0"/>
          <w:numId w:val="26"/>
        </w:numPr>
        <w:suppressAutoHyphens/>
        <w:rPr>
          <w:rFonts w:asciiTheme="minorHAnsi" w:hAnsiTheme="minorHAnsi" w:cs="Calibri"/>
        </w:rPr>
      </w:pPr>
      <w:r w:rsidRPr="00E45723">
        <w:rPr>
          <w:rFonts w:asciiTheme="minorHAnsi" w:hAnsiTheme="minorHAnsi" w:cs="Calibri"/>
        </w:rPr>
        <w:t>tisztítószerek és egyéb vegyi anyagok beszerzése és felhasználása a szolgáltatásnyújtás során;</w:t>
      </w:r>
    </w:p>
    <w:p w14:paraId="47AA8682" w14:textId="77777777" w:rsidR="00BD159D" w:rsidRPr="00E45723" w:rsidRDefault="00FD7771" w:rsidP="005C52B3">
      <w:pPr>
        <w:pStyle w:val="BodyText"/>
        <w:numPr>
          <w:ilvl w:val="0"/>
          <w:numId w:val="26"/>
        </w:numPr>
        <w:suppressAutoHyphens/>
        <w:rPr>
          <w:rFonts w:asciiTheme="minorHAnsi" w:hAnsiTheme="minorHAnsi" w:cs="Calibri"/>
        </w:rPr>
      </w:pPr>
      <w:r w:rsidRPr="00E45723">
        <w:rPr>
          <w:rFonts w:asciiTheme="minorHAnsi" w:hAnsiTheme="minorHAnsi" w:cs="Calibri"/>
        </w:rPr>
        <w:t>a szolgáltatási tevékenységhez kapcsolódó hulladékgazdálkodási folyamatok.</w:t>
      </w:r>
    </w:p>
    <w:p w14:paraId="73F6F4E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Ezekhez a tevékenységekhez kapcsolódó potenciális környezeti hatásokat a Társaság belső környezetvédelmi szabályozások, működési eljárások és beszállítói követelmények révén kezeli.</w:t>
      </w:r>
    </w:p>
    <w:p w14:paraId="641E2D4A"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E2 11 a)] A Társaság a szennyezéssel kapcsolatos tényleges és potenciális hatások, kockázatok és lehetőségek azonosítását strukturált környezetvédelmi és kockázatkezelési folyamatok keretében végzi.</w:t>
      </w:r>
    </w:p>
    <w:p w14:paraId="74BC54F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környezeti hatások azonosítása és értékelése elsősorban a Társaság Környezetvédelmi Szabályzatában (SZ_30_EHS) meghatározott eljárásrend alapján történik. A szabályzat részeként alkalmazott formanyomtatvány a Társaság tevékenységeinek környezeti hatásértékelését tartalmazza, amely során a különböző működési folyamatokhoz kapcsolódó potenciális környezeti hatások – így különösen a szennyezési kockázatok – azonosítása és értékelése történik.</w:t>
      </w:r>
    </w:p>
    <w:p w14:paraId="78143C7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értékelési folyamat figyelembe veszi a szolgáltatásnyújtási tevékenységek jellegét, a felhasznált anyagokat és vegyi anyagokat, a hulladékképződést, valamint az upstream és downstream értéklánc releváns elemeit. A folyamat kiterjed a Társaság saját működésére, valamint a beszállítói és szolgáltatási kapcsolatokra is.</w:t>
      </w:r>
    </w:p>
    <w:p w14:paraId="3B610FB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környezeti kockázatok azonosítását és kezelését a Társaság kockázatkezelési rendszere (SZ_38_RM) is támogatja, amely kiterjed az ESG-hez kapcsolódó kockázatok azonosítására és értékelésére. A beszállítói láncban jelentkező potenciális környezeti hatások értékelése a beszállítók fenntarthatósági és etikai követelményein (SZ_31_ESG), valamint a beszállítók éves fenntarthatósági kockázatértékelési folyamatán (SZ_33_ESG) keresztül történik.</w:t>
      </w:r>
    </w:p>
    <w:p w14:paraId="15A532B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azonosítási és monitoring folyamatot a Társaság ISO 14001 környezetirányítási rendszerének követelményei, a belső auditok, valamint a működési ellenőrzések és EHS felülvizsgálatok is támogatják, biztosítva a potenciális szennyezési hatások folyamatos nyomon követését és kezelését.</w:t>
      </w:r>
    </w:p>
    <w:p w14:paraId="24BFAF22" w14:textId="77777777" w:rsidR="00BD159D" w:rsidRPr="00E45723" w:rsidRDefault="00FD7771" w:rsidP="005C52B3">
      <w:pPr>
        <w:pStyle w:val="Heading3"/>
        <w:suppressAutoHyphens/>
        <w:spacing w:after="240"/>
        <w:rPr>
          <w:rFonts w:asciiTheme="minorHAnsi" w:hAnsiTheme="minorHAnsi" w:cs="Calibri"/>
        </w:rPr>
      </w:pPr>
      <w:bookmarkStart w:id="39" w:name="_Toc239834926"/>
      <w:r w:rsidRPr="00E45723">
        <w:rPr>
          <w:rFonts w:asciiTheme="minorHAnsi" w:hAnsiTheme="minorHAnsi" w:cs="Calibri"/>
        </w:rPr>
        <w:t>E2-1 A szennyezéssel kapcsolatos politikák</w:t>
      </w:r>
      <w:bookmarkEnd w:id="39"/>
    </w:p>
    <w:p w14:paraId="68AE72C2" w14:textId="77777777" w:rsidR="00BD159D" w:rsidRPr="00E45723" w:rsidRDefault="00FD7771">
      <w:pPr>
        <w:spacing w:after="120"/>
        <w:rPr>
          <w:rFonts w:asciiTheme="minorHAnsi" w:hAnsiTheme="minorHAnsi" w:cs="Calibri"/>
        </w:rPr>
      </w:pPr>
      <w:r w:rsidRPr="00E45723">
        <w:rPr>
          <w:rFonts w:asciiTheme="minorHAnsi" w:hAnsiTheme="minorHAnsi" w:cs="Calibri"/>
        </w:rPr>
        <w:t>[ESRS E2 bek. 14] [ESRS 2 bek. 65 a)] A LIWO FM rendelkezik a szennyezéssel kapcsolatos szabályzatokkal. 2024. július 1. napjától hatályos Fenntarthatósági és Környezetvédelmi Politikája meghatározza a Társaság szennyezésmegelőzéssel, környezeti hatások mérséklésével és a környezeti felelősségvállalással kapcsolatos alapelveit és kötelezettségvállalásait. A politika célja a tevékenységekből, szolgáltatásokból és az értékláncból eredő környezetszennyezés megelőzése, csökkentése és – ahol lehetséges – megszüntetése, összhangban a vonatkozó jogszabályi előírásokkal és a megelőzés elvével.</w:t>
      </w:r>
    </w:p>
    <w:p w14:paraId="07755A4A" w14:textId="77777777" w:rsidR="00BD159D" w:rsidRPr="00E45723" w:rsidRDefault="00FD7771">
      <w:pPr>
        <w:suppressAutoHyphens/>
        <w:spacing w:after="120"/>
        <w:rPr>
          <w:rFonts w:asciiTheme="minorHAnsi" w:hAnsiTheme="minorHAnsi" w:cs="Calibri"/>
        </w:rPr>
      </w:pPr>
      <w:r w:rsidRPr="00E45723">
        <w:rPr>
          <w:rFonts w:asciiTheme="minorHAnsi" w:hAnsiTheme="minorHAnsi" w:cs="Calibri"/>
        </w:rPr>
        <w:lastRenderedPageBreak/>
        <w:t>[ESRS E2 bek. 15] A szabályozási keretrendszer lefedi a LIWO Cégcsoport kettős lényegességi elemzése (DMA) során azonosított lényeges szennyezési altémákat, különös tekintettel a légszennyezésre, vízszennyezésre, valamint az aggodalomra okot adó anyagok kezelésére.</w:t>
      </w:r>
    </w:p>
    <w:p w14:paraId="3C158C3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Anyavállalat a Cégcsoport szolgáltatásnyújtása során kiemelt hangsúlyt fektet a környezetszennyezés megelőzésére. Ennek keretében előnyben részesíti az újrahasznosítható csomagolóanyagok alkalmazását, valamint törekszik az anyagfelhasználás és a környezeti terhelés csökkentésére. Az Anyavállalat rendszeresen vizsgálja termékei és szolgáltatásai környezeti hatásait, és értékeli a jelentős hatások mérséklésének lehetőségeit.</w:t>
      </w:r>
    </w:p>
    <w:p w14:paraId="21B20BA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politika kiterjed a veszélyes anyagok használatának minimalizálására is. A Cégcsoport törekszik a veszélyesnek minősített vegyi anyagok és keverékek felhasználásának csökkentésére, valamint szisztematikusan keresi az elérhető, környezetbarátabb alternatívákat. E megoldásokat – ahol releváns – ügyfelei számára is javasolja. A hulladékgazdálkodás területén az Anyavállalat célja a keletkező hulladék mennyiségének csökkentése, a hulladékkezelési folyamatok korszerűsítése, valamint a jogszabályi megfelelés biztosítása. A környezeti tudatosság erősítése érdekében az Anyavállalat képzésekkel és ösztönző eszközökkel támogatja a munkavállalók felelős magatartását.</w:t>
      </w:r>
    </w:p>
    <w:p w14:paraId="4676CDE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politika nemcsak a Cégcsoport saját működésére, hanem értékláncára is kiterjed. A beszállítók és alvállalkozók kiválasztása és értékelése során az Anyavállalat figyelembe veszi azok környezetvédelmi felelősségvállalását és fenntarthatósági teljesítményét.</w:t>
      </w:r>
    </w:p>
    <w:p w14:paraId="56C6F46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politika végrehajtását és érvényesülését</w:t>
      </w:r>
      <w:r w:rsidRPr="00E45723">
        <w:rPr>
          <w:rFonts w:asciiTheme="minorHAnsi" w:hAnsiTheme="minorHAnsi" w:cs="Calibri"/>
          <w:b/>
          <w:bCs/>
        </w:rPr>
        <w:t xml:space="preserve"> </w:t>
      </w:r>
      <w:r w:rsidRPr="00E45723">
        <w:rPr>
          <w:rStyle w:val="Strong"/>
          <w:rFonts w:asciiTheme="minorHAnsi" w:hAnsiTheme="minorHAnsi" w:cs="Calibri"/>
          <w:b w:val="0"/>
          <w:bCs w:val="0"/>
        </w:rPr>
        <w:t>több belső szabályozó dokumentum</w:t>
      </w:r>
      <w:r w:rsidRPr="00E45723">
        <w:rPr>
          <w:rFonts w:asciiTheme="minorHAnsi" w:hAnsiTheme="minorHAnsi" w:cs="Calibri"/>
        </w:rPr>
        <w:t xml:space="preserve"> támogatja az Anyavállalat és a LIWO Magyarország szintjén:</w:t>
      </w:r>
    </w:p>
    <w:p w14:paraId="299A3409" w14:textId="77777777" w:rsidR="00BD159D" w:rsidRPr="00E45723" w:rsidRDefault="00FD7771" w:rsidP="005C52B3">
      <w:pPr>
        <w:pStyle w:val="BodyText"/>
        <w:numPr>
          <w:ilvl w:val="0"/>
          <w:numId w:val="27"/>
        </w:numPr>
        <w:suppressAutoHyphens/>
        <w:rPr>
          <w:rFonts w:asciiTheme="minorHAnsi" w:hAnsiTheme="minorHAnsi" w:cs="Calibri"/>
        </w:rPr>
      </w:pPr>
      <w:r w:rsidRPr="00E45723">
        <w:rPr>
          <w:rFonts w:asciiTheme="minorHAnsi" w:hAnsiTheme="minorHAnsi" w:cs="Calibri"/>
        </w:rPr>
        <w:t xml:space="preserve">A Beszerzési Szabályzat (SZ_21_BESZ) rögzíti a zöld beszerzés irányelveit. </w:t>
      </w:r>
    </w:p>
    <w:p w14:paraId="1BCB0E58" w14:textId="77777777" w:rsidR="00BD159D" w:rsidRPr="00E45723" w:rsidRDefault="00FD7771" w:rsidP="005C52B3">
      <w:pPr>
        <w:pStyle w:val="BodyText"/>
        <w:numPr>
          <w:ilvl w:val="0"/>
          <w:numId w:val="27"/>
        </w:numPr>
        <w:suppressAutoHyphens/>
        <w:rPr>
          <w:rFonts w:asciiTheme="minorHAnsi" w:hAnsiTheme="minorHAnsi" w:cs="Calibri"/>
        </w:rPr>
      </w:pPr>
      <w:r w:rsidRPr="00E45723">
        <w:rPr>
          <w:rFonts w:asciiTheme="minorHAnsi" w:hAnsiTheme="minorHAnsi" w:cs="Calibri"/>
        </w:rPr>
        <w:t xml:space="preserve">A Vegyianyag-kezelési Szabályzat (SZ_24_EHS) meghatározza a vegyi anyagok kezelésére, tárolására, felhasználására és gyűjtésére vonatkozó előírásokat. </w:t>
      </w:r>
    </w:p>
    <w:p w14:paraId="57F20DF9" w14:textId="77777777" w:rsidR="00BD159D" w:rsidRPr="00E45723" w:rsidRDefault="00FD7771" w:rsidP="005C52B3">
      <w:pPr>
        <w:pStyle w:val="BodyText"/>
        <w:numPr>
          <w:ilvl w:val="0"/>
          <w:numId w:val="27"/>
        </w:numPr>
        <w:suppressAutoHyphens/>
        <w:rPr>
          <w:rFonts w:asciiTheme="minorHAnsi" w:hAnsiTheme="minorHAnsi" w:cs="Calibri"/>
        </w:rPr>
      </w:pPr>
      <w:r w:rsidRPr="00E45723">
        <w:rPr>
          <w:rFonts w:asciiTheme="minorHAnsi" w:hAnsiTheme="minorHAnsi" w:cs="Calibri"/>
        </w:rPr>
        <w:t>A Környezetvédelmi Szabályzat (SZ_30_EHS) tartalmazza a hulladékgyűjtés rendjét, valamint a vállalati szintű környezeti kockázatértékelést.</w:t>
      </w:r>
    </w:p>
    <w:p w14:paraId="7C0EF8A6" w14:textId="77777777" w:rsidR="00BD159D" w:rsidRPr="00E45723" w:rsidRDefault="00FD7771" w:rsidP="005C52B3">
      <w:pPr>
        <w:pStyle w:val="BodyText"/>
        <w:numPr>
          <w:ilvl w:val="0"/>
          <w:numId w:val="27"/>
        </w:numPr>
        <w:rPr>
          <w:rFonts w:asciiTheme="minorHAnsi" w:hAnsiTheme="minorHAnsi" w:cs="Calibri"/>
        </w:rPr>
      </w:pPr>
      <w:r w:rsidRPr="00E45723">
        <w:rPr>
          <w:rFonts w:asciiTheme="minorHAnsi" w:hAnsiTheme="minorHAnsi" w:cs="Calibri"/>
        </w:rPr>
        <w:t>A beszállítói elvárásokat a Beszállítók Fenntarthatósági és Etikai Kódexe (SZ_31_ESG) rögzíti, amely előírja többek között a vonatkozó jogszabályok betartását, a környezeti terhelés minimalizálását, az energia- és anyagfelhasználás csökkentésére irányuló törekvéseket, valamint a szennyezések megelőzését. A beszállítók ESG szempontú értékelése éves fenntarthatósági kockázatértékelési folyamat keretében történik, melyet a Szállítók éves fenntarthatósági kockázatértékelésének szabályzata ír elő (SZ_33_ESG).</w:t>
      </w:r>
    </w:p>
    <w:p w14:paraId="6565E76C" w14:textId="26A1808F" w:rsidR="00BD159D" w:rsidRPr="00E45723" w:rsidRDefault="00FD7771" w:rsidP="005C52B3">
      <w:pPr>
        <w:pStyle w:val="BodyText"/>
        <w:numPr>
          <w:ilvl w:val="0"/>
          <w:numId w:val="27"/>
        </w:numPr>
        <w:suppressAutoHyphens/>
        <w:rPr>
          <w:rFonts w:asciiTheme="minorHAnsi" w:hAnsiTheme="minorHAnsi" w:cs="Calibri"/>
        </w:rPr>
      </w:pPr>
      <w:r w:rsidRPr="00E45723">
        <w:rPr>
          <w:rFonts w:asciiTheme="minorHAnsi" w:hAnsiTheme="minorHAnsi" w:cs="Calibri"/>
        </w:rPr>
        <w:t>A Társaság Kockázatkezelési Szabályzata (SZ_38_RM) kiterjed az ESG – így a környezeti – kockázatok azonosítására és értékelésére is, összhangban a 2023. évi CVIII. törvény rendelkezéseivel. A környezeti események kezelésére a Társaság havária tervet működ</w:t>
      </w:r>
      <w:r w:rsidR="005C52B3" w:rsidRPr="00E45723">
        <w:rPr>
          <w:rFonts w:asciiTheme="minorHAnsi" w:hAnsiTheme="minorHAnsi" w:cs="Calibri"/>
        </w:rPr>
        <w:t>-</w:t>
      </w:r>
      <w:r w:rsidRPr="00E45723">
        <w:rPr>
          <w:rFonts w:asciiTheme="minorHAnsi" w:hAnsiTheme="minorHAnsi" w:cs="Calibri"/>
        </w:rPr>
        <w:t>tet, amely meghatározza a rendkívüli események esetén alkalmazandó intézkedéseket a környezeti károk megelőzése és mérséklése érdekében.</w:t>
      </w:r>
    </w:p>
    <w:p w14:paraId="116C027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fentiek együttesen biztosítják, hogy az Anyavállalat strukturált, szabályozott keretrendszer mentén kezelje a szennyezéssel kapcsolatos kockázatokat és hatásokat, valamint támogassa a környezetszennyezés megelőzését és csökkentését saját működésében és értékláncában. </w:t>
      </w:r>
    </w:p>
    <w:p w14:paraId="77A735BE"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 xml:space="preserve">Ehelyütt rögzítjük, hogy a Cégcsoport csoportszintű (központi) szabályozóinak a kialakítása még folyamatban van, illetve a már kiadott csoportszintű politikák és szabályzatok bevezetése, illetve ezek összehangolása a külföldi leányvállalatok tekintetében a 2026-27 években tervezett. </w:t>
      </w:r>
    </w:p>
    <w:p w14:paraId="64C5A1C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A szabályozó eljárás hatályának vagy annak kizárásainak leírása</w:t>
      </w:r>
    </w:p>
    <w:p w14:paraId="0CDCFEFB"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65 b)] A LIWO Fenntarthatósági és Környezetvédelmi Politikája valamennyi olyan tevékenységre vonatkozik, amely a működés során közvetlen vagy közvetett környezetszennyezési kockázattal járhat. A politika alkalmazási köre magában foglalja az Anyavállalat saját működését, telephelyeit, projektjeit, valamint – a releváns szabályozásokon keresztül – az értéklánc meghatározott szereplőit is. A politika végrehajtását támogató belső szabályzatok egyértelműen meghatározzák személyi és tárgyi hatályukat:</w:t>
      </w:r>
    </w:p>
    <w:p w14:paraId="152E9DEE"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Beszerzési Szabályzat (SZ_21_BESZ) hatálya kiterjed a Társaság projektjeihez és üzemszerű működéséhez szükséges beszerzési eljárások valamennyi résztvevőjére, ezáltal lefedve a beszerzési döntéshozatali és végrehajtási folyamatokat, beleértve a zöld beszerzési elvek alkalmazását.</w:t>
      </w:r>
    </w:p>
    <w:p w14:paraId="386D7686"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Vegyianyag-kezelési Szabályzat (SZ_24_EHS) személyi hatálya kiterjed a Társasággal munkaviszonyban álló valamennyi munkavállalóra, a munkavégzésre irányuló egyéb jogviszonyban foglalkoztatott személyekre, a Társaság területén szerződés alapján munkát végző vállalkozókra, továbbá a munkavégzés hatókörében tartózkodó egyéb személyekre, ideértve a látogatókat és szolgáltatást igénybe vevőket is. A szabályzat tárgyi hatálya a vegyi anyagok kezelésére, tárolására, felhasználására és gyűjtésére terjed ki.</w:t>
      </w:r>
    </w:p>
    <w:p w14:paraId="5A68BBF5"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A Környezetvédelmi Szabályzat (SZ_30_EHS) előírásait a Társaság valamennyi szervezeti egységében alkalmazni szükséges. Személyi hatálya kiterjed a Társaság minden munkavállalójára, valamint a munkavégzésre irányuló egyéb jogviszonyban álló személyekre. A szabályzat lefedi a hulladékgazdálkodást, valamint tartalmazza a vállalati szintű környezeti kockázatértékelés keretrendszerét.</w:t>
      </w:r>
    </w:p>
    <w:p w14:paraId="7EFF9891"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Beszállítók Fenntarthatósági és Etikai Kódexe (SZ_31_ESG) a Társaság valamennyi beszállítójára vonatkozik, és meghatározza a környezetvédelmi és jogszabályi megfelelési elvárásokat az értéklánc szereplői számára.</w:t>
      </w:r>
    </w:p>
    <w:p w14:paraId="2E8CE877" w14:textId="77777777" w:rsidR="00BD159D" w:rsidRPr="00E45723" w:rsidRDefault="00FD7771" w:rsidP="00FD7771">
      <w:pPr>
        <w:pStyle w:val="ListParagraph"/>
        <w:numPr>
          <w:ilvl w:val="0"/>
          <w:numId w:val="8"/>
        </w:numPr>
        <w:rPr>
          <w:rFonts w:asciiTheme="minorHAnsi" w:hAnsiTheme="minorHAnsi" w:cs="Calibri"/>
        </w:rPr>
      </w:pPr>
      <w:r w:rsidRPr="00E45723">
        <w:rPr>
          <w:rFonts w:asciiTheme="minorHAnsi" w:hAnsiTheme="minorHAnsi" w:cs="Calibri"/>
        </w:rPr>
        <w:t>A Szállítók éves fenntarthatósági kockázatértékelésének szabályzatának (SZ_33_ESG) hatálya kiterjed a Társaság valamennyi munkavállalójára és szervezeti egységére, továbbá azokra a külső partnerekre és szolgáltatókra, akik részt vesznek a szállítói kockázatértékelési folyamatban. A szabályzat biztosítja, hogy a szennyezéssel kapcsolatos kockázatok az értéklánc releváns pontjain is értékelésre kerüljenek.</w:t>
      </w:r>
    </w:p>
    <w:p w14:paraId="6EBEE562"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Kockázatkezelési Szabályzat (SZ_38_RM) hatálya kiterjed a Társaság tevékenységéhez kapcsolódó valamennyi azonosított kockázattal rendelkező eseményre, beleértve a környezeti és szennyezéssel kapcsolatos ESG-kockázatokat is, valamint a Társaság tulajdonában álló vagyonelemekkel összefüggő kockázati tényezőkre.</w:t>
      </w:r>
    </w:p>
    <w:p w14:paraId="2C72DDBC"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A rendkívüli környezeti események kezelésére a Társaság Havária Tervet működtet, amely meghatározza a veszélyhelyzetek esetén alkalmazandó eseti eljárásrendet, a felelősségi köröket és a kárenyhítési intézkedéseket.</w:t>
      </w:r>
    </w:p>
    <w:p w14:paraId="4DB135F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fentiek alapján a szennyezéssel kapcsolatos politika és az azt támogató szabályozási keretrendszer az Anyavállalat teljes működésére és releváns értéklánc-tevékenységeire kiterjed. Az Anyavállalat nem határozott meg általános kizárásokat a politika alkalmazási körében; az egyes szabályzatok hatálya a bennük rögzített személyi és tárgyi korlátok szerint értelmezendő.</w:t>
      </w:r>
    </w:p>
    <w:p w14:paraId="226FEED8" w14:textId="77777777" w:rsidR="00BD159D" w:rsidRPr="00E45723" w:rsidRDefault="00FD7771">
      <w:pPr>
        <w:spacing w:before="120" w:after="240"/>
        <w:rPr>
          <w:rFonts w:asciiTheme="minorHAnsi" w:hAnsiTheme="minorHAnsi" w:cs="Calibri"/>
        </w:rPr>
      </w:pPr>
      <w:r w:rsidRPr="00E45723">
        <w:rPr>
          <w:rFonts w:asciiTheme="minorHAnsi" w:hAnsiTheme="minorHAnsi" w:cs="Calibri"/>
        </w:rPr>
        <w:lastRenderedPageBreak/>
        <w:t>[ESRS 2 bek. 65 c)] A LIWO FM-en belül a szennyezéssel kapcsolatos szabályozások végrehajtásáért felelős személyek meghatározása nem egységes, azonban minden releváns szabályzat külön kijelöli a végrehajtásért felelős vezetőt. Ezek a szerepkörök jellemzően legalább igazgatói szintű pozícióhoz kapcsolódnak. A szervezeti felépítésből adódóan a szabályozások végrehajtásáért viselt végső felelősség az Anyavállalat és a tagvállalatok szintjén egyaránt a vezérigazgatónál összpontosul.</w:t>
      </w:r>
    </w:p>
    <w:p w14:paraId="3B2A8B1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Harmadik fél által betartott szabványok vagy kezdeményezések közzététele, amelyeket a szabályozó eljárás végrehajtása során tiszteletben tartanak</w:t>
      </w:r>
    </w:p>
    <w:p w14:paraId="6A26DB27" w14:textId="6E653174" w:rsidR="00BD159D" w:rsidRPr="00E45723" w:rsidRDefault="00FD7771">
      <w:pPr>
        <w:suppressAutoHyphens/>
        <w:rPr>
          <w:rFonts w:asciiTheme="minorHAnsi" w:hAnsiTheme="minorHAnsi" w:cs="Calibri"/>
        </w:rPr>
      </w:pPr>
      <w:r w:rsidRPr="00E45723">
        <w:rPr>
          <w:rFonts w:asciiTheme="minorHAnsi" w:hAnsiTheme="minorHAnsi" w:cs="Calibri"/>
        </w:rPr>
        <w:t>[ESRS 2 bek. 65 d)] A LIWO Fenntarthatósági és Környezetvédelmi Politikájának végrehajtása során a Társaság működése összhangban áll a mindenkor hatályos környezetvédelmi és szennyezéssel kapcsolatos jogszabályi előírásokkal, valamint a Társaság részére kibocsátott hatósági engedélyekkel és kötelező rendelkezésekkel. A jogszabályi megfelelés a környe</w:t>
      </w:r>
      <w:r w:rsidR="00E341C9" w:rsidRPr="00E45723">
        <w:rPr>
          <w:rFonts w:asciiTheme="minorHAnsi" w:hAnsiTheme="minorHAnsi" w:cs="Calibri"/>
        </w:rPr>
        <w:t>-</w:t>
      </w:r>
      <w:r w:rsidRPr="00E45723">
        <w:rPr>
          <w:rFonts w:asciiTheme="minorHAnsi" w:hAnsiTheme="minorHAnsi" w:cs="Calibri"/>
        </w:rPr>
        <w:t xml:space="preserve">zetszennyezéssel kapcsolatos kockázatok kezelésének alapvető keretrendszerét képezi.  </w:t>
      </w:r>
    </w:p>
    <w:p w14:paraId="6FB25349" w14:textId="77777777" w:rsidR="00BD159D" w:rsidRPr="00E45723" w:rsidRDefault="00FD7771">
      <w:pPr>
        <w:rPr>
          <w:rFonts w:asciiTheme="minorHAnsi" w:hAnsiTheme="minorHAnsi" w:cs="Calibri"/>
        </w:rPr>
      </w:pPr>
      <w:r w:rsidRPr="00E45723">
        <w:rPr>
          <w:rFonts w:asciiTheme="minorHAnsi" w:hAnsiTheme="minorHAnsi" w:cs="Calibri"/>
        </w:rPr>
        <w:t xml:space="preserve">A Társaság tevékenységét nemzetközileg elismert, külső fél (akkreditált tanúsító szervezet) által auditált és tanúsított irányítási rendszerek támogatják. A környezeti hatások azonosítása, kezelése és a szennyezés megelőzése érdekében a LIWO Magyarország az MSZ EN ISO 14001 szabvány szerinti környezetirányítási rendszert működtet. A rendszer tanúsítása független, akkreditált tanúsító szervezet által végzett rendszeres külső auditok keretében történik, biztosítva a szabvány követelményeinek való folyamatos megfelelést és a környezeti teljesítmény rendszeres felülvizsgálatát.  </w:t>
      </w:r>
    </w:p>
    <w:p w14:paraId="27321BD8" w14:textId="3B271C89" w:rsidR="00BD159D" w:rsidRPr="00E45723" w:rsidRDefault="00FD7771">
      <w:pPr>
        <w:rPr>
          <w:rFonts w:asciiTheme="minorHAnsi" w:hAnsiTheme="minorHAnsi" w:cs="Calibri"/>
        </w:rPr>
      </w:pPr>
      <w:r w:rsidRPr="00E45723">
        <w:rPr>
          <w:rFonts w:asciiTheme="minorHAnsi" w:hAnsiTheme="minorHAnsi" w:cs="Calibri"/>
        </w:rPr>
        <w:t xml:space="preserve">Az energiafelhasználással összefüggő környezeti terhelések csökkentése és az energiahatékonyság javítása érdekében a LIWO Magyarország az MSZ EN ISO 50001 szabvány szerinti energiagazdálkodási irányítási rendszert is működtet, amely szintén külső fél által auditált és tanúsított. </w:t>
      </w:r>
      <w:r w:rsidR="00E341C9" w:rsidRPr="00E45723">
        <w:rPr>
          <w:rFonts w:asciiTheme="minorHAnsi" w:hAnsiTheme="minorHAnsi" w:cs="Calibri"/>
        </w:rPr>
        <w:br/>
      </w:r>
      <w:r w:rsidRPr="00E45723">
        <w:rPr>
          <w:rFonts w:asciiTheme="minorHAnsi" w:hAnsiTheme="minorHAnsi" w:cs="Calibri"/>
        </w:rPr>
        <w:t xml:space="preserve">Az energiagazdálkodási rendszer hozzájárul az energiafelhasználás strukturált monitorozásához, az energiahatékonysági intézkedések bevezetéséhez és a kapcsolódó kibocsátások mérsékléséhez.  </w:t>
      </w:r>
    </w:p>
    <w:p w14:paraId="4862FEEA" w14:textId="77777777" w:rsidR="00BD159D" w:rsidRPr="00E45723" w:rsidRDefault="00FD7771">
      <w:pPr>
        <w:spacing w:after="240"/>
        <w:rPr>
          <w:rFonts w:asciiTheme="minorHAnsi" w:hAnsiTheme="minorHAnsi" w:cs="Calibri"/>
        </w:rPr>
      </w:pPr>
      <w:r w:rsidRPr="00E45723">
        <w:rPr>
          <w:rFonts w:asciiTheme="minorHAnsi" w:hAnsiTheme="minorHAnsi" w:cs="Calibri"/>
        </w:rPr>
        <w:t>A szolgáltatásnyújtás során a LIWO Magyarország figyelembe veszi a környezetbarát takarítási gyakorlatokra vonatkozó szakmai útmutatásokat, így különösen a KT-64 Környezetbarát takarítás szolgáltatás segédlet előírásait, amely iránymutatást biztosít a környezetkímélő technológiák, anyaghasználat és eljárások alkalmazására.  A fenti, külső szabványokon és szakmai iránymutatásokon alapuló működés biztosítja, hogy a Társaság szennyezéssel kapcsolatos politikájának végrehajtása nemzetközileg elismert keretrendszerek mentén, ellenőrzött és tanúsított irányítási rendszerek támogatásával történjen, elősegítve a környezeti teljesítmény folyamatos javítását és a szennyezés megelőzését.</w:t>
      </w:r>
    </w:p>
    <w:p w14:paraId="18DA41D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kulcsfontosságú érintettek érdekeinek érvényesítése a vállalati politika meghatározása során</w:t>
      </w:r>
    </w:p>
    <w:p w14:paraId="081D4927" w14:textId="77777777" w:rsidR="00BD159D" w:rsidRPr="00E45723" w:rsidRDefault="00FD7771">
      <w:pPr>
        <w:spacing w:after="0"/>
        <w:rPr>
          <w:rFonts w:asciiTheme="minorHAnsi" w:hAnsiTheme="minorHAnsi" w:cs="Calibri"/>
        </w:rPr>
      </w:pPr>
      <w:r w:rsidRPr="00E45723">
        <w:rPr>
          <w:rFonts w:asciiTheme="minorHAnsi" w:hAnsiTheme="minorHAnsi" w:cs="Calibri"/>
        </w:rPr>
        <w:t xml:space="preserve">[ESRS 2 bek. 65 e)] A LIWO FM Fenntarthatósági és Környezetvédelmi Politikájának kialakítása során az Anyavállalat figyelembe vette a szennyezéssel kapcsolatos hatások által érintett, illetve potenciálisan érintett kulcsfontosságú érdekelt felek érdekeit. A Társaság tevékenysége szempontjából kiemelt érdekelt felek elsősorban két fő csoportba sorolhatók: </w:t>
      </w:r>
    </w:p>
    <w:p w14:paraId="668C016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első csoportba a munkavállalók és a szerződéses partnerek tartoznak, különösen azok a beszállítók és alvállalkozók, akik közvetlenül részt vesznek a szolgáltatások nyújtásában. Esetükben a politika kialakításakor alapvető szempont volt a biztonságos munkavégzés feltételeinek biztosítása, a környezeti és egészségügyi kockázatok minimalizálása, valamint a jogszabályi megfelelés garantálása. A Társaság elvárja partnereitől is a környezetvédelmi és szennyezésmegelőzési követelmények betartását, amelyet belső szabályozásai és beszállítói előírásai is rögzítenek.</w:t>
      </w:r>
    </w:p>
    <w:p w14:paraId="241FD5D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második csoportba azok a személyek tartoznak, akik a szolgáltatások nyújtása során közvetlenül vagy közvetve kapcsolatba kerülnek a Társaság tevékenységével, különösen épületüzemeltetési és takarítási szolgáltatások teljesítése során (például utasok, betegek, intézményi felhasználók). A politika kialakításakor figyelembevételre került ezen érintettek egészségének, biztonságának és jólétének védelme, különös tekintettel a vegyi anyagok használatára, a hulladékkezelésre és az esetleges környezeti kibocsátások megelőzésére.</w:t>
      </w:r>
    </w:p>
    <w:p w14:paraId="745C779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politika alapvető kiindulópontja valamennyi érdekelt fél tekintetében a vonatkozó környezetvédelmi és egyéb releváns jogszabályok betartása és betartatása. Ezen túlmenően a Társaság tevékenységét a Fenntarthatósági és Környezetvédelmi Politikában rögzített elvek, valamint az azok végrehajtását támogató belső szabályozások mentén végzi, biztosítva, hogy a szennyezéssel kapcsolatos kockázatok kezelése során az érdekelt felek érdekei és védelme megfelelően érvényesüljenek.</w:t>
      </w:r>
    </w:p>
    <w:p w14:paraId="1A65DDAA"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Annak magyarázata, hogy a szabályozó eljárás hogyan érhető el a potenciálisan érintett érdekelt felek és a bevezetésében segítséget igénylő érdekelt felek számára</w:t>
      </w:r>
    </w:p>
    <w:p w14:paraId="50F58093" w14:textId="77777777" w:rsidR="00BD159D" w:rsidRPr="00E45723" w:rsidRDefault="00FD7771">
      <w:pPr>
        <w:rPr>
          <w:rFonts w:asciiTheme="minorHAnsi" w:hAnsiTheme="minorHAnsi" w:cs="Calibri"/>
        </w:rPr>
      </w:pPr>
      <w:r w:rsidRPr="00E45723">
        <w:rPr>
          <w:rFonts w:asciiTheme="minorHAnsi" w:hAnsiTheme="minorHAnsi" w:cs="Calibri"/>
        </w:rPr>
        <w:t>[ESRS 2 bek. 65 f)] A LIWO FM Fenntarthatósági és Környezetvédelmi Politikája, valamint az annak végrehajtását támogató belső szabályozások a meghatározott személyi és tárgyi hatályuknak megfelelően kerülnek közzétételre és hozzáférhetővé tételre. A szabályozó eljárások elérhetők a potenciálisan érintett érdekelt felek, valamint azon érdekelt felek számára is, akiknek támogatásra van szükségük a bevezetés során.</w:t>
      </w:r>
    </w:p>
    <w:p w14:paraId="75525B9E" w14:textId="77777777" w:rsidR="00BD159D" w:rsidRPr="00E45723" w:rsidRDefault="00FD7771">
      <w:pPr>
        <w:rPr>
          <w:rFonts w:asciiTheme="minorHAnsi" w:hAnsiTheme="minorHAnsi" w:cs="Calibri"/>
        </w:rPr>
      </w:pPr>
      <w:r w:rsidRPr="00E45723">
        <w:rPr>
          <w:rFonts w:asciiTheme="minorHAnsi" w:hAnsiTheme="minorHAnsi" w:cs="Calibri"/>
        </w:rPr>
        <w:t>A Cégcsoport munkavállalói és azok a szerződéses partnerek, akik a politika végrehajtásában közvetlen szerepet töltenek be, a belső szabályozási rendszeren keresztül férnek hozzá a vonatkozó szabályzatokhoz és eljárásrendekhez. A rendszer biztosítja, hogy az érintett szervezeti egységek, funkciók és munkakörök számára a releváns dokumentumok naprakészen és strukturált módon rendelkezésre álljanak, támogatva ezzel a következetes alkalmazást.</w:t>
      </w:r>
    </w:p>
    <w:p w14:paraId="7391C2E4" w14:textId="77777777" w:rsidR="00BD159D" w:rsidRPr="00E45723" w:rsidRDefault="00FD7771">
      <w:pPr>
        <w:rPr>
          <w:rFonts w:asciiTheme="minorHAnsi" w:hAnsiTheme="minorHAnsi" w:cs="Calibri"/>
        </w:rPr>
      </w:pPr>
      <w:r w:rsidRPr="00E45723">
        <w:rPr>
          <w:rFonts w:asciiTheme="minorHAnsi" w:hAnsiTheme="minorHAnsi" w:cs="Calibri"/>
        </w:rPr>
        <w:t>A beszállítók és egyéb üzleti partnerek számára a rájuk vonatkozó elvárások külön szabályozó dokumentumokon keresztül kerülnek kommunikálásra, összhangban a szerződéses és együttműködési keretekkel. A potenciálisan érintett, a Cégcsoporttal közvetlen szerződéses jogviszonyban nem álló érdekelt felek – így különösen a szolgáltatások igénybevevői vagy a tevékenységgel érintett egyéb személyek – számára a politika nyilvánosan elérhető a Cégcsoport honlapján (liwofm.com) és a LIWO Magyarország honlapján (bplusn.hu), biztosítva az átláthatóságot és a tájékozódás lehetőségét.</w:t>
      </w:r>
    </w:p>
    <w:p w14:paraId="39EEA6D4" w14:textId="77777777" w:rsidR="00BD159D" w:rsidRPr="00E45723" w:rsidRDefault="00FD7771">
      <w:pPr>
        <w:suppressAutoHyphens/>
        <w:rPr>
          <w:rFonts w:asciiTheme="minorHAnsi" w:hAnsiTheme="minorHAnsi" w:cs="Calibri"/>
        </w:rPr>
      </w:pPr>
      <w:r w:rsidRPr="00E45723">
        <w:rPr>
          <w:rFonts w:asciiTheme="minorHAnsi" w:hAnsiTheme="minorHAnsi" w:cs="Calibri"/>
        </w:rPr>
        <w:t>A belső szabályzatok – operatív jellegükből adódóan – kizárólag a hatályuk alá tartozó személyek számára hozzáférhetőek, ugyanakkor a nyilvánosan kommunikált politika megfelelő keretet biztosít az érintett felek tájékoztatására.</w:t>
      </w:r>
    </w:p>
    <w:p w14:paraId="219FD567"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levegő-, víz- és talajszennyezéssel kapcsolatos negatív hatások enyhítésére vonatkozó szabályozó eljárás közzététele</w:t>
      </w:r>
    </w:p>
    <w:p w14:paraId="0BCAA384" w14:textId="77777777" w:rsidR="00BD159D" w:rsidRPr="00E45723" w:rsidRDefault="00FD7771">
      <w:pPr>
        <w:spacing w:after="120"/>
        <w:rPr>
          <w:rStyle w:val="BadgeCharacter"/>
          <w:rFonts w:asciiTheme="minorHAnsi" w:hAnsiTheme="minorHAnsi" w:cs="Calibri"/>
          <w:b w:val="0"/>
        </w:rPr>
      </w:pPr>
      <w:r w:rsidRPr="00E45723">
        <w:rPr>
          <w:rStyle w:val="BadgeCharacter"/>
          <w:rFonts w:asciiTheme="minorHAnsi" w:hAnsiTheme="minorHAnsi" w:cs="Calibri"/>
          <w:b w:val="0"/>
        </w:rPr>
        <w:t>[ESRS E2 bek. 15 a)] [</w:t>
      </w:r>
      <w:r w:rsidRPr="00E45723">
        <w:rPr>
          <w:rFonts w:asciiTheme="minorHAnsi" w:hAnsiTheme="minorHAnsi" w:cs="Calibri"/>
          <w:spacing w:val="-4"/>
        </w:rPr>
        <w:t xml:space="preserve">ESRS E2 bek. 15 c)] </w:t>
      </w:r>
      <w:r w:rsidRPr="00E45723">
        <w:rPr>
          <w:rStyle w:val="BadgeCharacter"/>
          <w:rFonts w:asciiTheme="minorHAnsi" w:hAnsiTheme="minorHAnsi" w:cs="Calibri"/>
          <w:b w:val="0"/>
        </w:rPr>
        <w:t xml:space="preserve">A </w:t>
      </w:r>
      <w:r w:rsidRPr="00E45723">
        <w:rPr>
          <w:rFonts w:asciiTheme="minorHAnsi" w:hAnsiTheme="minorHAnsi" w:cs="Calibri"/>
        </w:rPr>
        <w:t>LIWO FM</w:t>
      </w:r>
      <w:r w:rsidRPr="00E45723">
        <w:rPr>
          <w:rStyle w:val="BadgeCharacter"/>
          <w:rFonts w:asciiTheme="minorHAnsi" w:hAnsiTheme="minorHAnsi" w:cs="Calibri"/>
          <w:b w:val="0"/>
        </w:rPr>
        <w:t xml:space="preserve"> 2024. július 1. napjától hatályos Fenntarthatósági és Környezetvédelmi Politikája átfogó keretet biztosít a levegő-, víz- és talajszennyezéssel kapcsolatos negatív hatások megelőzésére és mérséklésére. A politika a megelőzés elvére épül, és célja a Cégcsoport magyarországi tevékenységéből, szolgáltatásaiból és értékláncából eredő környezeti terhelés minimalizálása; ennek megfelelően a szabályozó eljárások kifejezetten a szennyezéssel kapcsolatos negatív hatások enyhítésére irányulnak.</w:t>
      </w:r>
    </w:p>
    <w:p w14:paraId="77EFC349" w14:textId="77777777" w:rsidR="00BD159D" w:rsidRPr="00E45723" w:rsidRDefault="00FD7771" w:rsidP="00EA3B06">
      <w:pPr>
        <w:pStyle w:val="BodyText"/>
        <w:rPr>
          <w:rStyle w:val="BadgeCharacter"/>
          <w:rFonts w:asciiTheme="minorHAnsi" w:hAnsiTheme="minorHAnsi" w:cs="Calibri"/>
          <w:b w:val="0"/>
        </w:rPr>
      </w:pPr>
      <w:r w:rsidRPr="00E45723">
        <w:rPr>
          <w:rStyle w:val="BadgeCharacter"/>
          <w:rFonts w:asciiTheme="minorHAnsi" w:hAnsiTheme="minorHAnsi" w:cs="Calibri"/>
          <w:b w:val="0"/>
        </w:rPr>
        <w:t xml:space="preserve">Az </w:t>
      </w:r>
      <w:r w:rsidRPr="00E45723">
        <w:rPr>
          <w:rFonts w:asciiTheme="minorHAnsi" w:hAnsiTheme="minorHAnsi" w:cs="Calibri"/>
        </w:rPr>
        <w:t xml:space="preserve"> LIWO FM </w:t>
      </w:r>
      <w:r w:rsidRPr="00E45723">
        <w:rPr>
          <w:rStyle w:val="BadgeCharacter"/>
          <w:rFonts w:asciiTheme="minorHAnsi" w:hAnsiTheme="minorHAnsi" w:cs="Calibri"/>
          <w:b w:val="0"/>
        </w:rPr>
        <w:t xml:space="preserve">szolgáltatásnyújtása során kiemelt figyelmet fordít a környezetszennyezés megelőzésére, többek között az újrahasznosítható csomagolóanyagok előnyben részesítésével, valamint az </w:t>
      </w:r>
      <w:r w:rsidRPr="00E45723">
        <w:rPr>
          <w:rStyle w:val="BadgeCharacter"/>
          <w:rFonts w:asciiTheme="minorHAnsi" w:hAnsiTheme="minorHAnsi" w:cs="Calibri"/>
          <w:b w:val="0"/>
        </w:rPr>
        <w:lastRenderedPageBreak/>
        <w:t>anyagfelhasználás és a kibocsátások csökkentésével. A termékek és szolgáltatások környezeti hatásainak rendszeres értékelése támogatja a jelentős hatások azonosítását és mérséklését.</w:t>
      </w:r>
    </w:p>
    <w:p w14:paraId="4423BA89" w14:textId="77777777" w:rsidR="00BD159D" w:rsidRPr="00E45723" w:rsidRDefault="00FD7771" w:rsidP="00EA3B06">
      <w:pPr>
        <w:pStyle w:val="BodyText"/>
        <w:rPr>
          <w:rStyle w:val="BadgeCharacter"/>
          <w:rFonts w:asciiTheme="minorHAnsi" w:hAnsiTheme="minorHAnsi" w:cs="Calibri"/>
          <w:b w:val="0"/>
          <w:bCs/>
        </w:rPr>
      </w:pPr>
      <w:r w:rsidRPr="00E45723">
        <w:rPr>
          <w:rStyle w:val="BadgeCharacter"/>
          <w:rFonts w:asciiTheme="minorHAnsi" w:hAnsiTheme="minorHAnsi" w:cs="Calibri"/>
          <w:b w:val="0"/>
          <w:bCs/>
        </w:rPr>
        <w:t>A veszélyes anyagok használatából eredő kockázatok csökkentése érdekében a LIWO FM minimalizálja a veszélyes vegyi anyagok alkalmazását, és folyamatosan keresi a környezetbarát alternatívákat, ezáltal csökkentve a levegőbe, vízbe és talajba kerülő szennyező anyagok mennyiségét. A hulladékgazdálkodási gyakorlat célja a keletkező hulladék mennyiségének csökkentése és a kezelési folyamatok fejlesztése, mérsékelve a talaj- és vízszennyezés kockázatát.</w:t>
      </w:r>
    </w:p>
    <w:p w14:paraId="29B7ECB8" w14:textId="212ADE6A" w:rsidR="00BD159D" w:rsidRPr="00E45723" w:rsidRDefault="00FD7771" w:rsidP="00EA3B06">
      <w:pPr>
        <w:pStyle w:val="BodyText"/>
        <w:suppressAutoHyphens/>
        <w:rPr>
          <w:rStyle w:val="BadgeCharacter"/>
          <w:rFonts w:asciiTheme="minorHAnsi" w:hAnsiTheme="minorHAnsi" w:cs="Calibri"/>
          <w:b w:val="0"/>
          <w:bCs/>
        </w:rPr>
      </w:pPr>
      <w:r w:rsidRPr="00E45723">
        <w:rPr>
          <w:rStyle w:val="BadgeCharacter"/>
          <w:rFonts w:asciiTheme="minorHAnsi" w:hAnsiTheme="minorHAnsi" w:cs="Calibri"/>
          <w:b w:val="0"/>
          <w:bCs/>
        </w:rPr>
        <w:t xml:space="preserve">A Környezetvédelmi Szabályzat (SZ_30_EHS) részletes előírásokat tartalmaz többek között a hulladékkezelésre, a veszélyes anyagok kezelésére, a szállítási (ADR) követelményekre, valamint </w:t>
      </w:r>
      <w:r w:rsidR="00E341C9" w:rsidRPr="00E45723">
        <w:rPr>
          <w:rStyle w:val="BadgeCharacter"/>
          <w:rFonts w:asciiTheme="minorHAnsi" w:hAnsiTheme="minorHAnsi" w:cs="Calibri"/>
          <w:b w:val="0"/>
          <w:bCs/>
        </w:rPr>
        <w:br/>
      </w:r>
      <w:r w:rsidRPr="00E45723">
        <w:rPr>
          <w:rStyle w:val="BadgeCharacter"/>
          <w:rFonts w:asciiTheme="minorHAnsi" w:hAnsiTheme="minorHAnsi" w:cs="Calibri"/>
          <w:b w:val="0"/>
          <w:bCs/>
        </w:rPr>
        <w:t>a levegő-, víz- és talajvédelemre vonatkozóan. A szabályozás kiterjed a váratlan események és vészhelyzetek megelőzésére, valamint az ezekből eredő, az emberekre és a környezetre gyakorolt hatások ellenőrzésére és korlátozására is. Az oktatási és ellenőrzési mechanizmusok biztosítják a szabályok következetes alkalmazását.</w:t>
      </w:r>
    </w:p>
    <w:p w14:paraId="1001053F" w14:textId="667E9519" w:rsidR="00BD159D" w:rsidRPr="00E45723" w:rsidRDefault="00FD7771" w:rsidP="00EA3B06">
      <w:pPr>
        <w:pStyle w:val="BodyText"/>
        <w:suppressAutoHyphens/>
        <w:rPr>
          <w:rStyle w:val="BadgeCharacter"/>
          <w:rFonts w:asciiTheme="minorHAnsi" w:hAnsiTheme="minorHAnsi" w:cs="Calibri"/>
          <w:b w:val="0"/>
          <w:bCs/>
        </w:rPr>
      </w:pPr>
      <w:r w:rsidRPr="00E45723">
        <w:rPr>
          <w:rStyle w:val="BadgeCharacter"/>
          <w:rFonts w:asciiTheme="minorHAnsi" w:hAnsiTheme="minorHAnsi" w:cs="Calibri"/>
          <w:b w:val="0"/>
          <w:bCs/>
        </w:rPr>
        <w:t xml:space="preserve">Az értéklánc szintjén a Beszállítók Fenntarthatósági és Etikai Kódexe (SZ_31_ESG) rögzíti a környezetvédelmi és szennyezésmegelőzési elvárásokat, beleértve a jogszabályi megfelelést, </w:t>
      </w:r>
      <w:r w:rsidR="00E341C9" w:rsidRPr="00E45723">
        <w:rPr>
          <w:rStyle w:val="BadgeCharacter"/>
          <w:rFonts w:asciiTheme="minorHAnsi" w:hAnsiTheme="minorHAnsi" w:cs="Calibri"/>
          <w:b w:val="0"/>
          <w:bCs/>
        </w:rPr>
        <w:br/>
      </w:r>
      <w:r w:rsidRPr="00E45723">
        <w:rPr>
          <w:rStyle w:val="BadgeCharacter"/>
          <w:rFonts w:asciiTheme="minorHAnsi" w:hAnsiTheme="minorHAnsi" w:cs="Calibri"/>
          <w:b w:val="0"/>
          <w:bCs/>
        </w:rPr>
        <w:t>a környezeti terhelés csökkentését, valamint az erőforrás-hatékonyság javítását. A LIWO FMemellett képzésekkel és tudatosságnövelő intézkedésekkel támogatja a munkavállalókat a szennyezési kockázatok felismerésében és minimalizálásában.</w:t>
      </w:r>
    </w:p>
    <w:p w14:paraId="1232F06C" w14:textId="77777777" w:rsidR="00BD159D" w:rsidRPr="00E45723" w:rsidRDefault="00FD7771" w:rsidP="00EA3B06">
      <w:pPr>
        <w:pStyle w:val="BodyText"/>
        <w:suppressAutoHyphens/>
        <w:rPr>
          <w:rFonts w:asciiTheme="minorHAnsi" w:hAnsiTheme="minorHAnsi" w:cs="Calibri"/>
          <w:b/>
        </w:rPr>
      </w:pPr>
      <w:r w:rsidRPr="00E45723">
        <w:rPr>
          <w:rStyle w:val="BadgeCharacter"/>
          <w:rFonts w:asciiTheme="minorHAnsi" w:hAnsiTheme="minorHAnsi" w:cs="Calibri"/>
          <w:b w:val="0"/>
          <w:bCs/>
        </w:rPr>
        <w:t xml:space="preserve">A fenti intézkedések együttesen biztosítják, hogy a </w:t>
      </w:r>
      <w:r w:rsidRPr="00E45723">
        <w:rPr>
          <w:rFonts w:asciiTheme="minorHAnsi" w:hAnsiTheme="minorHAnsi" w:cs="Calibri"/>
        </w:rPr>
        <w:t xml:space="preserve">LIWO FM </w:t>
      </w:r>
      <w:r w:rsidRPr="00E45723">
        <w:rPr>
          <w:rStyle w:val="BadgeCharacter"/>
          <w:rFonts w:asciiTheme="minorHAnsi" w:hAnsiTheme="minorHAnsi" w:cs="Calibri"/>
          <w:b w:val="0"/>
          <w:bCs/>
        </w:rPr>
        <w:t xml:space="preserve">politikája strukturált módon kezeli a levegő-, víz- és talajszennyezéssel kapcsolatos negatív hatásokat, és támogatja azok megelőzését, mérséklését, valamint az esetleges környezeti események hatásainak kontrollját. </w:t>
      </w:r>
    </w:p>
    <w:p w14:paraId="473E0AFE"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A szabályozó eljárás közzététele arról, hogy hogyan kezeli az incidensek és vészhelyzetek elkerülését, valamint</w:t>
      </w:r>
      <w:r w:rsidRPr="00E45723">
        <w:rPr>
          <w:rFonts w:asciiTheme="minorHAnsi" w:hAnsiTheme="minorHAnsi" w:cs="Calibri"/>
          <w:bCs/>
        </w:rPr>
        <w:t>,</w:t>
      </w:r>
      <w:r w:rsidRPr="00E45723">
        <w:rPr>
          <w:rFonts w:asciiTheme="minorHAnsi" w:hAnsiTheme="minorHAnsi" w:cs="Calibri"/>
        </w:rPr>
        <w:t xml:space="preserve"> hogy ha és amikor ezek bekövetkeznek, hogyan ellenőrzik és korlátozzák az emberekre és a környezetre gyakorolt hatásukat.</w:t>
      </w:r>
    </w:p>
    <w:p w14:paraId="3ED70109"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balesetek és vészhelyzetek megelőzésének, valamint azok bekövetkezése esetén az emberekre és a környezetre gyakorolt hatások korlátozásának bemutatása a politikában</w:t>
      </w:r>
    </w:p>
    <w:p w14:paraId="594F8445" w14:textId="06AB33ED" w:rsidR="00BD159D" w:rsidRPr="00E45723" w:rsidRDefault="00FD7771">
      <w:pPr>
        <w:suppressAutoHyphens/>
        <w:rPr>
          <w:rFonts w:asciiTheme="minorHAnsi" w:hAnsiTheme="minorHAnsi" w:cs="Calibri"/>
        </w:rPr>
      </w:pPr>
      <w:r w:rsidRPr="00E45723">
        <w:rPr>
          <w:rFonts w:asciiTheme="minorHAnsi" w:hAnsiTheme="minorHAnsi" w:cs="Calibri"/>
        </w:rPr>
        <w:t>[ESRS E2 bek. 15 c)] A LIWO FM Fenntarthatósági és Környezetvédelmi Politikája a megelőzés elvére épül, és kiterjed a szennyezéssel kapcsolatos incidensek és vészhelyzetek elkerülésére, valamint azok bekövetkezése esetén a hatások kontrollálására és korlátozására. A</w:t>
      </w:r>
      <w:r w:rsidR="00E341C9" w:rsidRPr="00E45723">
        <w:rPr>
          <w:rFonts w:asciiTheme="minorHAnsi" w:hAnsiTheme="minorHAnsi" w:cs="Calibri"/>
        </w:rPr>
        <w:t xml:space="preserve"> </w:t>
      </w:r>
      <w:r w:rsidRPr="00E45723">
        <w:rPr>
          <w:rFonts w:asciiTheme="minorHAnsi" w:hAnsiTheme="minorHAnsi" w:cs="Calibri"/>
        </w:rPr>
        <w:t>politika végrehajtását részletes belső szabályozási keretrendszer támogatja.</w:t>
      </w:r>
    </w:p>
    <w:p w14:paraId="5A922847"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munkavégzéssel összefüggő balesetek és rendkívüli események megelőzését és kezelését a Munkavédelmi Szabályzat (SZ_26_EHS) szabályozza. A szabályzat meghatározza a munkabaleset fogalmát, a balesetek kivizsgálásának és kezelésének rendjét, a rendkívüli események esetén alkalmazandó eljárásokat, valamint a felelősségi és hatásköri szabályokat. A szabályzat célja a munkavállalók egészségének és biztonságának védelme, valamint a balesetekből eredő környezeti kockázatok minimalizálása.</w:t>
      </w:r>
    </w:p>
    <w:p w14:paraId="3420042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környezeti incidensek és veszélyhelyzetek kezelésére vonatkozó eljárásrendet a Környezetvédelmi Szabályzat (SZ_30_EHS) tartalmazza. A szabályzat rögzíti a környezetvédelmi veszélyhelyzeti eljárás lépéseit, a szükséges azonnali intézkedéseket, az értesítési és jelentési kötelezettségeket, valamint a kárenyhítési és helyreállítási intézkedéseket. E mechanizmusok célja a levegőre, vízre és talajra gyakorolt negatív hatások gyors kontrollja és korlátozása, továbbá a környezeti károk megelőzése vagy mérséklése.</w:t>
      </w:r>
    </w:p>
    <w:p w14:paraId="4B4B6C1C"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Az értéklánc szintjén a Beszállítók Fenntarthatósági és Etikai Kódexe (SZ_31_ESG) előírja a beszállítók számára a munkabiztonsági, egészségvédelmi, tűzvédelmi és környezetvédelmi követelmények betartását. A beszállítóktól elvárt, hogy tevékenységüket a vonatkozó jogszabályokkal </w:t>
      </w:r>
      <w:r w:rsidRPr="00E45723">
        <w:rPr>
          <w:rFonts w:asciiTheme="minorHAnsi" w:hAnsiTheme="minorHAnsi" w:cs="Calibri"/>
        </w:rPr>
        <w:lastRenderedPageBreak/>
        <w:t>összhangban, a lehető legkisebb környezeti terheléssel végezzék, törekedve az energia- és anyagfelhasználás csökkentésére, valamint a szennyezések megelőzésére. Ez hozzájárul a külső partnerek által okozott esetleges incidensek kockázatának csökkentéséhez.</w:t>
      </w:r>
    </w:p>
    <w:p w14:paraId="277F4D4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fenti szabályozási és kontrollmechanizmusok együttesen biztosítják, hogy a Társaság strukturált módon törekszik a szennyezéssel kapcsolatos incidensek és vészhelyzetek megelőzésére, valamint azok bekövetkezése esetén a hatások gyors azonosítására, kezelésére és korlátozására az emberek és a környezet védelme érdekében.</w:t>
      </w:r>
    </w:p>
    <w:p w14:paraId="59C3A3B5" w14:textId="77777777" w:rsidR="00BD159D" w:rsidRPr="00E45723" w:rsidRDefault="00FD7771" w:rsidP="00E341C9">
      <w:pPr>
        <w:pStyle w:val="Heading3"/>
        <w:suppressAutoHyphens/>
        <w:spacing w:after="240"/>
        <w:rPr>
          <w:rFonts w:asciiTheme="minorHAnsi" w:hAnsiTheme="minorHAnsi" w:cs="Calibri"/>
        </w:rPr>
      </w:pPr>
      <w:bookmarkStart w:id="40" w:name="_Toc239834927"/>
      <w:r w:rsidRPr="00E45723">
        <w:rPr>
          <w:rFonts w:asciiTheme="minorHAnsi" w:hAnsiTheme="minorHAnsi" w:cs="Calibri"/>
        </w:rPr>
        <w:t>E2-2 A szennyezéssel kapcsolatos intézkedések és erőforrások</w:t>
      </w:r>
      <w:bookmarkEnd w:id="40"/>
    </w:p>
    <w:p w14:paraId="416C4293" w14:textId="77777777" w:rsidR="00BD159D" w:rsidRPr="00E45723" w:rsidRDefault="00FD7771">
      <w:pPr>
        <w:suppressAutoHyphens/>
        <w:rPr>
          <w:rFonts w:asciiTheme="minorHAnsi" w:hAnsiTheme="minorHAnsi" w:cs="Calibri"/>
          <w:b/>
        </w:rPr>
      </w:pPr>
      <w:r w:rsidRPr="00E45723">
        <w:rPr>
          <w:rFonts w:asciiTheme="minorHAnsi" w:hAnsiTheme="minorHAnsi" w:cs="Calibri"/>
          <w:b/>
        </w:rPr>
        <w:t xml:space="preserve">A szennyezéssel kapcsolatos főbb intézkedések és a bázisév meghatározása </w:t>
      </w:r>
    </w:p>
    <w:p w14:paraId="7142E9DA"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[ESRS E2 bek. 16] [ESRS 2 bek. 68 a)] A szennyezéssel kapcsolatos főbb intézkedések és a bázisév meghatározása </w:t>
      </w:r>
    </w:p>
    <w:p w14:paraId="2F1231FA" w14:textId="77777777" w:rsidR="00BD159D" w:rsidRPr="00E45723" w:rsidRDefault="00FD7771">
      <w:pPr>
        <w:rPr>
          <w:rFonts w:asciiTheme="minorHAnsi" w:hAnsiTheme="minorHAnsi" w:cs="Calibri"/>
        </w:rPr>
      </w:pPr>
      <w:r w:rsidRPr="00E45723">
        <w:rPr>
          <w:rFonts w:asciiTheme="minorHAnsi" w:hAnsiTheme="minorHAnsi" w:cs="Calibri"/>
        </w:rPr>
        <w:t xml:space="preserve">A LIWO FM a szennyezéssel kapcsolatos lényeges hatások megelőzése és mérséklése érdekében célzott intézkedéseket határozott meg és hajt végre saját működésében és szolgáltatásnyújtása során. A Társaság 2025. évet jelölte ki bázisévként a szennyezéssel kapcsolatos teljesítmény mérésére és a jövőbeni előrehaladás nyomon követésére. A 2025. év során kerül sor az egyes intézkedésekhez kapcsolódó kulcsindikátorok meghatározására és a kiinduló értékek rögzítésére.  </w:t>
      </w:r>
    </w:p>
    <w:p w14:paraId="68141F4E"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LIWO FM Zrt. pályázatokat nyújtott be a „Környezetbarát takarítás szolgáltatás” minősítés elnyerésére, amely strukturált keretet biztosít a környezetkímélő technológiák és anyagok alkalmazására. A bázisévben a Társaság rögzíti a minősítési követelmények teljesülésének állapotát, amely a későbbi teljesítményértékelés alapját képezi.  A vegyi anyagok használatával összefüggő környezeti terhelés csökkentése érdekében a Társaság növeli a környezetbarát tisztítószerek arányát. A 2025. évben meghatározásra kerül a környezetbarát tisztítószerek aránya a teljes tisztítószer-felhasználáson belül, amely kiindulási alapként szolgál a további növelési célkitűzésekhez. A hulladékgazdálkodás fejlesztése érdekében a Társaság intézkedéseket tett a szelektív hulladékgyűjtés arányának növelésére. </w:t>
      </w:r>
    </w:p>
    <w:p w14:paraId="6701EB38" w14:textId="7C45E2F1" w:rsidR="00BD159D" w:rsidRPr="00E45723" w:rsidRDefault="00FD7771">
      <w:pPr>
        <w:rPr>
          <w:rFonts w:asciiTheme="minorHAnsi" w:hAnsiTheme="minorHAnsi" w:cs="Calibri"/>
        </w:rPr>
      </w:pPr>
      <w:r w:rsidRPr="00E45723">
        <w:rPr>
          <w:rFonts w:asciiTheme="minorHAnsi" w:hAnsiTheme="minorHAnsi" w:cs="Calibri"/>
        </w:rPr>
        <w:t>A bázisévben rögzítésre kerül a szelektíven gyűjtött hulladék aránya a teljes hulladékmennyiségen belül, lehetővé téve a jövőbeni javulás mérését. A munkavállalói képzések és ösztönző programok keretében a Társaság erősíti a környezettudatos működést, különös tekintettel a szennyezés megelőzésére, a vegyi anyagok felelős használatára és a hulladékgazdálkodásra. A 2025. évben a képzések számának, lefedettségének és részvételi arányának mérése történik meg.  A kontrollmechanizmusok fejlesztése érdekében a Társaság a belső auditok eredményei alapján intézkedéseket kezdeményez a környezetvédelmi teljesítmény javítására. A bázisév során rögzítésre kerül az auditmegállapítások száma és típusa, valamint a kapcsolódó intézkedések végrehajtási aránya.  A szolgáltatásfejlesztés területén a robotikai rendszerekből visszanyert működési adatok elemzése alapján a Társaság optimalizálja a takarítórobotok működését, az erőforrás- és tisztítószer-felhasználás csökkentése érdekében. A 2025. évben meghatározásra kerül az egy egységnyi takarítási teljesítményre jutó tisztítószer-felhasználás mértéke, amely a későbbi hatékonyságjavítás alapját képezi. A fentiek biztosítják, hogy a Társaság a szennyezéssel kapcsolatos intézkedéseit strukturált módon, mérhető indikátorok mentén, bázisévre építve hajtsa végre, lehetővé téve a teljesítmény folyamatos nyomon követését és javítását.</w:t>
      </w:r>
    </w:p>
    <w:p w14:paraId="4FA9B529"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főbb intézkedések várható eredményeinek közzététele és annak, hogy azok végrehajtása hogyan járul hozzá a szakpolitikai célok és célszámok eléréséhez</w:t>
      </w:r>
    </w:p>
    <w:p w14:paraId="3C97BC5D" w14:textId="0F083751" w:rsidR="00BD159D" w:rsidRPr="00E45723" w:rsidRDefault="00FD7771">
      <w:pPr>
        <w:suppressAutoHyphens/>
        <w:rPr>
          <w:rFonts w:asciiTheme="minorHAnsi" w:hAnsiTheme="minorHAnsi" w:cs="Calibri"/>
        </w:rPr>
      </w:pPr>
      <w:r w:rsidRPr="00E45723">
        <w:rPr>
          <w:rFonts w:asciiTheme="minorHAnsi" w:hAnsiTheme="minorHAnsi" w:cs="Calibri"/>
        </w:rPr>
        <w:t xml:space="preserve">[ESRS 2 bek. 68 a)] A LIWO Group által megvalósított, a szennyezéssel kapcsolatos főbb intézkedések célja a környezeti terhelés csökkentése, a szennyezés megelőzése, valamint a </w:t>
      </w:r>
      <w:r w:rsidRPr="00E45723">
        <w:rPr>
          <w:rFonts w:asciiTheme="minorHAnsi" w:hAnsiTheme="minorHAnsi" w:cs="Calibri"/>
        </w:rPr>
        <w:lastRenderedPageBreak/>
        <w:t>környezeti teljesítmény folyamatos javítása, összhangban a Fenntarthatósági és Környezet</w:t>
      </w:r>
      <w:r w:rsidR="0015630C" w:rsidRPr="00E45723">
        <w:rPr>
          <w:rFonts w:asciiTheme="minorHAnsi" w:hAnsiTheme="minorHAnsi" w:cs="Calibri"/>
        </w:rPr>
        <w:t>-</w:t>
      </w:r>
      <w:r w:rsidRPr="00E45723">
        <w:rPr>
          <w:rFonts w:asciiTheme="minorHAnsi" w:hAnsiTheme="minorHAnsi" w:cs="Calibri"/>
        </w:rPr>
        <w:t>védelmi Politikában meghatározott elvekkel.</w:t>
      </w:r>
    </w:p>
    <w:p w14:paraId="242206CA" w14:textId="493EC6BD"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Társaság stratégiai irányként tekint a „zöld” működés erősítésére, amely nemcsak belső fenntarthatósági célkitűzés, hanem a piaci és szabályozói elvárásoknak való megfelelés eszköze is. </w:t>
      </w:r>
      <w:r w:rsidR="0015630C" w:rsidRPr="00E45723">
        <w:rPr>
          <w:rFonts w:asciiTheme="minorHAnsi" w:hAnsiTheme="minorHAnsi" w:cs="Calibri"/>
        </w:rPr>
        <w:br/>
      </w:r>
      <w:r w:rsidRPr="00E45723">
        <w:rPr>
          <w:rFonts w:asciiTheme="minorHAnsi" w:hAnsiTheme="minorHAnsi" w:cs="Calibri"/>
        </w:rPr>
        <w:t>A közbeszerzési eljárásokban egyre hangsúlyosabb környezetvédelmi követelményekre tekintettel a Társaság célja, hogy az alkalmazott technológiáiban és beszállítói láncában érvényesítse a környezetbarát működés elveit.</w:t>
      </w:r>
    </w:p>
    <w:p w14:paraId="486B466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környezetbarát tisztítószerek arányának növelésével és a technológiai fejlesztésekkel a Társaság várakozásai szerint csökken a levegőbe, vízbe és talajba kerülő potenciálisan szennyező anyagok mennyisége, valamint mérséklődik a veszélyes vegyi anyagok használatából eredő kockázat. A zöld átállás eredményeként a Társaság ügyfelei számára a korábbival azonos működési hatékonyság mellett vegyszerektől mentesebb, környezetbarátabb életteret biztosít. Ennek keretében stratégiai cél 3 éven belül minden termék és  szolgáltatás esetében fenntartható opció megjelenítése az ajánlatokban. </w:t>
      </w:r>
    </w:p>
    <w:p w14:paraId="5678C12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hulladékgazdálkodási intézkedések várható eredménye a veszélyes hulladék mennyiségének csökkenése, valamint a szelektíven gyűjtött, újrahasznosítható és újrahasználható hulladékok arányának növekedése. Ez hozzájárul az életciklus-szemlélet erősítéséhez és a körforgásos működés támogatásához.</w:t>
      </w:r>
    </w:p>
    <w:p w14:paraId="71969F93" w14:textId="425E1EE6" w:rsidR="00BD159D" w:rsidRPr="00E45723" w:rsidRDefault="00FD7771" w:rsidP="00EA3B06">
      <w:pPr>
        <w:pStyle w:val="BodyText"/>
        <w:rPr>
          <w:rFonts w:asciiTheme="minorHAnsi" w:hAnsiTheme="minorHAnsi" w:cs="Calibri"/>
        </w:rPr>
      </w:pPr>
      <w:r w:rsidRPr="00E45723">
        <w:rPr>
          <w:rFonts w:asciiTheme="minorHAnsi" w:hAnsiTheme="minorHAnsi" w:cs="Calibri"/>
        </w:rPr>
        <w:t>Az ISO 14001 és ISO 50001 szabványok szerinti, külső fél által auditált irányítási rendszerek keretében végzett belső auditok és EHS ellenőrzések lehetővé teszik a szennyezéssel kapcsolatos kockázatok és hiányosságok azonosítását, akár helyi, akár rendszerszinten. Az</w:t>
      </w:r>
      <w:r w:rsidR="0015630C" w:rsidRPr="00E45723">
        <w:rPr>
          <w:rFonts w:asciiTheme="minorHAnsi" w:hAnsiTheme="minorHAnsi" w:cs="Calibri"/>
        </w:rPr>
        <w:t xml:space="preserve"> </w:t>
      </w:r>
      <w:r w:rsidRPr="00E45723">
        <w:rPr>
          <w:rFonts w:asciiTheme="minorHAnsi" w:hAnsiTheme="minorHAnsi" w:cs="Calibri"/>
        </w:rPr>
        <w:t>auditmegállapítások alapján kezdeményezett fejlesztési intézkedések és azok visszamérése biztosítja, hogy a Társaság intézkedései ténylegesen hozzájáruljanak a politikában meghatározott célok eléréséhez, valamint a jövőben meghatározott mérhető célértékek teljesítéséhez.</w:t>
      </w:r>
    </w:p>
    <w:p w14:paraId="3A74C34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intézkedések együttesen támogatják a szennyezés megelőzését, a negatív környezeti hatások mérséklését és a környezeti teljesítmény strukturált, mérhető javítását.</w:t>
      </w:r>
    </w:p>
    <w:p w14:paraId="6ECF662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főbb intézkedések hatókörének leírása</w:t>
      </w:r>
    </w:p>
    <w:p w14:paraId="258EFEA6" w14:textId="77777777" w:rsidR="00BD159D" w:rsidRPr="00E45723" w:rsidRDefault="00FD7771">
      <w:pPr>
        <w:spacing w:before="120" w:after="0"/>
        <w:rPr>
          <w:rFonts w:asciiTheme="minorHAnsi" w:hAnsiTheme="minorHAnsi" w:cs="Calibri"/>
        </w:rPr>
      </w:pPr>
      <w:r w:rsidRPr="00E45723">
        <w:rPr>
          <w:rFonts w:asciiTheme="minorHAnsi" w:hAnsiTheme="minorHAnsi" w:cs="Calibri"/>
        </w:rPr>
        <w:t>[ESRS 2 bek. 68 b) c) d)] A LIWO FM által a szennyezéssel kapcsolatos kockázatok mérséklése érdekében végrehajtott főbb intézkedések az anyavállalat saját működésére, technológiai folyamataira, valamint releváns értéklánc-tevékenységeire terjednek ki. Az intézkedések jellemzően rövid távúak, végrehajtásuk tervezett határideje 2026.</w:t>
      </w:r>
    </w:p>
    <w:p w14:paraId="79CBF25B" w14:textId="7D26FACC" w:rsidR="00BD159D" w:rsidRPr="00E45723" w:rsidRDefault="00FD7771">
      <w:pPr>
        <w:spacing w:before="120" w:after="0"/>
        <w:rPr>
          <w:rFonts w:asciiTheme="minorHAnsi" w:hAnsiTheme="minorHAnsi" w:cs="Calibri"/>
        </w:rPr>
      </w:pPr>
      <w:r w:rsidRPr="00E45723">
        <w:rPr>
          <w:rFonts w:asciiTheme="minorHAnsi" w:hAnsiTheme="minorHAnsi" w:cs="Calibri"/>
        </w:rPr>
        <w:t>A technológia „zöldítése” és a környezetbarát megoldások alkalmazása a szolgáltatásnyújtás teljes spektrumát érinti, különösen az épületüzemeltetési és takarítási tevékenységeket. Az intézkedések kiterjednek a tisztítási technológiákra, a felhasznált vegyi anyagokra, az eszközpark fejlesztésére – ideértve az adatvezérelt robotikai rendszereket –, valamint az anyagfelhasználás optimalizálására. A</w:t>
      </w:r>
      <w:r w:rsidR="0015630C" w:rsidRPr="00E45723">
        <w:rPr>
          <w:rFonts w:asciiTheme="minorHAnsi" w:hAnsiTheme="minorHAnsi" w:cs="Calibri"/>
        </w:rPr>
        <w:t xml:space="preserve"> </w:t>
      </w:r>
      <w:r w:rsidRPr="00E45723">
        <w:rPr>
          <w:rFonts w:asciiTheme="minorHAnsi" w:hAnsiTheme="minorHAnsi" w:cs="Calibri"/>
        </w:rPr>
        <w:t>hatékonyságnövelési intézkedések a működési folyamatok javítását célozzák, különös tekintettel az erőforrás-felhasználásra, a tisztítószer-adagolás optimalizálására és a hulladékgazdálkodásra, és az Anyavállalat valamennyi érintett telephelyére és projektjére kiterjednek.</w:t>
      </w:r>
    </w:p>
    <w:p w14:paraId="201D74E9" w14:textId="77777777" w:rsidR="00BD159D" w:rsidRPr="00E45723" w:rsidRDefault="00FD7771">
      <w:pPr>
        <w:spacing w:before="120" w:after="0"/>
        <w:rPr>
          <w:rFonts w:asciiTheme="minorHAnsi" w:hAnsiTheme="minorHAnsi" w:cs="Calibri"/>
        </w:rPr>
      </w:pPr>
      <w:r w:rsidRPr="00E45723">
        <w:rPr>
          <w:rFonts w:asciiTheme="minorHAnsi" w:hAnsiTheme="minorHAnsi" w:cs="Calibri"/>
        </w:rPr>
        <w:t>A belső folyamatok átláthatóságának és kontrolljának erősítése érdekében az Anyavállalat fejlesztette ellenőrzési és auditmechanizmusait, amelyek lefedik a környezetvédelmi, EHS és minőségirányítási területeket, valamint a kapcsolódó dokumentációs és visszamérési rendszereket. Ez biztosítja a szennyezéssel kapcsolatos kockázatok strukturált azonosítását, kezelését és nyomon követését.</w:t>
      </w:r>
    </w:p>
    <w:p w14:paraId="251ADF32" w14:textId="77777777" w:rsidR="00BD159D" w:rsidRPr="00E45723" w:rsidRDefault="00FD7771">
      <w:pPr>
        <w:spacing w:before="120" w:after="0"/>
        <w:rPr>
          <w:rFonts w:asciiTheme="minorHAnsi" w:hAnsiTheme="minorHAnsi" w:cs="Calibri"/>
        </w:rPr>
      </w:pPr>
      <w:r w:rsidRPr="00E45723">
        <w:rPr>
          <w:rFonts w:asciiTheme="minorHAnsi" w:hAnsiTheme="minorHAnsi" w:cs="Calibri"/>
        </w:rPr>
        <w:t xml:space="preserve">Az intézkedések nem korlátozódnak az Anyavállalat saját működésére, hanem a beszállítói követelményrendszeren és értékelési mechanizmusokon keresztül kiterjednek az értéklánc releváns </w:t>
      </w:r>
      <w:r w:rsidRPr="00E45723">
        <w:rPr>
          <w:rFonts w:asciiTheme="minorHAnsi" w:hAnsiTheme="minorHAnsi" w:cs="Calibri"/>
        </w:rPr>
        <w:lastRenderedPageBreak/>
        <w:t>szereplőire is, különös tekintettel a környezetbarát termékek és szolgáltatások alkalmazására. Összességében a főbb intézkedések hatóköre a működés meghatározó területeire, a technológiai és operatív folyamatokra, valamint az értéklánc releváns elemeire terjed ki, támogatva a szennyezéssel kapcsolatos negatív hatások megelőzését és mérséklését.</w:t>
      </w:r>
    </w:p>
    <w:p w14:paraId="12F13EC2"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tényleges anyagi hatások által károsultak jogorvoslatának biztosítása, az abban való együttműködés vagy annak támogatása érdekében megtett főbb intézkedések és azok eredményeinek leírása</w:t>
      </w:r>
    </w:p>
    <w:p w14:paraId="4C0157CA"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2 bek. 68 d)] A LIWO FM Fenntarthatósági és Környezetvédelmi Politikája keretében a Társaság elkötelezett amellett, hogy amennyiben működéséből eredően tényleges, lényeges szennyezési hatás következik be, megfelelő intézkedéseket tegyen az érintettek és a környezet védelme, valamint a károk mérséklése és helyreállítása érdekében.</w:t>
      </w:r>
    </w:p>
    <w:p w14:paraId="6A91CCE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környezeti incidensek kezelésére vonatkozó eljárásrendet a Környezetvédelmi Szabályzat, valamint a vonatkozó havária- és vészhelyzeti tervek rögzítik. E szabályozások meghatározzák az azonnali beavatkozási lépéseket, az értesítési kötelezettségeket, a felelősségi köröket, valamint a kárenyhítési és helyreállítási intézkedések rendjét.</w:t>
      </w:r>
    </w:p>
    <w:p w14:paraId="766DAE2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Tényleges környezeti kár vagy lényeges negatív hatás esetén a Társaság együttműködik az illetékes hatóságokkal, szakértői szervezetekkel és – szükség esetén – az érintett felekkel a károk felmérése, korlátozása és helyreállítása érdekében. Az intézkedések magukban foglalhatják a szennyező forrás megszüntetését, a környezeti elemek helyreállítását, valamint a további károk megelőzését célzó korrekciós intézkedéseket.</w:t>
      </w:r>
    </w:p>
    <w:p w14:paraId="68BFD767"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beszállítói lánc tekintetében a Társaság elvárja partnereitől a környezeti incidensek haladéktalan jelentését és a megfelelő helyreállítási intézkedések megtételét, valamint szükség esetén együttműködik velük a károk kezelésében.</w:t>
      </w:r>
    </w:p>
    <w:p w14:paraId="22B7695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jelentéstételi időszakban a Társaság működéséből eredően nem került azonosításra olyan tényleges, lényeges szennyezési hatás, amely külső érintettek számára helyreállítási intézkedések biztosítását tette volna szükségessé. A Társaság ugyanakkor folyamatosan fejleszti incidenskezelési és kontrollmechanizmusait annak érdekében, hogy egy esetleges jövőbeni esemény esetén a beavatkozás gyors, arányos és hatékony legyen.</w:t>
      </w:r>
    </w:p>
    <w:p w14:paraId="715180DA" w14:textId="77777777" w:rsidR="00BD159D" w:rsidRPr="00E45723" w:rsidRDefault="00FD7771" w:rsidP="00EA3B06">
      <w:pPr>
        <w:pStyle w:val="BodyText"/>
        <w:suppressAutoHyphens/>
        <w:rPr>
          <w:rFonts w:asciiTheme="minorHAnsi" w:hAnsiTheme="minorHAnsi" w:cs="Calibri"/>
          <w:b/>
        </w:rPr>
      </w:pPr>
      <w:bookmarkStart w:id="41" w:name="_Toc230770550"/>
      <w:r w:rsidRPr="00E45723">
        <w:rPr>
          <w:rFonts w:asciiTheme="minorHAnsi" w:hAnsiTheme="minorHAnsi" w:cs="Calibri"/>
          <w:b/>
        </w:rPr>
        <w:t>Az előző időszakokban közzétett intézkedések előrehaladásának bemutatása</w:t>
      </w:r>
      <w:bookmarkEnd w:id="41"/>
    </w:p>
    <w:p w14:paraId="5EC91F42"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2 bek. 68 e)] A LIWO Group a szennyezéssel kapcsolatos intézkedéseinek előrehaladását strukturált módon követi nyomon, különös tekintettel a 2025. évben meghatározott bázisévhez kapcsolódó kiinduló értékek rögzítésére.</w:t>
      </w:r>
    </w:p>
    <w:p w14:paraId="64C10EC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„KT-64 Környezetbarát takarítás szolgáltatás” minősítés megszerzése érdekében a Társaság 2025-ben pályázatot nyújtott be a Wizz Air székház területére és a Közbeszerzési és Ellátási Főigazgatóság székhelyére vonatkozóan, amely a jelentéstételi időszak végén elbírálás alatt áll. A minősítési folyamat előrehaladása kvalitatív indikátorként szolgál a környezetbarát technológiák és tisztítószerek alkalmazásának strukturált fejlesztésére. További telephelyekre és projektekre vonatkozó pályázatok előkészítése és benyújtása folyamatban van.</w:t>
      </w:r>
    </w:p>
    <w:p w14:paraId="5D5FCB8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 belső auditok és EHS ellenőrzések során feltárt eltérések és nemmegfelelőségek esetében a Társaság intézkedési terveket dolgoz ki, amelyek végrehajtását nyomon követi. Az intézkedések státusza (megkezdett, folyamatban lévő, lezárt) dokumentálásra kerül, és visszamérésük biztosítja a környezetvédelmi teljesítmény folyamatos javítását. A 2025. év során kerül sor a szennyezéssel kapcsolatos kulcsindikátorok – így különösen a környezetbarát tisztítószerek aránya, a </w:t>
      </w:r>
      <w:r w:rsidRPr="00E45723">
        <w:rPr>
          <w:rFonts w:asciiTheme="minorHAnsi" w:hAnsiTheme="minorHAnsi" w:cs="Calibri"/>
        </w:rPr>
        <w:lastRenderedPageBreak/>
        <w:t>szelektív hulladékgyűjtés részaránya, valamint a feltárt és lezárt nemmegfelelőségek száma – kiinduló értékeinek meghatározására. Ezek az adatok a jövőbeni időszakokban lehetővé teszik a számszerű előrehaladás bemutatását.</w:t>
      </w:r>
    </w:p>
    <w:p w14:paraId="3F106DA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fentiek alapján a Társaság a jelentéstételi időszakban elsősorban a rendszerszintű megalapozás és a strukturált mérési keretrendszer kialakítása terén ért el előrehaladást, amely biztosítja a későbbi időszakokban a kvantitatív eredmények transzparens bemutatását.</w:t>
      </w:r>
    </w:p>
    <w:p w14:paraId="74B68AF5" w14:textId="013E08D1" w:rsidR="00BD159D" w:rsidRPr="00E45723" w:rsidRDefault="00FD7771">
      <w:pPr>
        <w:rPr>
          <w:rFonts w:asciiTheme="minorHAnsi" w:hAnsiTheme="minorHAnsi" w:cs="Calibri"/>
        </w:rPr>
      </w:pPr>
      <w:r w:rsidRPr="00E45723">
        <w:rPr>
          <w:rFonts w:asciiTheme="minorHAnsi" w:hAnsiTheme="minorHAnsi" w:cs="Calibri"/>
        </w:rPr>
        <w:t>[ESRS E2 AR 13] A szennyezéssel kapcsolatos intézkedések kiterjednek az értéklánc upstream/</w:t>
      </w:r>
      <w:r w:rsidR="0015630C" w:rsidRPr="00E45723">
        <w:rPr>
          <w:rFonts w:asciiTheme="minorHAnsi" w:hAnsiTheme="minorHAnsi" w:cs="Calibri"/>
        </w:rPr>
        <w:br/>
      </w:r>
      <w:r w:rsidRPr="00E45723">
        <w:rPr>
          <w:rFonts w:asciiTheme="minorHAnsi" w:hAnsiTheme="minorHAnsi" w:cs="Calibri"/>
        </w:rPr>
        <w:t>downstream kapcsolataira is.</w:t>
      </w:r>
    </w:p>
    <w:p w14:paraId="19FDCF2B" w14:textId="43E4EED3" w:rsidR="00BD159D" w:rsidRPr="00E45723" w:rsidRDefault="0015630C" w:rsidP="0015630C">
      <w:pPr>
        <w:pStyle w:val="Heading3"/>
        <w:suppressAutoHyphens/>
        <w:spacing w:after="240"/>
        <w:rPr>
          <w:rFonts w:asciiTheme="minorHAnsi" w:hAnsiTheme="minorHAnsi" w:cs="Calibri"/>
        </w:rPr>
      </w:pPr>
      <w:bookmarkStart w:id="42" w:name="_Toc239834928"/>
      <w:r w:rsidRPr="00E45723">
        <w:rPr>
          <w:rFonts w:asciiTheme="minorHAnsi" w:hAnsiTheme="minorHAnsi" w:cs="Calibri"/>
        </w:rPr>
        <w:t>E</w:t>
      </w:r>
      <w:r w:rsidR="00FD7771" w:rsidRPr="00E45723">
        <w:rPr>
          <w:rFonts w:asciiTheme="minorHAnsi" w:hAnsiTheme="minorHAnsi" w:cs="Calibri"/>
        </w:rPr>
        <w:t>2-3 A szennyezéssel kapcsolatos célok</w:t>
      </w:r>
      <w:bookmarkEnd w:id="42"/>
    </w:p>
    <w:p w14:paraId="39016955" w14:textId="77777777" w:rsidR="00BD159D" w:rsidRPr="00E45723" w:rsidRDefault="00FD7771">
      <w:pPr>
        <w:suppressAutoHyphens/>
        <w:rPr>
          <w:rFonts w:asciiTheme="minorHAnsi" w:hAnsiTheme="minorHAnsi" w:cs="Calibri"/>
        </w:rPr>
      </w:pPr>
      <w:r w:rsidRPr="00E45723">
        <w:rPr>
          <w:rFonts w:asciiTheme="minorHAnsi" w:hAnsiTheme="minorHAnsi" w:cs="Calibri"/>
          <w:bCs/>
        </w:rPr>
        <w:t xml:space="preserve">[ESRS E2 bek. 20] </w:t>
      </w:r>
      <w:r w:rsidRPr="00E45723">
        <w:rPr>
          <w:rFonts w:asciiTheme="minorHAnsi" w:hAnsiTheme="minorHAnsi" w:cs="Calibri"/>
        </w:rPr>
        <w:t>A LIWO Cégcsoport szintjén nem kerültek meghatározásra egységes, mérhető, eredményorientált célok a szennyezéssel kapcsolatban, ugyanakkor a tagvállalatok többsége rendelkezik ilyen célkitűzésekkel; kivételt a LIWO Csehország, ahol ilyen célok nem kerültek elfogadásra.</w:t>
      </w:r>
    </w:p>
    <w:p w14:paraId="0632AB03" w14:textId="77777777" w:rsidR="00BD159D" w:rsidRPr="00E45723" w:rsidRDefault="00FD7771">
      <w:pPr>
        <w:rPr>
          <w:rFonts w:asciiTheme="minorHAnsi" w:hAnsiTheme="minorHAnsi" w:cs="Calibri"/>
          <w:bCs/>
        </w:rPr>
      </w:pPr>
      <w:r w:rsidRPr="00E45723">
        <w:rPr>
          <w:rFonts w:asciiTheme="minorHAnsi" w:hAnsiTheme="minorHAnsi" w:cs="Calibri"/>
          <w:bCs/>
        </w:rPr>
        <w:t>[ESRS 2 bek. 80 a, b, c, d, e)] A LIWO Cégcsoporton belül a szennyezéssel kapcsolatos mérhető célkitűzések nem egységesek, azonban az Anyavállalat részletes, strukturált és eredményorientált célrendszert alakított ki, amely közvetlenül a Fenntarthatósági és Környezetvédelmi Politikából, valamint az ESG- és társadalmi felelősségvállalási stratégiából került levezetésre.</w:t>
      </w:r>
    </w:p>
    <w:p w14:paraId="60D7505B" w14:textId="77777777" w:rsidR="00BD159D" w:rsidRPr="00E45723" w:rsidRDefault="00FD7771">
      <w:pPr>
        <w:rPr>
          <w:rFonts w:asciiTheme="minorHAnsi" w:hAnsiTheme="minorHAnsi" w:cs="Calibri"/>
          <w:bCs/>
        </w:rPr>
      </w:pPr>
      <w:r w:rsidRPr="00E45723">
        <w:rPr>
          <w:rFonts w:asciiTheme="minorHAnsi" w:hAnsiTheme="minorHAnsi" w:cs="Calibri"/>
          <w:bCs/>
        </w:rPr>
        <w:t xml:space="preserve">Az </w:t>
      </w:r>
      <w:r w:rsidRPr="00E45723">
        <w:rPr>
          <w:rFonts w:asciiTheme="minorHAnsi" w:hAnsiTheme="minorHAnsi" w:cs="Calibri"/>
        </w:rPr>
        <w:t>Anyavállalat</w:t>
      </w:r>
      <w:r w:rsidRPr="00E45723">
        <w:rPr>
          <w:rFonts w:asciiTheme="minorHAnsi" w:hAnsiTheme="minorHAnsi" w:cs="Calibri"/>
          <w:bCs/>
        </w:rPr>
        <w:t xml:space="preserve"> célrendszerének középpontjában a működés „zöldítése” áll, amely magában foglalja a környezetbarát termékek arányának növelését, a veszélyes hulladék csökkentését, az ártalmatlanításra kerülő hulladék arányának mérséklését, valamint az üvegházhatású gázkibocsátás intenzitásának csökkentését. A célok hozzájárulnak a levegő-, víz- és talajszennyezéssel kapcsolatos kockázatok mérsékléséhez, valamint az egészségesebb élet- és munkakörnyezet kialakításához.</w:t>
      </w:r>
    </w:p>
    <w:p w14:paraId="3F328ABA" w14:textId="77777777" w:rsidR="00BD159D" w:rsidRPr="00E45723" w:rsidRDefault="00FD7771">
      <w:pPr>
        <w:rPr>
          <w:rFonts w:asciiTheme="minorHAnsi" w:hAnsiTheme="minorHAnsi" w:cs="Calibri"/>
          <w:bCs/>
        </w:rPr>
      </w:pPr>
      <w:r w:rsidRPr="00E45723">
        <w:rPr>
          <w:rFonts w:asciiTheme="minorHAnsi" w:hAnsiTheme="minorHAnsi" w:cs="Calibri"/>
          <w:bCs/>
        </w:rPr>
        <w:t>A célkitűzések hatóköre kiterjed a Társaság saját működésére és szolgáltatásnyújtási tevékenységére, különös tekintettel a felhasznált anyagokra, a hulladékgazdálkodásra és az energiafelhasználásra. Emellett a releváns intézkedések szerződéses és ellenőrzési mechanizmusokon keresztül kiterjednek az upstream értéklánc érintett szereplőire is, különösen az alvállalkozókra és szolgáltatási partnerekre.</w:t>
      </w:r>
    </w:p>
    <w:p w14:paraId="1100C8FB" w14:textId="77777777" w:rsidR="00BD159D" w:rsidRPr="00E45723" w:rsidRDefault="00FD7771">
      <w:pPr>
        <w:rPr>
          <w:rFonts w:asciiTheme="minorHAnsi" w:hAnsiTheme="minorHAnsi" w:cs="Calibri"/>
          <w:bCs/>
        </w:rPr>
      </w:pPr>
      <w:r w:rsidRPr="00E45723">
        <w:rPr>
          <w:rFonts w:asciiTheme="minorHAnsi" w:hAnsiTheme="minorHAnsi" w:cs="Calibri"/>
          <w:bCs/>
        </w:rPr>
        <w:t>A környezetbarát termékek arányának növelése több dimenzióban jelenik meg. A tisztítószer töltőanyagok esetében a 2024-es 1%-os kiinduló érték 2025-re 6,0%-ra emelkedett, míg 2030-ra a kitűzött célok szerint meg fogja haladni a 20%-ot. A higiéniai töltőanyagok aránya 18,3%-ról 23,2%-ra nőtt 2025-re, majd a tervek szerint 2030-ra 40% fölé emelkedik. A takarítási kellékanyagok esetében a 2024-es 0,6%-os szintről 2025-re 1,8%-ra növekedett, majd 2030-ra 15%-ra történő növekedés a cél. Ezek az intézkedések közvetlenül támogatják a veszélyes vegyi anyagok használatának csökkentését és a környezeti terhelés mérséklését.</w:t>
      </w:r>
    </w:p>
    <w:p w14:paraId="662AFCA1" w14:textId="77777777" w:rsidR="00BD159D" w:rsidRPr="00E45723" w:rsidRDefault="00FD7771">
      <w:pPr>
        <w:rPr>
          <w:rFonts w:asciiTheme="minorHAnsi" w:hAnsiTheme="minorHAnsi" w:cs="Calibri"/>
          <w:bCs/>
        </w:rPr>
      </w:pPr>
      <w:r w:rsidRPr="00E45723">
        <w:rPr>
          <w:rFonts w:asciiTheme="minorHAnsi" w:hAnsiTheme="minorHAnsi" w:cs="Calibri"/>
          <w:bCs/>
        </w:rPr>
        <w:t>A hulladékgazdálkodási célkitűzések a körforgásos működés erősítésére irányulnak. Az ártalmatlanításból elterelt hulladék arányát az Anyavállalat a 2024-es 74,03%-os szintről hosszú távon 90% fölé kívánja növelni, míg a nem veszélyes hulladékok arányát a teljes hulladékmennyiségen belül 86,92%-ról 95% fölé emeli 2030-ig. E célok hozzájárulnak a talaj- és vízszennyezés kockázatának csökkentéséhez és a körforgásos működés erősítéséhez.</w:t>
      </w:r>
    </w:p>
    <w:p w14:paraId="1A2A9637" w14:textId="77777777" w:rsidR="00BD159D" w:rsidRPr="00E45723" w:rsidRDefault="00FD7771">
      <w:pPr>
        <w:rPr>
          <w:rFonts w:asciiTheme="minorHAnsi" w:hAnsiTheme="minorHAnsi" w:cs="Calibri"/>
          <w:bCs/>
        </w:rPr>
      </w:pPr>
      <w:r w:rsidRPr="00E45723">
        <w:rPr>
          <w:rFonts w:asciiTheme="minorHAnsi" w:hAnsiTheme="minorHAnsi" w:cs="Calibri"/>
          <w:bCs/>
        </w:rPr>
        <w:t xml:space="preserve">Az üvegházhatású gázkibocsátás tekintetében az Anyavállalat intenzitásalapú célt határozott meg a Scope 1 és Scope 2 kibocsátások árbevétel-arányos csökkentésére. A 2024-es bázisérték 3,09 tCO₂e/millió USD, amelyet 2030-ra 2,80 tCO₂e/millió USD szintre kíván csökkenteni. Ez a cél </w:t>
      </w:r>
      <w:r w:rsidRPr="00E45723">
        <w:rPr>
          <w:rFonts w:asciiTheme="minorHAnsi" w:hAnsiTheme="minorHAnsi" w:cs="Calibri"/>
          <w:bCs/>
        </w:rPr>
        <w:lastRenderedPageBreak/>
        <w:t>a működési hatékonyság javításán és az energiafelhasználás optimalizálásán keresztül támogatja a légszennyezés és a kapcsolódó kibocsátások mérséklését.</w:t>
      </w:r>
    </w:p>
    <w:p w14:paraId="6ED17AC5" w14:textId="77777777" w:rsidR="00BD159D" w:rsidRPr="00E45723" w:rsidRDefault="00FD7771">
      <w:pPr>
        <w:rPr>
          <w:rFonts w:asciiTheme="minorHAnsi" w:hAnsiTheme="minorHAnsi" w:cs="Calibri"/>
          <w:bCs/>
        </w:rPr>
      </w:pPr>
      <w:r w:rsidRPr="00E45723">
        <w:rPr>
          <w:rFonts w:asciiTheme="minorHAnsi" w:hAnsiTheme="minorHAnsi" w:cs="Calibri"/>
          <w:bCs/>
        </w:rPr>
        <w:t>A célkitűzések közvetlen kapcsolatban állnak a Fenntarthatósági és Környezetvédelmi Politikában rögzített elvekkel, különösen a szennyezés megelőzésével, a veszélyes anyagok használatának minimalizálásával, a hulladékgazdálkodás fejlesztésével, valamint a környezeti teljesítmény folyamatos javításával. A célok mérhetőek, időhorizonthoz kötöttek és rendszeres monitoring tárgyát képezik, biztosítva az előrehaladás transzparens nyomon követését.</w:t>
      </w:r>
    </w:p>
    <w:p w14:paraId="755FB9A5" w14:textId="77777777" w:rsidR="00BD159D" w:rsidRPr="00E45723" w:rsidRDefault="00FD7771">
      <w:pPr>
        <w:rPr>
          <w:rFonts w:asciiTheme="minorHAnsi" w:hAnsiTheme="minorHAnsi" w:cs="Calibri"/>
          <w:bCs/>
        </w:rPr>
      </w:pPr>
      <w:r w:rsidRPr="00E45723">
        <w:rPr>
          <w:rFonts w:asciiTheme="minorHAnsi" w:hAnsiTheme="minorHAnsi" w:cs="Calibri"/>
          <w:bCs/>
        </w:rPr>
        <w:t>Az adatok megbízhatóságát az biztosítja, hogy a hulladékgazdálkodási mutatók jogszabályi nyilvántartásokon és hatósági adatszolgáltatáson alapulnak, míg az üvegházhatású gázkibocsátások számítása validált energiafelhasználási adatok (OSAP) alapján történik. A célok teljesülésének értékelése minden esetben ellenőrizhető, hiteles adatok felhasználásával történik.</w:t>
      </w:r>
    </w:p>
    <w:p w14:paraId="7461E64D" w14:textId="77777777" w:rsidR="00BD159D" w:rsidRPr="00E45723" w:rsidRDefault="00FD7771">
      <w:pPr>
        <w:rPr>
          <w:rFonts w:asciiTheme="minorHAnsi" w:hAnsiTheme="minorHAnsi" w:cs="Calibri"/>
          <w:bCs/>
        </w:rPr>
      </w:pPr>
      <w:r w:rsidRPr="00E45723">
        <w:rPr>
          <w:rFonts w:asciiTheme="minorHAnsi" w:hAnsiTheme="minorHAnsi" w:cs="Calibri"/>
          <w:bCs/>
        </w:rPr>
        <w:t>A tagvállalatok gyakorlata eltérő. A LIWO Románia–Bulgária a környezeti teljesítmény monitorozására, a kibocsátások csökkentésére és a munkavállalói szemléletformálásra fókuszál, ideértve az üzemanyag-felhasználás csökkentését és az ÜHG-kibocsátások mérséklését. A LIWO Szlovénia a hulladékmennyiség csökkentésére, az újrahasznosítás és komposztálás ösztönzésére, az egyszer használatos csomagolások visszaszorítására, valamint az anyagok újrafelhasználására helyezi a hangsúlyt. A LIWO Lengyelország esetében az EU Ecolabel megszerzésére irányuló célkitűzés kizárólag a takarítási szolgáltatásra terjed ki, és a szennyezés megelőzését a környezetbarát termékhasználaton és működési gyakorlatokon keresztül támogatja. A LIWO Németország dedikált felelőst jelölt ki a célok – elsősorban az energiafogyasztás – nyomon követésére és a szükséges intézkedések végrehajtására.</w:t>
      </w:r>
    </w:p>
    <w:p w14:paraId="6ACCFF72" w14:textId="77777777" w:rsidR="00BD159D" w:rsidRPr="00E45723" w:rsidRDefault="00FD7771">
      <w:pPr>
        <w:suppressAutoHyphens/>
        <w:rPr>
          <w:rFonts w:asciiTheme="minorHAnsi" w:hAnsiTheme="minorHAnsi" w:cs="Calibri"/>
          <w:b/>
        </w:rPr>
      </w:pPr>
      <w:r w:rsidRPr="00E45723">
        <w:rPr>
          <w:rFonts w:asciiTheme="minorHAnsi" w:hAnsiTheme="minorHAnsi" w:cs="Calibri"/>
          <w:b/>
        </w:rPr>
        <w:t>A célérték meghatározásához használt módszertanok és jelentős feltételezések leírása</w:t>
      </w:r>
    </w:p>
    <w:p w14:paraId="5570B2C5" w14:textId="77777777" w:rsidR="00BD159D" w:rsidRPr="00E45723" w:rsidRDefault="00FD7771">
      <w:pPr>
        <w:suppressAutoHyphens/>
        <w:rPr>
          <w:rFonts w:asciiTheme="minorHAnsi" w:hAnsiTheme="minorHAnsi" w:cs="Calibri"/>
          <w:bCs/>
        </w:rPr>
      </w:pPr>
      <w:r w:rsidRPr="00E45723">
        <w:rPr>
          <w:rFonts w:asciiTheme="minorHAnsi" w:hAnsiTheme="minorHAnsi" w:cs="Calibri"/>
          <w:bCs/>
        </w:rPr>
        <w:t>[ESRS 2 bek. 80 f, g] A LIWO Cégcsoport szintjén a célértékek meghatározásához alkalmazott módszertanok és feltételezések nem egységesek, és a célkitűzések egyik tagvállalat esetében sem tekinthetők kifejezetten tudományos bizonyítékokon alapulónak.</w:t>
      </w:r>
    </w:p>
    <w:p w14:paraId="5F87213B" w14:textId="77777777" w:rsidR="00BD159D" w:rsidRPr="00E45723" w:rsidRDefault="00FD7771">
      <w:pPr>
        <w:suppressAutoHyphens/>
        <w:rPr>
          <w:rFonts w:asciiTheme="minorHAnsi" w:hAnsiTheme="minorHAnsi" w:cs="Calibri"/>
          <w:bCs/>
        </w:rPr>
      </w:pPr>
      <w:r w:rsidRPr="00E45723">
        <w:rPr>
          <w:rFonts w:asciiTheme="minorHAnsi" w:hAnsiTheme="minorHAnsi" w:cs="Calibri"/>
          <w:bCs/>
        </w:rPr>
        <w:t>Az Anyavállalat esetében a környezetbarát (ECO) termékek arányára vonatkozó célok a számviteli és beszerzési adatokon alapulnak. Az ECO minősítésű termékek a könyvelési rendszerben elkülönítésre kerülnek, és SAP-alapú adatbázisokon keresztül kerülnek nyomon követésre. A célértékek meghatározásakor a Társaság a termékportfólió fokozatos „zöldítésével” számol, figyelembe véve az ügyféligényeket és a szabályozói elvárásokat.</w:t>
      </w:r>
    </w:p>
    <w:p w14:paraId="5E12C353" w14:textId="77777777" w:rsidR="00BD159D" w:rsidRPr="00E45723" w:rsidRDefault="00FD7771">
      <w:pPr>
        <w:rPr>
          <w:rFonts w:asciiTheme="minorHAnsi" w:hAnsiTheme="minorHAnsi" w:cs="Calibri"/>
          <w:bCs/>
        </w:rPr>
      </w:pPr>
      <w:r w:rsidRPr="00E45723">
        <w:rPr>
          <w:rFonts w:asciiTheme="minorHAnsi" w:hAnsiTheme="minorHAnsi" w:cs="Calibri"/>
          <w:bCs/>
        </w:rPr>
        <w:t>A hulladékgazdálkodási célok alapját a jogszabályi előírások szerinti nyilvántartási rendszer képezi, ahol az adatgyűjtés és nyomon követés nemzeti jogszabályok és belső környezetvédelmi szabályozások mentén történik. Az üvegházhatású gázkibocsátásra (Scope 1 és Scope 2) vonatkozó intenzitási célok a működési energiafelhasználási adatokon alapulnak, és az OSAP rendszerben szolgáltatott, validált adatok felhasználásával kerülnek meghatározásra. A célértékek meghatározása során feltételezésként jelenik meg a működési hatékonyság javulása és az energiafelhasználás optimalizálása.</w:t>
      </w:r>
    </w:p>
    <w:p w14:paraId="10DC40C4" w14:textId="77777777" w:rsidR="00BD159D" w:rsidRPr="00E45723" w:rsidRDefault="00FD7771">
      <w:pPr>
        <w:rPr>
          <w:rFonts w:asciiTheme="minorHAnsi" w:hAnsiTheme="minorHAnsi" w:cs="Calibri"/>
          <w:bCs/>
        </w:rPr>
      </w:pPr>
      <w:r w:rsidRPr="00E45723">
        <w:rPr>
          <w:rFonts w:asciiTheme="minorHAnsi" w:hAnsiTheme="minorHAnsi" w:cs="Calibri"/>
          <w:bCs/>
        </w:rPr>
        <w:t>A tagvállalatok esetében egyszerűbb megközelítések jellemzőek. A LIWO Szlovénia a hulladékképződés rendszeres (havi szintű) monitorozására és az ehhez kapcsolódó intézkedésekre alapozza céljait. A LIWO Lengyelország esetében az EU Ecolabel megszerzésére irányuló célkitűzés belső működési adatok, jogszabályi követelmények és az integrált irányítási rendszer politikájában rögzített feltételezések alapján került meghatározásra, figyelembe véve többek között a környezetvédelmi intézkedések tervezett körét, a szabályozási megfelelést, valamint a fenntartható működési elveket.</w:t>
      </w:r>
    </w:p>
    <w:p w14:paraId="6CAD4B1C" w14:textId="77777777" w:rsidR="00BD159D" w:rsidRPr="00E45723" w:rsidRDefault="00FD7771">
      <w:pPr>
        <w:suppressAutoHyphens/>
        <w:rPr>
          <w:rFonts w:asciiTheme="minorHAnsi" w:hAnsiTheme="minorHAnsi" w:cs="Calibri"/>
          <w:b/>
        </w:rPr>
      </w:pPr>
      <w:r w:rsidRPr="00E45723">
        <w:rPr>
          <w:rFonts w:asciiTheme="minorHAnsi" w:hAnsiTheme="minorHAnsi" w:cs="Calibri"/>
          <w:b/>
        </w:rPr>
        <w:t>Szennyezéssel kapcsolatos célkitűzések összefoglalása</w:t>
      </w:r>
    </w:p>
    <w:p w14:paraId="4F275BF2" w14:textId="79EAE521" w:rsidR="00BD159D" w:rsidRPr="00E45723" w:rsidRDefault="00FD7771">
      <w:pPr>
        <w:suppressAutoHyphens/>
        <w:rPr>
          <w:rFonts w:asciiTheme="minorHAnsi" w:hAnsiTheme="minorHAnsi" w:cs="Calibri"/>
          <w:bCs/>
        </w:rPr>
      </w:pPr>
      <w:r w:rsidRPr="00E45723">
        <w:rPr>
          <w:rFonts w:asciiTheme="minorHAnsi" w:hAnsiTheme="minorHAnsi" w:cs="Calibri"/>
          <w:bCs/>
        </w:rPr>
        <w:lastRenderedPageBreak/>
        <w:t>[ESRS E2 bek. 23 a, b, c, d)] A LIWO Cégcsoporton belül a szennyezéssel kapcsolatos célkitű</w:t>
      </w:r>
      <w:r w:rsidR="0015630C" w:rsidRPr="00E45723">
        <w:rPr>
          <w:rFonts w:asciiTheme="minorHAnsi" w:hAnsiTheme="minorHAnsi" w:cs="Calibri"/>
          <w:bCs/>
        </w:rPr>
        <w:t>-</w:t>
      </w:r>
      <w:r w:rsidRPr="00E45723">
        <w:rPr>
          <w:rFonts w:asciiTheme="minorHAnsi" w:hAnsiTheme="minorHAnsi" w:cs="Calibri"/>
          <w:bCs/>
        </w:rPr>
        <w:t>zések tematikája (levegő, víz, talaj, valamint aggodalomra okot adó anyagok) nem egységesen jelenik meg csoportszinten, ugyanakkor a tagvállalatok többsége lefedi ezeket a területeket.</w:t>
      </w:r>
    </w:p>
    <w:p w14:paraId="33FF269C" w14:textId="77777777" w:rsidR="00BD159D" w:rsidRPr="00E45723" w:rsidRDefault="00FD7771">
      <w:pPr>
        <w:suppressAutoHyphens/>
        <w:rPr>
          <w:rFonts w:asciiTheme="minorHAnsi" w:hAnsiTheme="minorHAnsi" w:cs="Calibri"/>
          <w:bCs/>
        </w:rPr>
      </w:pPr>
      <w:r w:rsidRPr="00E45723">
        <w:rPr>
          <w:rFonts w:asciiTheme="minorHAnsi" w:hAnsiTheme="minorHAnsi" w:cs="Calibri"/>
          <w:bCs/>
        </w:rPr>
        <w:t>A célkitűzések a legtöbb tagvállalat esetében kiterjednek a légszennyező anyagok megelőzésére és szabályozására, valamint a vízbe történő kibocsátások és a talajszennyezés megelőzésére és ellenőrzésére. Ezek a célok az Anyavállalatnál, továbbá a LIWO Románia–Bulgária és a LIWO Szlovénia esetében egyaránt megjelennek. A LIWO Csehország és a LIWO Szlovákia esetében ugyanakkor ezen területekre vonatkozó célkitűzések nem kerültek meghatározásra.</w:t>
      </w:r>
    </w:p>
    <w:p w14:paraId="5E790463" w14:textId="77777777" w:rsidR="00BD159D" w:rsidRPr="00E45723" w:rsidRDefault="00FD7771">
      <w:pPr>
        <w:suppressAutoHyphens/>
        <w:rPr>
          <w:rFonts w:asciiTheme="minorHAnsi" w:hAnsiTheme="minorHAnsi" w:cs="Calibri"/>
        </w:rPr>
      </w:pPr>
      <w:r w:rsidRPr="00E45723">
        <w:rPr>
          <w:rFonts w:asciiTheme="minorHAnsi" w:hAnsiTheme="minorHAnsi" w:cs="Calibri"/>
        </w:rPr>
        <w:t>Az aggodalomra okot adó és különös aggodalomra okot adó anyagokra vonatkozó célok szintén nem egységesen jelennek meg: ezek az Anyavállalatnál, valamint a LIWO Románia, LIWO Bulgária és a LIWO Szlovénia esetében kerültek meghatározásra, míg a LIWO Csehország, a LIWO Szlovákia, a LIWO Lengyelország és a LIWO Németország esetében ilyen célkitűzések nem kerültek rögzítésre.</w:t>
      </w:r>
    </w:p>
    <w:p w14:paraId="63AA425F" w14:textId="77777777" w:rsidR="00BD159D" w:rsidRPr="00E45723" w:rsidRDefault="00FD7771">
      <w:pPr>
        <w:suppressAutoHyphens/>
        <w:rPr>
          <w:rFonts w:asciiTheme="minorHAnsi" w:hAnsiTheme="minorHAnsi" w:cs="Calibri"/>
          <w:bCs/>
        </w:rPr>
      </w:pPr>
      <w:r w:rsidRPr="00E45723">
        <w:rPr>
          <w:rFonts w:asciiTheme="minorHAnsi" w:hAnsiTheme="minorHAnsi" w:cs="Calibri"/>
          <w:bCs/>
        </w:rPr>
        <w:t>Összességében megállapítható, hogy a szennyezéssel kapcsolatos célok a legtöbb működési egységnél jelen vannak, azonban azok lefedettsége és részletezettsége országonként eltérő, és csoportszintű egységesítés jelenleg még nem történt meg.</w:t>
      </w:r>
    </w:p>
    <w:p w14:paraId="2FC48302" w14:textId="77777777" w:rsidR="00BD159D" w:rsidRPr="00E45723" w:rsidRDefault="00FD7771" w:rsidP="00EA3B06">
      <w:pPr>
        <w:pStyle w:val="Heading3"/>
        <w:suppressAutoHyphens/>
        <w:rPr>
          <w:rFonts w:asciiTheme="minorHAnsi" w:hAnsiTheme="minorHAnsi" w:cs="Calibri"/>
        </w:rPr>
      </w:pPr>
      <w:bookmarkStart w:id="43" w:name="_Toc239834929"/>
      <w:r w:rsidRPr="00E45723">
        <w:rPr>
          <w:rFonts w:asciiTheme="minorHAnsi" w:hAnsiTheme="minorHAnsi" w:cs="Calibri"/>
        </w:rPr>
        <w:t>E2-4 A levegő, a víz és a talaj szennyezése</w:t>
      </w:r>
      <w:bookmarkEnd w:id="43"/>
    </w:p>
    <w:p w14:paraId="20E2B15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E2 bek. 28. a)] A kettős lényegességi elemzés (DMA) eredménye alapján a légszennyezés és a vízszennyezés a LIWO Cégcsoport szempontjából lényeges környezeti altémának minősülnek. A Cégcsoport működéséből származó kibocsátások ugyanakkor összességében alacsony intenzitásúak, amely elsősorban a tevékenységi profilból adódik, mivel a Cégcsoport nem végez jelentős ipari vagy gyártási kibocsátással járó tevékenységet. Ennek megfelelően a legtöbb tagvállalat esetében a releváns légszennyező anyagok (pl. CO, NOx, SOx, NMVOC, részecskék), valamint a víz- és talajszennyezéshez kapcsolódó komponensek (pl. nitrogén, foszfor, nehézfémek) értéke nulla, illetve nem került kimutatásra.</w:t>
      </w:r>
    </w:p>
    <w:p w14:paraId="33BAAA6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Csehország és a LIWO Szlovákia esetében a vállalatok kifejezetten jelezték, hogy nem folytatnak olyan tevékenységet, amely jelentős kibocsátással járna, ezért ezen kibocsátások nem kerülnek szisztematikusan mérésre, és időbeli változásuk sem kerül értékelésre. Hasonlóan, a LIWO Szlovénia és a LIWO Németország esetében sem azonosítottak releváns szennyezést, így a kibocsátások értéke nulla.</w:t>
      </w:r>
    </w:p>
    <w:p w14:paraId="1B29048C"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Ezzel szemben korlátozott mértékű kibocsátás néhány országban megjelenik. A LIWO Románia–Bulgária esetében elsősorban szén-monoxid kibocsátás került kimutatásra, míg a LIWO Lengyelország több komponens – különösen NOx, kisebb mértékben SOx és részecskék – tekintetében jelentett alacsony volumenű kibocsátást. Ezek a kibocsátások azonban nagyságrendileg nem tekinthetők jelentősnek.</w:t>
      </w:r>
    </w:p>
    <w:p w14:paraId="0FA0266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mérési és adatgyűjtési gyakorlat szintén eltérő. A legtöbb tagvállalatnál – a kibocsátások alacsony szintje miatt – nem kerültek bevezetésre specifikus mérési módszertanok vagy dedikált adatgyűjtési rendszerek. Ugyanakkor a LIWO Románia–Bulgária belső monitoring folyamatokkal és standardizált eszközökkel (pl. EPA alapú számítási megközelítés) követi a releváns környezeti adatokat, míg a LIWO Lengyelország hatósági rendszerekhez (pl. nemzeti kibocsátási adatbázis) kapcsolódóan, automatizált emissziós tényezők alapján végzi a számításokat.</w:t>
      </w:r>
    </w:p>
    <w:p w14:paraId="0DED47E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víz- és talajszennyezés, valamint a mikroműanyag-kibocsátás tekintetében a Cégcsoport szintjén nem került azonosításra releváns kibocsátás, és ezen területeken jellemzően nem történik aktív monitoring. Emellett a Cégcsoport nem tartozik az ipari kibocsátási irányelv (IED) hatálya alá, és nem alkalmaz BAT (Best Available Techniques) alapú kibocsátási referenciaértékeket.</w:t>
      </w:r>
    </w:p>
    <w:p w14:paraId="62ED567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Összességében megállapítható, hogy a LIWO Cégcsoport szennyezéssel kapcsolatos környezeti hatásai alacsony intenzitásúak, a kibocsátások többsége nem releváns vagy nulla, ugyanakkor egyes tagvállalatoknál már megjelentek strukturáltabb adatgyűjtési és monitoring megoldások, amelyek a jövőben alapot teremthetnek az egységesebb csoportszintű megközelítés kialakításához.</w:t>
      </w:r>
    </w:p>
    <w:p w14:paraId="461C023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Szennyező anyagok típus szerint: kg</w:t>
      </w:r>
    </w:p>
    <w:p w14:paraId="3B8E5ED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Szén-monoxid: 108,22 kg</w:t>
      </w:r>
    </w:p>
    <w:p w14:paraId="5FD9039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NOx: 21,49 kg</w:t>
      </w:r>
    </w:p>
    <w:p w14:paraId="236ACAF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SOx: 0,22 kg</w:t>
      </w:r>
    </w:p>
    <w:p w14:paraId="52FA024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Fluor és szervetlen vegyületek (HF-ként): 2,13 kg</w:t>
      </w:r>
    </w:p>
    <w:p w14:paraId="5C37659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Finom részecskék (PM2,5): 0,27 kg</w:t>
      </w:r>
    </w:p>
    <w:p w14:paraId="54414A5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Szállópor (PM10): 0,27 kg</w:t>
      </w:r>
    </w:p>
    <w:p w14:paraId="67CDC87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Az adatok a LIWO Lengyelországra, Romániára és Bulgáriára vonatkoznak.</w:t>
      </w:r>
    </w:p>
    <w:p w14:paraId="06384903" w14:textId="77777777" w:rsidR="00BD159D" w:rsidRPr="00E45723" w:rsidRDefault="00FD7771" w:rsidP="00A42A4F">
      <w:pPr>
        <w:pStyle w:val="Heading3"/>
        <w:suppressAutoHyphens/>
        <w:ind w:left="270"/>
        <w:rPr>
          <w:rFonts w:asciiTheme="minorHAnsi" w:hAnsiTheme="minorHAnsi" w:cs="Calibri"/>
        </w:rPr>
      </w:pPr>
      <w:bookmarkStart w:id="44" w:name="_Toc239834930"/>
      <w:r w:rsidRPr="00E45723">
        <w:rPr>
          <w:rFonts w:asciiTheme="minorHAnsi" w:hAnsiTheme="minorHAnsi" w:cs="Calibri"/>
        </w:rPr>
        <w:t>E2-5 Aggodalomra okot adó anyagok, különös aggodalomra okot adó anyagok</w:t>
      </w:r>
      <w:bookmarkEnd w:id="44"/>
    </w:p>
    <w:p w14:paraId="3855AEF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Az előállítás során keletkező vagy felhasznált, illetve beszerzett veszélyes anyagok teljes mennyisége a közzétételi időszakban nem került mérésre. A következő közzétételi időszak célja ezen anyagok mérésének biztosítása és az adatszolgáltatás megvalósítása, kapcsolodó KPI-ok létrehozása.</w:t>
      </w:r>
    </w:p>
    <w:p w14:paraId="0951EBCE" w14:textId="77777777" w:rsidR="00BD159D" w:rsidRPr="00E45723" w:rsidRDefault="00FD7771" w:rsidP="0015630C">
      <w:pPr>
        <w:pStyle w:val="Heading2"/>
        <w:suppressAutoHyphens/>
        <w:spacing w:after="240"/>
        <w:rPr>
          <w:rFonts w:asciiTheme="minorHAnsi" w:hAnsiTheme="minorHAnsi" w:cs="Calibri"/>
          <w:highlight w:val="none"/>
        </w:rPr>
      </w:pPr>
      <w:bookmarkStart w:id="45" w:name="_Toc239834931"/>
      <w:r w:rsidRPr="00E45723">
        <w:rPr>
          <w:rFonts w:asciiTheme="minorHAnsi" w:hAnsiTheme="minorHAnsi" w:cs="Calibri"/>
        </w:rPr>
        <w:t>E3 - Vízi és tengeri ökoszisztémák</w:t>
      </w:r>
      <w:bookmarkEnd w:id="45"/>
    </w:p>
    <w:p w14:paraId="26CFF68F" w14:textId="77777777" w:rsidR="00BD159D" w:rsidRPr="00E45723" w:rsidRDefault="00FD7771" w:rsidP="0015630C">
      <w:pPr>
        <w:pStyle w:val="ListParagraph"/>
        <w:ind w:left="0"/>
        <w:rPr>
          <w:rFonts w:asciiTheme="minorHAnsi" w:hAnsiTheme="minorHAnsi" w:cs="Calibri"/>
          <w:bCs/>
        </w:rPr>
      </w:pPr>
      <w:r w:rsidRPr="00E45723">
        <w:rPr>
          <w:rFonts w:asciiTheme="minorHAnsi" w:hAnsiTheme="minorHAnsi" w:cs="Calibri"/>
          <w:bCs/>
        </w:rPr>
        <w:t>LIWO Cégcsoport kettős lényegességi elemzése (DMA) alapján a vízfogyasztás témája elsősorban az RWI leányvállalat mosodai tevékenységéhez kapcsolódóan minősült lényegesnek. A mosodai működés jelentős vízfelhasználással jár, amely működési és költségkockázatot jelent, különösen a vízdíjak, a vízfelhasználással kapcsolatos szabályozási követelmények és az erőforrás-hatékonysági elvárások változása esetén. A Cégcsoport stratégiája ezért az érintett tevékenységek esetében támogatja a vízfelhasználás nyomon követését, a vízhatékonysági intézkedések alkalmazását és a működési hatékonyság javítását. A téma lényegessége ugyanakkor elsősorban az RWI működéséhez kapcsolódik, és nem jellemző a Cégcsoport valamennyi tevékenységére.</w:t>
      </w:r>
    </w:p>
    <w:p w14:paraId="16320909" w14:textId="77777777" w:rsidR="00BD159D" w:rsidRPr="00E45723" w:rsidRDefault="00FD7771" w:rsidP="0015630C">
      <w:pPr>
        <w:pStyle w:val="ListParagraph"/>
        <w:ind w:left="0"/>
        <w:rPr>
          <w:rFonts w:asciiTheme="minorHAnsi" w:hAnsiTheme="minorHAnsi" w:cs="Calibri"/>
          <w:bCs/>
        </w:rPr>
      </w:pPr>
      <w:r w:rsidRPr="00E45723">
        <w:rPr>
          <w:rFonts w:asciiTheme="minorHAnsi" w:hAnsiTheme="minorHAnsi" w:cs="Calibri"/>
          <w:bCs/>
        </w:rPr>
        <w:t>[ESRS E3 bek. 8 a)] Az eszközöket és a tevékenységeket átvizsgálták a vízi és tengeri erőforrásokkal kapcsolatos tényleges és potenciális hatások, kockázatok és lehetőségek azonosítása érdekében.</w:t>
      </w:r>
    </w:p>
    <w:p w14:paraId="1891605C"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E3 AR 15] A Cégcsoport nem azonosított olyan földrajzi területeket, ahol a vízhasználat vagy a vízminőség lényeges problémát jelentene a saját működés, illetve az upstream és downstream értéklánc szempontjából.</w:t>
      </w:r>
    </w:p>
    <w:p w14:paraId="216B678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működés döntően szolgáltatásnyújtáson alapul, amely nem jár jelentős vízkivétellel vagy vízintenzív termelési folyamattal. A vízfelhasználás elsősorban a mosodai tevékenységekhez kapcsolódik, amelyek szabályozott környezetben, a vonatkozó jogszabályi és környezetvédelmi előírások betartása mellett működnek.</w:t>
      </w:r>
    </w:p>
    <w:p w14:paraId="32BFF19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Társaság működési területein nem kerültek azonosításra vízstressznek kitett vagy vízszűkösséggel érintett régiók, ezért a vízhez kapcsolódó hatások és kockázatok földrajzi koncentrációja nem tekinthető lényegesnek.</w:t>
      </w:r>
    </w:p>
    <w:p w14:paraId="08A3DD97" w14:textId="318D0F3D" w:rsidR="00BD159D" w:rsidRPr="00E45723" w:rsidRDefault="00FD7771">
      <w:pPr>
        <w:suppressAutoHyphens/>
        <w:spacing w:after="120"/>
        <w:rPr>
          <w:rFonts w:asciiTheme="minorHAnsi" w:hAnsiTheme="minorHAnsi" w:cs="Calibri"/>
        </w:rPr>
      </w:pPr>
      <w:r w:rsidRPr="00E45723">
        <w:rPr>
          <w:rFonts w:asciiTheme="minorHAnsi" w:hAnsiTheme="minorHAnsi" w:cs="Calibri"/>
        </w:rPr>
        <w:t>[ESRS E3 AR 15] A Társaság víz- és tengeri erőforrásokhoz kapcsolódó hatásai elsősorban egyes szolgáltatási tevékenységeihez köthetők. A legjelentősebb érintettség a mosodai szolgál</w:t>
      </w:r>
      <w:r w:rsidR="0015630C" w:rsidRPr="00E45723">
        <w:rPr>
          <w:rFonts w:asciiTheme="minorHAnsi" w:hAnsiTheme="minorHAnsi" w:cs="Calibri"/>
        </w:rPr>
        <w:t>-</w:t>
      </w:r>
      <w:r w:rsidRPr="00E45723">
        <w:rPr>
          <w:rFonts w:asciiTheme="minorHAnsi" w:hAnsiTheme="minorHAnsi" w:cs="Calibri"/>
        </w:rPr>
        <w:t xml:space="preserve">tatásokhoz kapcsolódik, amelyek vízfelhasználással és szennyvízkibocsátással járnak, ennek megfelelően a téma lényegessége is csak a mosodai tevékenységet folytató cégre, az RWi Zrt.-re vonatkozik, nem pedig a teljes Cégcsoportra. </w:t>
      </w:r>
    </w:p>
    <w:p w14:paraId="1178920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Emellett a takarítási és létesítményüzemeltetési szolgáltatások is kapcsolódnak vízhasználathoz, különösen a tisztítási folyamatok és a kapcsolódó vegyszerhasználat révén. A Társaság beszerzési tevékenységein keresztül az upstream értékláncban is megjelennek vízhasználathoz kapcsolódó hatások, elsősorban a tisztítószerek és higiéniai termékek előállításához kapcsolódóan.</w:t>
      </w:r>
    </w:p>
    <w:p w14:paraId="59868B14"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Információk a telephelyek és az üzleti tevékenységek szűrésére használt módszertanokról, feltételezésekről és eszközökről, amelyek célja a vízhez és tengerhez kapcsolódó tényleges és potenciális hatások, kockázatok és lehetőségek azonosítása a saját műveletekben, valamint az értéklánc upstream és downstream értékei tekintetében.</w:t>
      </w:r>
    </w:p>
    <w:p w14:paraId="19926020"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E3 bek. 8 a)] A Cégcsoport a víz- és tengeri erőforrásokhoz kapcsolódó hatások, kockázatok és lehetőségek azonosítását strukturált, több forrásra épülő megközelítés keretében végzi.</w:t>
      </w:r>
    </w:p>
    <w:p w14:paraId="1F7E67A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értékelés alapját a belső környezetvédelmi szabályozások – különösen az</w:t>
      </w:r>
      <w:r w:rsidRPr="00E45723">
        <w:rPr>
          <w:rFonts w:asciiTheme="minorHAnsi" w:hAnsiTheme="minorHAnsi" w:cs="Calibri"/>
          <w:b/>
          <w:bCs/>
        </w:rPr>
        <w:t xml:space="preserve"> </w:t>
      </w:r>
      <w:r w:rsidRPr="00E45723">
        <w:rPr>
          <w:rStyle w:val="Strong"/>
          <w:rFonts w:asciiTheme="minorHAnsi" w:hAnsiTheme="minorHAnsi" w:cs="Calibri"/>
          <w:b w:val="0"/>
          <w:bCs w:val="0"/>
        </w:rPr>
        <w:t>SZ_30_EHS Környezetvédelmi Szabályzat</w:t>
      </w:r>
      <w:r w:rsidRPr="00E45723">
        <w:rPr>
          <w:rFonts w:asciiTheme="minorHAnsi" w:hAnsiTheme="minorHAnsi" w:cs="Calibri"/>
        </w:rPr>
        <w:t xml:space="preserve"> – képezik, amelyek részeként alkalmazott formanyomtatványok biztosítják a tevékenységek környezeti hatásainak, így a vízhasználathoz és szennyvízkibocsátáshoz kapcsolódó hatások azonosítását és értékelését. A Társaság emellett a kockázatkezelési rendszerén keresztül rendszeresen azonosítja és értékeli a működéshez kapcsolódó környezeti kockázatokat, beleértve a vízfelhasználáshoz és vízminőséghez kapcsolódó kockázatokat is.</w:t>
      </w:r>
    </w:p>
    <w:p w14:paraId="4F5AEB6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beszállítói lánc tekintetében a beszerzési folyamatok, valamint az ESG Beszállítói fenntarthatósági és etikai kódex keretében történik a környezeti szempontok figyelembevétele, ideértve a vízhasználathoz és a környezeti terheléshez kapcsolódó elvárásokat. A működési kontrollok – különösen a mosodai és takarítási tevékenységekhez kapcsolódó technológiai és munkautasítások – biztosítják, hogy a vízhasználat és a kapcsolódó kibocsátások a jogszabályi és belső előírásoknak megfelelően történjenek.</w:t>
      </w:r>
    </w:p>
    <w:p w14:paraId="6E0491D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módszertanok és eszközök együttesen támogatják a vízhez kapcsolódó tényleges és potenciális hatások, kockázatok és lehetőségek azonosítását a Csoport saját működésében, valamint az upstream és downstream értéklánc releváns elemeiben.</w:t>
      </w:r>
    </w:p>
    <w:p w14:paraId="405B1E39" w14:textId="77777777" w:rsidR="00BD159D" w:rsidRPr="00E45723" w:rsidRDefault="00FD7771" w:rsidP="00EA3B06">
      <w:pPr>
        <w:pStyle w:val="Heading3"/>
        <w:suppressAutoHyphens/>
        <w:rPr>
          <w:rFonts w:asciiTheme="minorHAnsi" w:hAnsiTheme="minorHAnsi" w:cs="Calibri"/>
        </w:rPr>
      </w:pPr>
      <w:bookmarkStart w:id="46" w:name="_Toc239834932"/>
      <w:r w:rsidRPr="00E45723">
        <w:rPr>
          <w:rFonts w:asciiTheme="minorHAnsi" w:hAnsiTheme="minorHAnsi" w:cs="Calibri"/>
        </w:rPr>
        <w:t>E3-1 Vízzel és tengeri erőforrásokkal kapcsolatos politikák</w:t>
      </w:r>
      <w:bookmarkEnd w:id="46"/>
    </w:p>
    <w:p w14:paraId="02A3512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E3 bek. 11, 12.] A LIWO Cégcsoporton belül a vízhasználattal és vízi ökoszisztémákkal kapcsolatos politika az Anyavállalat teljes működésére kiterjed, ugyanakkor a téma lényegessége elsősorban egy specifikus tevékenységhez kapcsolódik. A vízhez kapcsolódó hatások és kockázatok kiemelten a LIWO FM keretében működő RWI (mosodai) üzletág tevékenységéhez köthetők, ezért a jelen fejezetben bemutatott adatok és intézkedések alapvetően erre a működési területre vonatkoznak.</w:t>
      </w:r>
    </w:p>
    <w:p w14:paraId="4E6CA32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Az RWI üzletág ipari és speciális tisztítási (mosodai) szolgáltatásokat nyújt, különös tekintettel a magasnyomású vizes technológiák alkalmazására, amelyek során vízfelhasználás, szennyvízkezelés és potenciális vízszennyezési kockázatok merülnek fel. A tevékenység magában foglalja </w:t>
      </w:r>
      <w:r w:rsidRPr="00E45723">
        <w:rPr>
          <w:rFonts w:asciiTheme="minorHAnsi" w:hAnsiTheme="minorHAnsi" w:cs="Calibri"/>
        </w:rPr>
        <w:lastRenderedPageBreak/>
        <w:t>többek között ipari berendezések, tartályok, csővezetékek és egyéb létesítmények tisztítását, ahol a vízhasználat és a kapcsolódó környezeti hatások kezelése kiemelt jelentőségű.</w:t>
      </w:r>
    </w:p>
    <w:p w14:paraId="38BBD72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Ennek megfelelően a vízhasználattal kapcsolatos adatgyűjtés, monitoring és intézkedések elsősorban ehhez a tevékenységhez kapcsolódnak, míg a Cégcsoport egyéb működési területein a vízhez kapcsolódó hatások nem minősülnek lényegesnek.</w:t>
      </w:r>
    </w:p>
    <w:p w14:paraId="193AB92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vízzel és vízi ökoszisztémákkal kapcsolatos politika fő tartalmának bemutatása</w:t>
      </w:r>
    </w:p>
    <w:p w14:paraId="7CDEFFC3" w14:textId="77777777" w:rsidR="00BD159D" w:rsidRPr="00E45723" w:rsidRDefault="00FD7771">
      <w:pPr>
        <w:spacing w:before="120" w:after="0"/>
        <w:rPr>
          <w:rFonts w:asciiTheme="minorHAnsi" w:hAnsiTheme="minorHAnsi" w:cs="Calibri"/>
        </w:rPr>
      </w:pPr>
      <w:r w:rsidRPr="00E45723">
        <w:rPr>
          <w:rFonts w:asciiTheme="minorHAnsi" w:hAnsiTheme="minorHAnsi" w:cs="Calibri"/>
        </w:rPr>
        <w:t>[ESRS 2 bek. 65 a)] A LIWO FM 2024. július 1. napjától hatályos Fenntarthatósági és Környezetvédelmi Politikája kiterjed a vízkészletek védelmére és a vízi környezet megóvására. A politika célja a vízszennyezés megelőzése, a vízhasználat felelős kezelése, valamint a működésből eredő vízterhelés minimalizálása.</w:t>
      </w:r>
    </w:p>
    <w:p w14:paraId="1206C4D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szolgáltatásnyújtása során hangsúlyt helyez a környezetszennyezés megelőzésére, különös tekintettel a vízbe kerülő potenciálisan káros anyagok csökkentésére. A környezetbarát tisztítószerek és technológiák alkalmazása hozzájárul a szennyvízterhelés mérsékléséhez és a vízi ökoszisztémák védelméhez. A Társaság rendszeresen vizsgálja termékei és szolgáltatásai környezeti hatásait, ideértve a vízhasználattal és vízminőséggel kapcsolatos kockázatokat is, és értékeli a jelentős hatások csökkentésének lehetőségeit.</w:t>
      </w:r>
    </w:p>
    <w:p w14:paraId="28B94BD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beszállítók és alvállalkozók értékelése során a Társaság figyelembe veszi azok környezetvédelmi felelősségvállalását, beleértve a vízvédelemmel kapcsolatos kötelezettségek teljesítését is.</w:t>
      </w:r>
    </w:p>
    <w:p w14:paraId="679F164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politika végrehajtását a Környezetvédelmi Szabályzat (SZ_30_EHS) támogatja, amely rendelkezik a víz- és talajvédelemre vonatkozó előírásokról, valamint meghatározza a vízszennyezéssel kapcsolatos megelőző és kontrollmechanizmusokat.</w:t>
      </w:r>
    </w:p>
    <w:p w14:paraId="5D266AD9"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képzésekkel és tudatosságnövelő intézkedésekkel támogatja a munkavállalókat a vízvédelmi követelmények betartásában és a környezeti kockázatok megelőzésében.</w:t>
      </w:r>
    </w:p>
    <w:p w14:paraId="25DDE47F" w14:textId="77777777" w:rsidR="00BD159D" w:rsidRPr="00E45723" w:rsidRDefault="00FD7771" w:rsidP="00EA3B06">
      <w:pPr>
        <w:pStyle w:val="BodyText"/>
        <w:suppressAutoHyphens/>
        <w:rPr>
          <w:rFonts w:asciiTheme="minorHAnsi" w:hAnsiTheme="minorHAnsi" w:cs="Calibri"/>
          <w:b/>
        </w:rPr>
      </w:pPr>
      <w:bookmarkStart w:id="47" w:name="_Toc230770556"/>
      <w:r w:rsidRPr="00E45723">
        <w:rPr>
          <w:rFonts w:asciiTheme="minorHAnsi" w:hAnsiTheme="minorHAnsi" w:cs="Calibri"/>
          <w:b/>
        </w:rPr>
        <w:t>A vízzel és vízi ökoszisztémákkal kapcsolatos politika hatálya</w:t>
      </w:r>
      <w:bookmarkEnd w:id="47"/>
    </w:p>
    <w:p w14:paraId="4C93918F" w14:textId="77777777" w:rsidR="00BD159D" w:rsidRPr="00E45723" w:rsidRDefault="00FD7771">
      <w:pPr>
        <w:spacing w:before="120" w:after="0"/>
        <w:rPr>
          <w:rFonts w:asciiTheme="minorHAnsi" w:hAnsiTheme="minorHAnsi" w:cs="Calibri"/>
        </w:rPr>
      </w:pPr>
      <w:r w:rsidRPr="00E45723">
        <w:rPr>
          <w:rFonts w:asciiTheme="minorHAnsi" w:hAnsiTheme="minorHAnsi" w:cs="Calibri"/>
        </w:rPr>
        <w:t>[ESRS 2 bek. 65 b, d)] A LIWO Cégcsoport szintjén nem áll rendelkezésre egységes, a vízhasználatra és a vízi ökoszisztémákra kiterjedő, formalizált szabályozó eljárás; az alábbiakban bemutatott politika és kapcsolódó szabályozások kizárólag az Anyavállalatra (LIWO FM) vonatkoznak.</w:t>
      </w:r>
    </w:p>
    <w:p w14:paraId="54440858" w14:textId="0B8E591A" w:rsidR="00BD159D" w:rsidRPr="00E45723" w:rsidRDefault="00FD7771">
      <w:pPr>
        <w:spacing w:before="120" w:after="0"/>
        <w:rPr>
          <w:rFonts w:asciiTheme="minorHAnsi" w:hAnsiTheme="minorHAnsi" w:cs="Calibri"/>
        </w:rPr>
      </w:pPr>
      <w:r w:rsidRPr="00E45723">
        <w:rPr>
          <w:rFonts w:asciiTheme="minorHAnsi" w:hAnsiTheme="minorHAnsi" w:cs="Calibri"/>
        </w:rPr>
        <w:t xml:space="preserve">Az Anyavállalat Fenntarthatósági és Környezetvédelmi Politikája kiterjed minden olyan tevékenységre, amely vízhasználattal, vízminőséggel vagy potenciális vízszennyezési kockázattal járhat. </w:t>
      </w:r>
      <w:r w:rsidR="0015630C" w:rsidRPr="00E45723">
        <w:rPr>
          <w:rFonts w:asciiTheme="minorHAnsi" w:hAnsiTheme="minorHAnsi" w:cs="Calibri"/>
        </w:rPr>
        <w:br/>
      </w:r>
      <w:r w:rsidRPr="00E45723">
        <w:rPr>
          <w:rFonts w:asciiTheme="minorHAnsi" w:hAnsiTheme="minorHAnsi" w:cs="Calibri"/>
        </w:rPr>
        <w:t>A politika végrehajtását támogató Környezetvédelmi Szabályzat (SZ_30_EHS) előírásait a szervezet valamennyi egységében alkalmazni szükséges; annak hatálya kiterjed az összes munkavállalóra és egyéb jogviszonyban foglalkoztatott személyre. A szabályozás lefedi az Anyavállalat működését, telephelyeit és projektjeit, különös tekintettel a vízfelhasználásra, a szennyvízkezelésre és a vízszennyezés megelőzésére irányuló intézkedésekre. A beszállítói követelményrendszeren keresztül a vízvédelmi elvárások az upstream értéklánc releváns szereplőire is kiterjednek. A szabályozás alkalmazási körében általános kizárások nem kerültek meghatározásra.</w:t>
      </w:r>
    </w:p>
    <w:p w14:paraId="5100F94D" w14:textId="51C20FD4" w:rsidR="00BD159D" w:rsidRPr="00E45723" w:rsidRDefault="00FD7771">
      <w:pPr>
        <w:suppressAutoHyphens/>
        <w:spacing w:before="120" w:after="120"/>
        <w:rPr>
          <w:rFonts w:asciiTheme="minorHAnsi" w:hAnsiTheme="minorHAnsi" w:cs="Calibri"/>
        </w:rPr>
      </w:pPr>
      <w:r w:rsidRPr="00E45723">
        <w:rPr>
          <w:rFonts w:asciiTheme="minorHAnsi" w:hAnsiTheme="minorHAnsi" w:cs="Calibri"/>
        </w:rPr>
        <w:t xml:space="preserve">A végrehajtás során az Anyavállalat figyelembe veszi a hatályos nemzeti és európai uniós jogszabályokat, valamint a vonatkozó hatósági előírásokat és engedélyeket, különös tekintettel a vízvédelemre és a szennyvízkezelésre. Emellett ISO 14001 szabvány szerint tanúsított, külső fél által auditált környezetirányítási rendszert működtet, amely biztosítja a vízhasználattal és vízszennyezéssel kapcsolatos kockázatok azonosítását, kezelését és folyamatos fejlesztését. </w:t>
      </w:r>
      <w:r w:rsidR="0015630C" w:rsidRPr="00E45723">
        <w:rPr>
          <w:rFonts w:asciiTheme="minorHAnsi" w:hAnsiTheme="minorHAnsi" w:cs="Calibri"/>
        </w:rPr>
        <w:br/>
      </w:r>
      <w:r w:rsidRPr="00E45723">
        <w:rPr>
          <w:rFonts w:asciiTheme="minorHAnsi" w:hAnsiTheme="minorHAnsi" w:cs="Calibri"/>
        </w:rPr>
        <w:t xml:space="preserve">A „KT-64 Környezetbarát takarítás szolgáltatás” minősítési rendszer követelményeinek alkalmazása – különösen a vízfelhasználásra és a berendezések üzemeltetésére vonatkozó </w:t>
      </w:r>
      <w:r w:rsidRPr="00E45723">
        <w:rPr>
          <w:rFonts w:asciiTheme="minorHAnsi" w:hAnsiTheme="minorHAnsi" w:cs="Calibri"/>
        </w:rPr>
        <w:lastRenderedPageBreak/>
        <w:t>előírások – további támogatást nyújt a vízfelhasználás hatékonyságának javításához és a vízterhelés csökkentéséhez.</w:t>
      </w:r>
    </w:p>
    <w:p w14:paraId="2D68D6F1" w14:textId="77777777" w:rsidR="00BD159D" w:rsidRPr="00E45723" w:rsidRDefault="00FD7771">
      <w:pPr>
        <w:rPr>
          <w:rFonts w:asciiTheme="minorHAnsi" w:hAnsiTheme="minorHAnsi" w:cs="Calibri"/>
        </w:rPr>
      </w:pPr>
      <w:r w:rsidRPr="00E45723">
        <w:rPr>
          <w:rFonts w:asciiTheme="minorHAnsi" w:hAnsiTheme="minorHAnsi" w:cs="Calibri"/>
        </w:rPr>
        <w:t>[ESRS 2 bek. 65 e)] A vízzel és vízi erőforrásokkal kapcsolatos politika kialakítása során a Társaság figyelembe veszi a vízhasználattal közvetlenül érintett érdekelt felek szempontjait. Kiemelt jelentőséggel bír a mosodai szolgáltatást ellátó RWI, amely működéséből (mosodai szolgáltatások nyújtása) fakadóan vízintenzív tevékenységet folytat, így közvetlen kapcsolatban áll a vízfelhasználással és a szennyvízkezeléssel kapcsolatos kockázatokkal. A politika kialakításakor alapvető szempont a vonatkozó jogszabályi és hatósági előírások maradéktalan betartása és betartatása, különös tekintettel a vízvédelemmel és szennyvíz-kibocsátással kapcsolatos követelményekre. A Társaság a belső szabályozásokon keresztül biztosítja, hogy a vízhasználattal érintett szervezeti egységek működése összhangban legyen a környezetvédelmi célkitűzésekkel és a fenntarthatósági elvekkel.</w:t>
      </w:r>
    </w:p>
    <w:p w14:paraId="2A0A9878" w14:textId="2C158CAA" w:rsidR="00BD159D" w:rsidRPr="00E45723" w:rsidRDefault="00FD7771">
      <w:pPr>
        <w:suppressAutoHyphens/>
        <w:spacing w:after="120"/>
        <w:rPr>
          <w:rFonts w:asciiTheme="minorHAnsi" w:hAnsiTheme="minorHAnsi" w:cs="Calibri"/>
        </w:rPr>
      </w:pPr>
      <w:r w:rsidRPr="00E45723">
        <w:rPr>
          <w:rFonts w:asciiTheme="minorHAnsi" w:hAnsiTheme="minorHAnsi" w:cs="Calibri"/>
        </w:rPr>
        <w:t xml:space="preserve">[ESRS 2 bek. 65 f)] A LIWO FM vízzel és vízi erőforrásokkal kapcsolatos politikája, valamint az azt támogató belső szabályozások a meghatározott személyi és tárgyi hatály szerint valamennyi érintett munkavállaló és szervezeti egység számára elérhetők a belső szabályozási rendszeren keresztül. Ez biztosítja, hogy a vízhasználattal és vízvédelemmel kapcsolatos előírások a végrehajtásban érintett munkatársak számára hozzáférhetők és alkalmazhatók legyenek. </w:t>
      </w:r>
      <w:r w:rsidR="0015630C" w:rsidRPr="00E45723">
        <w:rPr>
          <w:rFonts w:asciiTheme="minorHAnsi" w:hAnsiTheme="minorHAnsi" w:cs="Calibri"/>
        </w:rPr>
        <w:br/>
      </w:r>
      <w:r w:rsidRPr="00E45723">
        <w:rPr>
          <w:rFonts w:asciiTheme="minorHAnsi" w:hAnsiTheme="minorHAnsi" w:cs="Calibri"/>
        </w:rPr>
        <w:t>A politika nyilvános dokumentumként a Társaság honlapján is közzétételre került, ezáltal elérhető a potenciálisan érintett külső érdekelt felek – így különösen partnerek, megrendelők és egyéb érdeklődők – számára is.</w:t>
      </w:r>
    </w:p>
    <w:p w14:paraId="738800EB"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beszállítók és szolgáltatási partnerek a szerződéses követelményrendszeren keresztül kapnak tájékoztatást a vízvédelmi elvárásokról, amely támogatja a politika értéklánc-szintű érvényesülését.</w:t>
      </w:r>
    </w:p>
    <w:p w14:paraId="43982298" w14:textId="77777777" w:rsidR="00BD159D" w:rsidRPr="00E45723" w:rsidRDefault="00FD7771" w:rsidP="00EA3B06">
      <w:pPr>
        <w:pStyle w:val="Heading3"/>
        <w:suppressAutoHyphens/>
        <w:rPr>
          <w:rFonts w:asciiTheme="minorHAnsi" w:hAnsiTheme="minorHAnsi" w:cs="Calibri"/>
        </w:rPr>
      </w:pPr>
      <w:bookmarkStart w:id="48" w:name="_Toc239834933"/>
      <w:r w:rsidRPr="00E45723">
        <w:rPr>
          <w:rFonts w:asciiTheme="minorHAnsi" w:hAnsiTheme="minorHAnsi" w:cs="Calibri"/>
        </w:rPr>
        <w:t>E3-4 Vízfogyasztás</w:t>
      </w:r>
      <w:bookmarkEnd w:id="48"/>
    </w:p>
    <w:p w14:paraId="3E73F85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E3 AR 32.]</w:t>
      </w:r>
    </w:p>
    <w:p w14:paraId="020BC4C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Vízkivételek saját műveletek során: 58 453,00 m3</w:t>
      </w:r>
    </w:p>
    <w:p w14:paraId="1888DA97"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Vízfogyasztás saját műveletek során: 58 453,00 m3</w:t>
      </w:r>
    </w:p>
    <w:p w14:paraId="55369398" w14:textId="77777777" w:rsidR="00BD159D" w:rsidRPr="00E45723" w:rsidRDefault="00FD7771" w:rsidP="0015630C">
      <w:pPr>
        <w:pStyle w:val="BodyText"/>
        <w:suppressAutoHyphens/>
        <w:rPr>
          <w:rFonts w:asciiTheme="minorHAnsi" w:hAnsiTheme="minorHAnsi" w:cs="Calibri"/>
          <w:b/>
        </w:rPr>
      </w:pPr>
      <w:r w:rsidRPr="00E45723">
        <w:rPr>
          <w:rFonts w:asciiTheme="minorHAnsi" w:hAnsiTheme="minorHAnsi" w:cs="Calibri"/>
          <w:b/>
        </w:rPr>
        <w:t>Összes újrahasznosított és újrafelhasznált víz: 24 643,00 m3</w:t>
      </w:r>
    </w:p>
    <w:p w14:paraId="5373B395" w14:textId="77777777" w:rsidR="00BD159D" w:rsidRPr="00E45723" w:rsidRDefault="00FD7771">
      <w:pPr>
        <w:pStyle w:val="Heading2"/>
        <w:suppressAutoHyphens/>
        <w:rPr>
          <w:rFonts w:asciiTheme="minorHAnsi" w:hAnsiTheme="minorHAnsi" w:cs="Calibri"/>
        </w:rPr>
      </w:pPr>
      <w:bookmarkStart w:id="49" w:name="_Toc239834934"/>
      <w:r w:rsidRPr="00E45723">
        <w:rPr>
          <w:rFonts w:asciiTheme="minorHAnsi" w:hAnsiTheme="minorHAnsi" w:cs="Calibri"/>
        </w:rPr>
        <w:t>E5 - Erőforrás-felhasználás és körforgásos gazdaság</w:t>
      </w:r>
      <w:bookmarkEnd w:id="49"/>
    </w:p>
    <w:p w14:paraId="18BD43A8"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A LIWO Cégcsoport kettős lényegességi elemzése (DMA) alapján az erőforrás-felhasználás és a körforgásos gazdaság lényeges témának minősül. A Cégcsoport működése jelentős mennyiségű tisztítószer, higiéniai termék, csomagolóanyag és egyéb működéshez kapcsolódó anyag felhasználásával jár, amelyek környezeti hatásokat, valamint beszerzési, hulladékkezelési és szabályozási kockázatokat eredményezhetnek. A stratégiai fókuszterületek közé tartozik az erőforrás-hatékonyság javítása, az újrahasznosított vagy környezetbarát termékek alkalmazásának növelése, valamint az anyag- és csomagolóanyag-felhasználás csökkentése. A körforgásos megoldások alkalmazása egyben lehetőséget teremt a működési költségek mérséklésére és a fenntartható szolgáltatások iránti piaci igények kiszolgálására is.</w:t>
      </w:r>
    </w:p>
    <w:p w14:paraId="2FD9466B" w14:textId="77777777" w:rsidR="00BD159D" w:rsidRPr="00E45723" w:rsidRDefault="00FD7771" w:rsidP="0015630C">
      <w:pPr>
        <w:pStyle w:val="Heading3"/>
        <w:suppressAutoHyphens/>
        <w:spacing w:after="240"/>
        <w:rPr>
          <w:rFonts w:asciiTheme="minorHAnsi" w:hAnsiTheme="minorHAnsi" w:cs="Calibri"/>
        </w:rPr>
      </w:pPr>
      <w:bookmarkStart w:id="50" w:name="_Toc239834935"/>
      <w:r w:rsidRPr="00E45723">
        <w:rPr>
          <w:rFonts w:asciiTheme="minorHAnsi" w:hAnsiTheme="minorHAnsi" w:cs="Calibri"/>
        </w:rPr>
        <w:t>E5-1 Az erőforrás-felhasználással és a körforgásos gazdasággal kapcsolatos politikák</w:t>
      </w:r>
      <w:bookmarkEnd w:id="50"/>
    </w:p>
    <w:p w14:paraId="3D6F4E2A" w14:textId="77777777" w:rsidR="00BD159D" w:rsidRPr="00E45723" w:rsidRDefault="00FD7771">
      <w:pPr>
        <w:suppressAutoHyphens/>
        <w:rPr>
          <w:rFonts w:asciiTheme="minorHAnsi" w:hAnsiTheme="minorHAnsi" w:cs="Calibri"/>
          <w:spacing w:val="-4"/>
        </w:rPr>
      </w:pPr>
      <w:r w:rsidRPr="00E45723">
        <w:rPr>
          <w:rStyle w:val="BadgeCharacter"/>
          <w:rFonts w:asciiTheme="minorHAnsi" w:hAnsiTheme="minorHAnsi" w:cs="Calibri"/>
          <w:b w:val="0"/>
        </w:rPr>
        <w:t xml:space="preserve">[ESRS 2 bek. 65 a, b)] </w:t>
      </w:r>
      <w:r w:rsidRPr="00E45723">
        <w:rPr>
          <w:rFonts w:asciiTheme="minorHAnsi" w:hAnsiTheme="minorHAnsi" w:cs="Calibri"/>
          <w:spacing w:val="-4"/>
        </w:rPr>
        <w:t>A LIWO Cégcsoporton belül az erőforrás-felhasználás és a körforgásos gazdaság elveinek érvényesítése jelenleg elsősorban az Anyavállalat szabályozási keretrendszerén keresztül valósul meg, amely több, egymással összhangban működő belső szabályozásra épül.</w:t>
      </w:r>
    </w:p>
    <w:p w14:paraId="72166C2F" w14:textId="77777777" w:rsidR="00BD159D" w:rsidRPr="00E45723" w:rsidRDefault="00FD7771">
      <w:pPr>
        <w:suppressAutoHyphens/>
        <w:rPr>
          <w:rFonts w:asciiTheme="minorHAnsi" w:hAnsiTheme="minorHAnsi" w:cs="Calibri"/>
          <w:spacing w:val="-4"/>
        </w:rPr>
      </w:pPr>
      <w:r w:rsidRPr="00E45723">
        <w:rPr>
          <w:rFonts w:asciiTheme="minorHAnsi" w:hAnsiTheme="minorHAnsi" w:cs="Calibri"/>
          <w:spacing w:val="-4"/>
        </w:rPr>
        <w:lastRenderedPageBreak/>
        <w:t>Az Anyavállalat Fenntarthatósági és Környezetvédelmi Politikája rögzíti a környezeti terhelés csökkentésére, a felelős erőforrás-felhasználásra és a hulladékképződés mérséklésére irányuló alapelveket. A politika végrehajtását a Környezetvédelmi Szabályzat (SZ_30_EHS) támogatja, amely részletes előírásokat tartalmaz többek között a hulladékgazdálkodásra, a veszélyes anyagok kezelésére, valamint a környezeti hatások megelőzésére és ellenőrzésére. A szabályozások célja a környezeti kockázatok csökkentése, a hulladékképződés megelőzése és a hasznosítási arány növelése.</w:t>
      </w:r>
    </w:p>
    <w:p w14:paraId="6141397D" w14:textId="77777777" w:rsidR="00BD159D" w:rsidRPr="00E45723" w:rsidRDefault="00FD7771">
      <w:pPr>
        <w:rPr>
          <w:rFonts w:asciiTheme="minorHAnsi" w:hAnsiTheme="minorHAnsi" w:cs="Calibri"/>
          <w:spacing w:val="-4"/>
        </w:rPr>
      </w:pPr>
      <w:r w:rsidRPr="00E45723">
        <w:rPr>
          <w:rFonts w:asciiTheme="minorHAnsi" w:hAnsiTheme="minorHAnsi" w:cs="Calibri"/>
          <w:spacing w:val="-4"/>
        </w:rPr>
        <w:t>Az erőforrás-hatékonysági szempontok a beszerzési folyamatokban is érvényesülnek: a Beszerzési Szabályzat (SZ_21_BESZ) előírja a környezeti szempontok figyelembevételét a termékek és szolgáltatások kiválasztása során, különös tekintettel a környezetbarát minősítésű termékek előnyben részesítésére, az anyagfelhasználás hatékonyságára és a csomagolási hulladék csökkentésére.</w:t>
      </w:r>
    </w:p>
    <w:p w14:paraId="1E475857" w14:textId="77777777" w:rsidR="00BD159D" w:rsidRPr="00E45723" w:rsidRDefault="00FD7771">
      <w:pPr>
        <w:rPr>
          <w:rFonts w:asciiTheme="minorHAnsi" w:hAnsiTheme="minorHAnsi" w:cs="Calibri"/>
          <w:spacing w:val="-4"/>
        </w:rPr>
      </w:pPr>
      <w:r w:rsidRPr="00E45723">
        <w:rPr>
          <w:rFonts w:asciiTheme="minorHAnsi" w:hAnsiTheme="minorHAnsi" w:cs="Calibri"/>
          <w:spacing w:val="-4"/>
        </w:rPr>
        <w:t>A körforgásos gazdasági elvek az értéklánc mentén is megjelennek: a Beszállítók Fenntarthatósági és Etikai Kódexe (SZ_31_ESG) meghatározza a beszállítók és alvállalkozók számára elvárt környezetvédelmi és fenntarthatósági követelményeket, ideértve a jogszabályi megfelelést, a környezeti terhelés csökkentését és az erőforrás-hatékony működést.</w:t>
      </w:r>
    </w:p>
    <w:p w14:paraId="3214B29C" w14:textId="77777777" w:rsidR="00BD159D" w:rsidRPr="00E45723" w:rsidRDefault="00FD7771">
      <w:pPr>
        <w:rPr>
          <w:rFonts w:asciiTheme="minorHAnsi" w:hAnsiTheme="minorHAnsi" w:cs="Calibri"/>
          <w:spacing w:val="-4"/>
        </w:rPr>
      </w:pPr>
      <w:r w:rsidRPr="00E45723">
        <w:rPr>
          <w:rFonts w:asciiTheme="minorHAnsi" w:hAnsiTheme="minorHAnsi" w:cs="Calibri"/>
          <w:spacing w:val="-4"/>
        </w:rPr>
        <w:t>Az Anyavállalat erőforrás-felhasználással és körforgásos gazdasággal kapcsolatos szabályozásai a teljes működésre kiterjednek. Személyi hatályuk lefedi valamennyi munkavállalót és egyéb jogviszonyban foglalkoztatott személyt, míg tárgyi hatályuk kiterjed az összes tevékenységre, működési folyamatra, valamint az anyagfelhasználással, erőforrás-gazdálkodással és hulladékgazdálkodással összefüggő folyamatokra. A szabályozások az értéklánc mentén is érvényesülnek, kiterjedve a beszállítókra és alvállalkozókra.</w:t>
      </w:r>
    </w:p>
    <w:p w14:paraId="5F14DC91" w14:textId="77777777" w:rsidR="00BD159D" w:rsidRPr="00E45723" w:rsidRDefault="00FD7771">
      <w:pPr>
        <w:rPr>
          <w:rFonts w:asciiTheme="minorHAnsi" w:hAnsiTheme="minorHAnsi" w:cs="Calibri"/>
          <w:spacing w:val="-4"/>
        </w:rPr>
      </w:pPr>
      <w:r w:rsidRPr="00E45723">
        <w:rPr>
          <w:rFonts w:asciiTheme="minorHAnsi" w:hAnsiTheme="minorHAnsi" w:cs="Calibri"/>
          <w:spacing w:val="-4"/>
        </w:rPr>
        <w:t>Az Anyavállalat szolgáltatásnyújtási modelljéből adódóan a tevékenységek jelentős része megrendelők tulajdonában vagy üzemeltetésében álló létesítményekben valósul meg. Ezen infrastruktúrák felett az Anyavállalat nem rendelkezik teljes működési kontrollal, ugyanakkor saját tevékenységei tekintetében a belső szabályozásokat következetesen alkalmazza. A szabályozások nem tartalmaznak kifejezett kizárásokat, azonban a környezeti teljesítmény befolyásolásának mértéke a megrendelői környezetben a szerződéses keretek által meghatározott.</w:t>
      </w:r>
    </w:p>
    <w:p w14:paraId="3E5E94F8" w14:textId="77777777" w:rsidR="00BD159D" w:rsidRPr="00E45723" w:rsidRDefault="00FD7771">
      <w:pPr>
        <w:suppressAutoHyphens/>
        <w:rPr>
          <w:rFonts w:asciiTheme="minorHAnsi" w:hAnsiTheme="minorHAnsi" w:cs="Calibri"/>
          <w:spacing w:val="-4"/>
        </w:rPr>
      </w:pPr>
      <w:r w:rsidRPr="00E45723">
        <w:rPr>
          <w:rFonts w:asciiTheme="minorHAnsi" w:hAnsiTheme="minorHAnsi" w:cs="Calibri"/>
          <w:spacing w:val="-4"/>
        </w:rPr>
        <w:t>Összességében a fenti szabályozások biztosítják, hogy az erőforrás-felhasználás hatékonysága, a hulladékgazdálkodás fejlesztése és a körforgásos gazdasági elvek az Anyavállalat működésében és az értéklánc releváns pontjain egyaránt érvényesüljenek, ugyanakkor csoportszintű egységesítés jelenleg nem áll rendelkezésre.</w:t>
      </w:r>
    </w:p>
    <w:p w14:paraId="4D85D652" w14:textId="77777777" w:rsidR="00BD159D" w:rsidRPr="00E45723" w:rsidRDefault="00FD7771">
      <w:pPr>
        <w:suppressAutoHyphens/>
        <w:rPr>
          <w:rFonts w:asciiTheme="minorHAnsi" w:hAnsiTheme="minorHAnsi" w:cs="Calibri"/>
          <w:spacing w:val="-4"/>
        </w:rPr>
      </w:pPr>
      <w:r w:rsidRPr="00E45723">
        <w:rPr>
          <w:rFonts w:asciiTheme="minorHAnsi" w:hAnsiTheme="minorHAnsi" w:cs="Calibri"/>
          <w:b/>
          <w:bCs/>
          <w:spacing w:val="-4"/>
        </w:rPr>
        <w:t>A szabályozó eljárások kialakítása, érintetti integrációja és hozzáférhetősége</w:t>
      </w:r>
    </w:p>
    <w:p w14:paraId="227BD4AB" w14:textId="1CE60917" w:rsidR="00BD159D" w:rsidRPr="00E45723" w:rsidRDefault="00FD7771">
      <w:pPr>
        <w:suppressAutoHyphens/>
        <w:rPr>
          <w:rFonts w:asciiTheme="minorHAnsi" w:hAnsiTheme="minorHAnsi" w:cs="Calibri"/>
          <w:bCs/>
          <w:spacing w:val="-4"/>
        </w:rPr>
      </w:pPr>
      <w:r w:rsidRPr="00E45723">
        <w:rPr>
          <w:rStyle w:val="BadgeCharacter"/>
          <w:rFonts w:asciiTheme="minorHAnsi" w:hAnsiTheme="minorHAnsi" w:cs="Calibri"/>
          <w:b w:val="0"/>
          <w:bCs/>
        </w:rPr>
        <w:t xml:space="preserve">[ESRS 2 bek. 65 d, e, f)] </w:t>
      </w:r>
      <w:r w:rsidRPr="00E45723">
        <w:rPr>
          <w:rFonts w:asciiTheme="minorHAnsi" w:hAnsiTheme="minorHAnsi" w:cs="Calibri"/>
          <w:bCs/>
          <w:spacing w:val="-4"/>
        </w:rPr>
        <w:t xml:space="preserve">A LIWO Cégcsoporton belül az erőforrás-felhasználással és a körforgásos gazdasággal kapcsolatos szabályozások elsősorban az Anyavállalat szintjén kerültek kialakításra. </w:t>
      </w:r>
      <w:r w:rsidR="0015630C" w:rsidRPr="00E45723">
        <w:rPr>
          <w:rFonts w:asciiTheme="minorHAnsi" w:hAnsiTheme="minorHAnsi" w:cs="Calibri"/>
          <w:bCs/>
          <w:spacing w:val="-4"/>
        </w:rPr>
        <w:br/>
      </w:r>
      <w:r w:rsidRPr="00E45723">
        <w:rPr>
          <w:rFonts w:asciiTheme="minorHAnsi" w:hAnsiTheme="minorHAnsi" w:cs="Calibri"/>
          <w:bCs/>
          <w:spacing w:val="-4"/>
        </w:rPr>
        <w:t>A szabályozási keretrendszer kialakítása, alkalmazása és hozzáférhetősége során az Anyavállalat figyelembe veszi a releváns érdekelt felek szempontjait, valamint a vonatkozó külső szabványokat és jogszabályi követelményeket.</w:t>
      </w:r>
    </w:p>
    <w:p w14:paraId="039A658A" w14:textId="77777777" w:rsidR="00BD159D" w:rsidRPr="00E45723" w:rsidRDefault="00FD7771">
      <w:pPr>
        <w:suppressAutoHyphens/>
        <w:rPr>
          <w:rFonts w:asciiTheme="minorHAnsi" w:hAnsiTheme="minorHAnsi" w:cs="Calibri"/>
          <w:bCs/>
          <w:spacing w:val="-4"/>
        </w:rPr>
      </w:pPr>
      <w:r w:rsidRPr="00E45723">
        <w:rPr>
          <w:rFonts w:asciiTheme="minorHAnsi" w:hAnsiTheme="minorHAnsi" w:cs="Calibri"/>
          <w:bCs/>
          <w:spacing w:val="-4"/>
        </w:rPr>
        <w:t>A szabályozások kialakítása során az Anyavállalat figyelembe veszi a kulcsfontosságú érintetti csoportok – különösen a megrendelők, beszállítók és alvállalkozók, munkavállalók, valamint a szabályozó és hatósági szervek – elvárásait. A politikák és belső szabályozások célja a jogszabályi megfelelés biztosítása, a környezeti terhelés csökkentése, valamint az erőforrás-hatékonyság javítása. Az érintetti elvárások a szabályozásokba egyrészt közvetlenül, másrészt a működési tapasztalatok, auditok és ellenőrzések eredményei, valamint a partnerektől érkező visszajelzések alapján kerülnek beépítésre, biztosítva a folyamatos fejlesztést és a működési környezethez való alkalmazkodást.</w:t>
      </w:r>
    </w:p>
    <w:p w14:paraId="55360233" w14:textId="77777777" w:rsidR="00BD159D" w:rsidRPr="00E45723" w:rsidRDefault="00FD7771">
      <w:pPr>
        <w:suppressAutoHyphens/>
        <w:rPr>
          <w:rFonts w:asciiTheme="minorHAnsi" w:hAnsiTheme="minorHAnsi" w:cs="Calibri"/>
          <w:bCs/>
          <w:spacing w:val="-4"/>
        </w:rPr>
      </w:pPr>
      <w:r w:rsidRPr="00E45723">
        <w:rPr>
          <w:rFonts w:asciiTheme="minorHAnsi" w:hAnsiTheme="minorHAnsi" w:cs="Calibri"/>
          <w:bCs/>
          <w:spacing w:val="-4"/>
        </w:rPr>
        <w:lastRenderedPageBreak/>
        <w:t>A beszállítók és alvállalkozók esetében a fenntarthatósági és erőforrás-hatékonysági elvárások a Beszállítók Fenntarthatósági és Etikai Kódexében, valamint a kapcsolódó szerződéses feltételekben jelennek meg. Ezek ösztönzik a környezetbarát termékek alkalmazását, az erőforrás-hatékony működést és a hulladékképződés csökkentését, ezáltal biztosítva, hogy a körforgásos gazdasági elvek az értéklánc mentén is érvényesüljenek.</w:t>
      </w:r>
    </w:p>
    <w:p w14:paraId="13FF38AB" w14:textId="77777777" w:rsidR="00BD159D" w:rsidRPr="00E45723" w:rsidRDefault="00FD7771">
      <w:pPr>
        <w:rPr>
          <w:rFonts w:asciiTheme="minorHAnsi" w:hAnsiTheme="minorHAnsi" w:cs="Calibri"/>
          <w:bCs/>
          <w:spacing w:val="-4"/>
        </w:rPr>
      </w:pPr>
      <w:r w:rsidRPr="00E45723">
        <w:rPr>
          <w:rFonts w:asciiTheme="minorHAnsi" w:hAnsiTheme="minorHAnsi" w:cs="Calibri"/>
          <w:bCs/>
          <w:spacing w:val="-4"/>
        </w:rPr>
        <w:t>A szabályozások végrehajtása során az Anyavállalat figyelembe veszi a hatályos nemzeti és európai uniós jogszabályokat, valamint a releváns hatósági előírásokat. Emellett a működés során alkalmazott belső szabályozások és irányítási rendszerek összhangban állnak a nemzetközileg elfogadott környezetirányítási gyakorlatokkal, különös tekintettel az ISO 14001 szabvány szerinti környezetirányítási rendszer követelményeire.</w:t>
      </w:r>
    </w:p>
    <w:p w14:paraId="412DBF4E" w14:textId="77777777" w:rsidR="00BD159D" w:rsidRPr="00E45723" w:rsidRDefault="00FD7771">
      <w:pPr>
        <w:rPr>
          <w:rFonts w:asciiTheme="minorHAnsi" w:hAnsiTheme="minorHAnsi" w:cs="Calibri"/>
          <w:bCs/>
          <w:spacing w:val="-4"/>
        </w:rPr>
      </w:pPr>
      <w:r w:rsidRPr="00E45723">
        <w:rPr>
          <w:rFonts w:asciiTheme="minorHAnsi" w:hAnsiTheme="minorHAnsi" w:cs="Calibri"/>
          <w:bCs/>
          <w:spacing w:val="-4"/>
        </w:rPr>
        <w:t>A szabályozások hozzáférhetősége több szinten biztosított. A belső szabályozások a belső dokumentumkezelési rendszeren keresztül valamennyi érintett munkavállaló számára elérhetőek, támogatva a végrehajtásban részt vevő szereplők munkáját. A Fenntarthatósági és Környezetvédelmi Politika a Cégcsoport honlapján is közzétételre kerül, így az a külső érdekelt felek – különösen a megrendelők, partnerek és beszállítók – számára is hozzáférhető.</w:t>
      </w:r>
    </w:p>
    <w:p w14:paraId="1310DC3F" w14:textId="77777777" w:rsidR="00BD159D" w:rsidRPr="00E45723" w:rsidRDefault="00FD7771">
      <w:pPr>
        <w:suppressAutoHyphens/>
        <w:rPr>
          <w:rFonts w:asciiTheme="minorHAnsi" w:hAnsiTheme="minorHAnsi" w:cs="Calibri"/>
          <w:bCs/>
          <w:spacing w:val="-4"/>
        </w:rPr>
      </w:pPr>
      <w:r w:rsidRPr="00E45723">
        <w:rPr>
          <w:rFonts w:asciiTheme="minorHAnsi" w:hAnsiTheme="minorHAnsi" w:cs="Calibri"/>
          <w:bCs/>
          <w:spacing w:val="-4"/>
        </w:rPr>
        <w:t>A beszállítók és alvállalkozók számára a releváns követelményeket a Beszállítói etikai Kódex, valamint a szerződéses dokumentumok tartalmazzák, amelyek egyértelmű iránymutatást biztosítanak a szabályozások gyakorlati alkalmazásához. Ezáltal a szabályozó eljárások nemcsak a potenciálisan érintett érdekelt felek, hanem a bevezetésben és végrehajtásban részt vevő, támogatást igénylő szereplők számára is hozzáférhetőek és értelmezhetőek.</w:t>
      </w:r>
    </w:p>
    <w:p w14:paraId="08DE0640" w14:textId="77777777" w:rsidR="00BD159D" w:rsidRPr="00E45723" w:rsidRDefault="00FD7771">
      <w:pPr>
        <w:rPr>
          <w:rStyle w:val="BadgeCharacter"/>
          <w:rFonts w:asciiTheme="minorHAnsi" w:hAnsiTheme="minorHAnsi" w:cs="Calibri"/>
          <w:b w:val="0"/>
          <w:bCs/>
        </w:rPr>
      </w:pPr>
      <w:r w:rsidRPr="00E45723">
        <w:rPr>
          <w:rStyle w:val="BadgeCharacter"/>
          <w:rFonts w:asciiTheme="minorHAnsi" w:hAnsiTheme="minorHAnsi" w:cs="Calibri"/>
          <w:b w:val="0"/>
          <w:bCs/>
        </w:rPr>
        <w:t>A szabályozások keretében az Anyavállalat törekszik a primer erőforrások felhasználásának csökkentésére és a másodlagos (újrahasznosított) erőforrások arányának növelésére, valamint figyelembe veszi a megújuló erőforrások fenntartható beszerzésének és alkalmazásának szempontjait. A működés során érvényesülnek a hulladékhierarchia elvei, különös tekintettel a hulladékképződés megelőzésére, az újrahasználat és újrahasznosítás előtérbe helyezésére, valamint az ártalmatlanítás minimalizálására.</w:t>
      </w:r>
    </w:p>
    <w:p w14:paraId="48A282EA" w14:textId="77777777" w:rsidR="00BD159D" w:rsidRPr="00E45723" w:rsidRDefault="00FD7771" w:rsidP="0015630C">
      <w:pPr>
        <w:pStyle w:val="Heading3"/>
        <w:suppressAutoHyphens/>
        <w:spacing w:after="240"/>
        <w:rPr>
          <w:rFonts w:asciiTheme="minorHAnsi" w:hAnsiTheme="minorHAnsi" w:cs="Calibri"/>
        </w:rPr>
      </w:pPr>
      <w:bookmarkStart w:id="51" w:name="_Toc239834936"/>
      <w:r w:rsidRPr="00E45723">
        <w:rPr>
          <w:rFonts w:asciiTheme="minorHAnsi" w:hAnsiTheme="minorHAnsi" w:cs="Calibri"/>
        </w:rPr>
        <w:t>E5-2 Az erőforrás-felhasználással és a körforgásos gazdasággal kapcsolatos intézkedések</w:t>
      </w:r>
      <w:bookmarkEnd w:id="51"/>
    </w:p>
    <w:p w14:paraId="1AB4EA0C"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68 a)] [ESRS E5 bek. 17] A LIWO FM több, egymással összefüggő intézkedést hajt végre az erőforrás-felhasználás hatékonyságának javítása és a körforgásos gazdasági elvek működésbe történő integrálása érdekében a szolgáltatási tevékenységeiben.</w:t>
      </w:r>
    </w:p>
    <w:p w14:paraId="298382D0" w14:textId="77777777" w:rsidR="00BD159D" w:rsidRPr="00E45723" w:rsidRDefault="00FD7771">
      <w:pPr>
        <w:suppressAutoHyphens/>
        <w:rPr>
          <w:rFonts w:asciiTheme="minorHAnsi" w:hAnsiTheme="minorHAnsi" w:cs="Calibri"/>
        </w:rPr>
      </w:pPr>
      <w:r w:rsidRPr="00E45723">
        <w:rPr>
          <w:rFonts w:asciiTheme="minorHAnsi" w:hAnsiTheme="minorHAnsi" w:cs="Calibri"/>
        </w:rPr>
        <w:t>Az intézkedések egyik kiemelt területe a környezetbarát termékek és anyagok arányának növelése. A LIWO FM fokozatosan növeli a környezetbarát minősítésű (ECO, ECOLABEL vagy ökocímkés) tisztítószerek, higiéniai termékek és egyéb felhasznált anyagok arányát, amely hozzájárul a veszélyes vegyi anyagok használatának csökkentéséhez és az anyagfelhasználásból eredő környezeti hatások mérsékléséhez. Ennek eredményeként a LIWO FM célja, hogy a környezetbarát minősítésű termékek aránya a következő években folyamatosan növekedjen.</w:t>
      </w:r>
    </w:p>
    <w:p w14:paraId="353E1EBC" w14:textId="77777777" w:rsidR="00BD159D" w:rsidRPr="00E45723" w:rsidRDefault="00FD7771">
      <w:pPr>
        <w:rPr>
          <w:rFonts w:asciiTheme="minorHAnsi" w:hAnsiTheme="minorHAnsi" w:cs="Calibri"/>
        </w:rPr>
      </w:pPr>
      <w:r w:rsidRPr="00E45723">
        <w:rPr>
          <w:rFonts w:asciiTheme="minorHAnsi" w:hAnsiTheme="minorHAnsi" w:cs="Calibri"/>
        </w:rPr>
        <w:t>Az erőforrás-hatékonyság javítását támogatja a zöld beszerzési gyakorlat alkalmazása is, amelynek keretében a LIWO FM előnyben részesíti az alacsonyabb környezeti terhelésű, újrahasznosítható csomagolással rendelkező vagy környezetbarát minősítéssel ellátott termékeket. A fenntarthatósági szempontok a beszállítók kiválasztásában és értékelésében is érvényesülnek a Beszállítók Fenntarthatósági és Etikai Kódexén keresztül, elősegítve az erőforrás-hatékony működést az értéklánc mentén.</w:t>
      </w:r>
    </w:p>
    <w:p w14:paraId="2B2DDC7A" w14:textId="77777777" w:rsidR="00BD159D" w:rsidRPr="00E45723" w:rsidRDefault="00FD7771">
      <w:pPr>
        <w:rPr>
          <w:rFonts w:asciiTheme="minorHAnsi" w:hAnsiTheme="minorHAnsi" w:cs="Calibri"/>
        </w:rPr>
      </w:pPr>
      <w:r w:rsidRPr="00E45723">
        <w:rPr>
          <w:rFonts w:asciiTheme="minorHAnsi" w:hAnsiTheme="minorHAnsi" w:cs="Calibri"/>
        </w:rPr>
        <w:lastRenderedPageBreak/>
        <w:t>A LIWO FM folyamatosan fejleszti hulladékgazdálkodási rendszerét annak érdekében, hogy csökkentse az ártalmatlanításra kerülő hulladék mennyiségét és növelje a hasznosítás arányát. A szolgáltatási tevékenység során keletkező hulladékokat saját belső logisztikai rendszerén keresztül gyűjti össze, majd engedéllyel rendelkező kezelőknek adja át, ezzel elősegítve a hulladékok hasznosítását és a körforgásos gazdasági elvek gyakorlati érvényesülését. A kapcsolódó intézkedések várható eredménye, hogy a hasznosítási arány növekedésével párhuzamosan csökken az ártalmatlanításra kerülő hulladék aránya, mérsékelve a hulladéklerakásból származó környezeti terhelést.</w:t>
      </w:r>
    </w:p>
    <w:p w14:paraId="1970076B" w14:textId="77777777" w:rsidR="00BD159D" w:rsidRPr="00E45723" w:rsidRDefault="00FD7771">
      <w:pPr>
        <w:rPr>
          <w:rFonts w:asciiTheme="minorHAnsi" w:hAnsiTheme="minorHAnsi" w:cs="Calibri"/>
        </w:rPr>
      </w:pPr>
      <w:r w:rsidRPr="00E45723">
        <w:rPr>
          <w:rFonts w:asciiTheme="minorHAnsi" w:hAnsiTheme="minorHAnsi" w:cs="Calibri"/>
        </w:rPr>
        <w:t>Az erőforrás-felhasználás optimalizálását technológiai fejlesztések is támogatják, különösen az automatizált és robotikai takarítási megoldások alkalmazása révén. Ezek az innovációk hozzájárulnak az anyag- és vegyszerfelhasználás csökkentéséhez, valamint a működési folyamatok hatékonyabbá tételéhez.</w:t>
      </w:r>
    </w:p>
    <w:p w14:paraId="79D95834" w14:textId="77777777" w:rsidR="00BD159D" w:rsidRPr="00E45723" w:rsidRDefault="00FD7771">
      <w:pPr>
        <w:rPr>
          <w:rFonts w:asciiTheme="minorHAnsi" w:hAnsiTheme="minorHAnsi" w:cs="Calibri"/>
        </w:rPr>
      </w:pPr>
      <w:r w:rsidRPr="00E45723">
        <w:rPr>
          <w:rFonts w:asciiTheme="minorHAnsi" w:hAnsiTheme="minorHAnsi" w:cs="Calibri"/>
        </w:rPr>
        <w:t>A fenti intézkedések együttesen szolgálják a LIWO FM Fenntarthatósági és Környezetvédelmi Politikájában meghatározott célok elérését, különös tekintettel az erőforrás-hatékonyság javítására, a hulladékképződés csökkentésére és a körforgásos gazdasági elvek fokozatos, rendszerszintű beépítésére a működésbe.</w:t>
      </w:r>
    </w:p>
    <w:p w14:paraId="2219B5E8" w14:textId="77777777" w:rsidR="00BD159D" w:rsidRPr="00E45723" w:rsidRDefault="00FD7771">
      <w:pPr>
        <w:rPr>
          <w:rFonts w:asciiTheme="minorHAnsi" w:hAnsiTheme="minorHAnsi" w:cs="Calibri"/>
        </w:rPr>
      </w:pPr>
      <w:r w:rsidRPr="00E45723">
        <w:rPr>
          <w:rFonts w:asciiTheme="minorHAnsi" w:hAnsiTheme="minorHAnsi" w:cs="Calibri"/>
        </w:rPr>
        <w:t>[ESRS 2 bek. 68 b)] Az erőforrás-felhasználással és a körforgásos gazdasággal kapcsolatos intézkedések elsősorban a Társaság saját működésére és szolgáltatásnyújtási tevékenységére terjednek ki. Ezek magukban foglalják a felhasznált anyagok és tisztítószerek kiválasztását, a beszerzési gyakorlatot, valamint a szolgáltatási tevékenységek során keletkező hulladék kezelését. A Társaság szolgáltató vállalatként tevékenységét jellemzően megrendelői tulajdonban lévő létesítményekben végzi, ezért az intézkedések a szolgáltatási helyszíneken alkalmazott technológiákra, anyagfelhasználásra és működési gyakorlatokra is kiterjednek.</w:t>
      </w:r>
    </w:p>
    <w:p w14:paraId="4F64583A" w14:textId="77777777" w:rsidR="00BD159D" w:rsidRPr="00E45723" w:rsidRDefault="00FD7771">
      <w:pPr>
        <w:suppressAutoHyphens/>
        <w:rPr>
          <w:rFonts w:asciiTheme="minorHAnsi" w:hAnsiTheme="minorHAnsi" w:cs="Calibri"/>
        </w:rPr>
      </w:pPr>
      <w:r w:rsidRPr="00E45723">
        <w:rPr>
          <w:rFonts w:asciiTheme="minorHAnsi" w:hAnsiTheme="minorHAnsi" w:cs="Calibri"/>
        </w:rPr>
        <w:t>Az intézkedések hatóköre továbbá az upstream értéklánc egyes szereplőire – különösen a beszállítókra és alvállalkozókra – is kiterjed, amelyekre a Társaság szerződéses és szabályozási követelményeken keresztül fenntarthatósági és környezetvédelmi elvárásokat határoz meg.</w:t>
      </w:r>
    </w:p>
    <w:p w14:paraId="579985D5" w14:textId="77777777" w:rsidR="00BD159D" w:rsidRPr="00E45723" w:rsidRDefault="00FD7771">
      <w:pPr>
        <w:rPr>
          <w:rFonts w:asciiTheme="minorHAnsi" w:hAnsiTheme="minorHAnsi" w:cs="Calibri"/>
        </w:rPr>
      </w:pPr>
      <w:r w:rsidRPr="00E45723">
        <w:rPr>
          <w:rFonts w:asciiTheme="minorHAnsi" w:hAnsiTheme="minorHAnsi" w:cs="Calibri"/>
        </w:rPr>
        <w:t>[ESRS 2 bek. 68 d, e)] Az Anyavállalat működésének elsődleges célja az erőforrás-felhasználással és hulladékgazdálkodással kapcsolatos környezeti hatások megelőzése, valamint az esetleges kedvezőtlen hatások megfelelő kezelése és orvoslása. Ennek érdekében a belső szabályozások – különösen a környezetvédelmi szabályzat, valamint a kapcsolódó működési és ellenőrzési folyamatok – egyértelműen meghatározzák a környezeti kockázatok kezelésének, a nem megfelelőségek kivizsgálásának és a szükséges helyesbítő intézkedések végrehajtásának rendjét.</w:t>
      </w:r>
    </w:p>
    <w:p w14:paraId="37B01146" w14:textId="77777777" w:rsidR="00BD159D" w:rsidRPr="00E45723" w:rsidRDefault="00FD7771">
      <w:pPr>
        <w:rPr>
          <w:rFonts w:asciiTheme="minorHAnsi" w:hAnsiTheme="minorHAnsi" w:cs="Calibri"/>
        </w:rPr>
      </w:pPr>
      <w:r w:rsidRPr="00E45723">
        <w:rPr>
          <w:rFonts w:asciiTheme="minorHAnsi" w:hAnsiTheme="minorHAnsi" w:cs="Calibri"/>
        </w:rPr>
        <w:t>Amennyiben a működés során olyan esemény merül fel, amely erőforrás-felhasználással vagy hulladékgazdálkodással összefüggő kedvezőtlen környezeti hatást eredményezhet, a LIWO FM a belső eljárásrendeknek megfelelően kivizsgálja az esetet, és szükség esetén intézkedéseket tesz a hatások megszüntetése vagy mérséklése érdekében. A társaság együttműködik az érintett megrendelőkkel, partnerekkel és – amennyiben releváns – a hatóságokkal annak biztosítása érdekében, hogy a szükséges korrekciós lépések és esetleges jogorvoslati mechanizmusok megfelelően érvényesüljenek. A jelentéstételi időszakban nem merült fel olyan esemény, amely az erőforrás-felhasználással vagy a körforgásos gazdasággal összefüggésben tényleges károkozással járt volna.</w:t>
      </w:r>
    </w:p>
    <w:p w14:paraId="78937C8C" w14:textId="77777777" w:rsidR="00BD159D" w:rsidRPr="00E45723" w:rsidRDefault="00FD7771">
      <w:pPr>
        <w:rPr>
          <w:rFonts w:asciiTheme="minorHAnsi" w:hAnsiTheme="minorHAnsi" w:cs="Calibri"/>
        </w:rPr>
      </w:pPr>
      <w:r w:rsidRPr="00E45723">
        <w:rPr>
          <w:rFonts w:asciiTheme="minorHAnsi" w:hAnsiTheme="minorHAnsi" w:cs="Calibri"/>
        </w:rPr>
        <w:t>A LIWO FM az erőforrás-felhasználással és a körforgásos gazdasággal kapcsolatos intézkedések előrehaladását rendszeresen nyomon követi a működési adatok, valamint a jogszabályi adatszolgáltatás keretében gyűjtött információk alapján. A környezetbarát termékek arányának növelé</w:t>
      </w:r>
      <w:r w:rsidRPr="00E45723">
        <w:rPr>
          <w:rFonts w:asciiTheme="minorHAnsi" w:hAnsiTheme="minorHAnsi" w:cs="Calibri"/>
        </w:rPr>
        <w:lastRenderedPageBreak/>
        <w:t>sére és a hulladékhasznosítási arány javítására irányuló intézkedések végrehajtása a jelentéstételi időszakban is folytatódott, és továbbra is meghatározó eleme a beszerzési és működési gyakorlatoknak.</w:t>
      </w:r>
    </w:p>
    <w:p w14:paraId="4D1E0A0F" w14:textId="77777777" w:rsidR="00BD159D" w:rsidRPr="00E45723" w:rsidRDefault="00FD7771">
      <w:pPr>
        <w:suppressAutoHyphens/>
        <w:rPr>
          <w:rFonts w:asciiTheme="minorHAnsi" w:hAnsiTheme="minorHAnsi" w:cs="Calibri"/>
        </w:rPr>
      </w:pPr>
      <w:r w:rsidRPr="00E45723">
        <w:rPr>
          <w:rFonts w:asciiTheme="minorHAnsi" w:hAnsiTheme="minorHAnsi" w:cs="Calibri"/>
        </w:rPr>
        <w:t>A hulladékgazdálkodási teljesítmény nyomon követése a jogszabályi előírásoknak megfelelő nyilvántartási rendszer és hatósági adatszolgáltatás alapján történik. A 2025. évre vonatkozó adatok rendelkezésre állnak, amelyeket a LIWO FM felhasznál a kitűzött célok teljesülésének értékelésére, valamint a további fejlesztési irányok meghatározására.</w:t>
      </w:r>
    </w:p>
    <w:p w14:paraId="1474BD64" w14:textId="77777777" w:rsidR="00BD159D" w:rsidRPr="00E45723" w:rsidRDefault="00FD7771">
      <w:pPr>
        <w:suppressAutoHyphens/>
        <w:rPr>
          <w:rFonts w:asciiTheme="minorHAnsi" w:hAnsiTheme="minorHAnsi" w:cs="Calibri"/>
        </w:rPr>
      </w:pPr>
      <w:r w:rsidRPr="00E45723">
        <w:rPr>
          <w:rFonts w:asciiTheme="minorHAnsi" w:hAnsiTheme="minorHAnsi" w:cs="Calibri"/>
        </w:rPr>
        <w:t>Az esetlegesen feltárt eltérések vagy nem megfelelőségek esetén a LIWO FM helyesbítő intézkedéseket kezdeményez, és azok végrehajtását a belső ellenőrzési és auditfolyamatok keretében nyomon követi. Az intézkedések együttesen biztosítják, hogy a környezeti hatások megelőzése, kezelése és – amennyiben releváns – orvoslása strukturált és ellenőrzött módon valósuljon meg, valamint, hogy a kapcsolódó célkitűzések teljesülése folyamatosan értékelhető legyen.</w:t>
      </w:r>
    </w:p>
    <w:p w14:paraId="51AAD0EA" w14:textId="77777777" w:rsidR="00BD159D" w:rsidRPr="00E45723" w:rsidRDefault="00FD7771" w:rsidP="0015630C">
      <w:pPr>
        <w:pStyle w:val="Heading3"/>
        <w:suppressAutoHyphens/>
        <w:spacing w:after="240"/>
        <w:rPr>
          <w:rFonts w:asciiTheme="minorHAnsi" w:hAnsiTheme="minorHAnsi" w:cs="Calibri"/>
        </w:rPr>
      </w:pPr>
      <w:bookmarkStart w:id="52" w:name="_Toc239834937"/>
      <w:r w:rsidRPr="00E45723">
        <w:rPr>
          <w:rFonts w:asciiTheme="minorHAnsi" w:hAnsiTheme="minorHAnsi" w:cs="Calibri"/>
        </w:rPr>
        <w:t>E5-3 Az erőforrás-felhasználással és a körforgásos gazdasággal kapcsolatos célok</w:t>
      </w:r>
      <w:bookmarkEnd w:id="52"/>
    </w:p>
    <w:p w14:paraId="211D79BA" w14:textId="77777777" w:rsidR="00BD159D" w:rsidRPr="00E45723" w:rsidRDefault="00FD7771">
      <w:pPr>
        <w:rPr>
          <w:rFonts w:asciiTheme="minorHAnsi" w:hAnsiTheme="minorHAnsi" w:cs="Calibri"/>
        </w:rPr>
      </w:pPr>
      <w:r w:rsidRPr="00E45723">
        <w:rPr>
          <w:rFonts w:asciiTheme="minorHAnsi" w:hAnsiTheme="minorHAnsi" w:cs="Calibri"/>
        </w:rPr>
        <w:t>[ESRS E5 bek. 21, 23] A LIWO Cégcsoporton belül az erőforrás-felhasználással és a körforgásos gazdasággal kapcsolatos, mérhető és eredményorientált célok meghatározása nem egységes. Míg egyes leányvállalatok – így a LIWO Magyarország, LIWO Románia, LIWO Bulgária, LIWO Szlovénia és LIWO Lengyelország működései – rendelkeznek ilyen célkitűzésekkel, addig más országokban, különösen a LIWO Csehország, LIWO Szlovákia és LIWO Németország működésében jelenleg nem kerültek meghatározásra mérhető, formalizált célok ezen a területen. Ez azt jelzi, hogy a célkitűzések alkalmazása jelenleg részben decentralizált, és nem minden országban egységesen bevezetett gyakorlat.</w:t>
      </w:r>
    </w:p>
    <w:p w14:paraId="02D38A73" w14:textId="77777777" w:rsidR="00BD159D" w:rsidRPr="00E45723" w:rsidRDefault="00FD7771">
      <w:pPr>
        <w:rPr>
          <w:rFonts w:asciiTheme="minorHAnsi" w:hAnsiTheme="minorHAnsi" w:cs="Calibri"/>
        </w:rPr>
      </w:pPr>
      <w:r w:rsidRPr="00E45723">
        <w:rPr>
          <w:rFonts w:asciiTheme="minorHAnsi" w:hAnsiTheme="minorHAnsi" w:cs="Calibri"/>
        </w:rPr>
        <w:t>[ESRS 2 bek. 80 a)] A LIWO FM az erőforrás-felhasználással és a körforgásos gazdasággal kapcsolatos mérhető célkitűzéseit a Fenntarthatósági és Környezetvédelmi Politikában, valamint az ESG- és társadalmi felelősségvállalási stratégiában rögzített alapelvekből vezette le. A célok közvetlenül támogatják a politika fő törekvéseit, különösen az erőforrás-hatékonyság javítását, a környezeti terhelés csökkentését és a körforgásos gazdasági szemlélet erősítését. Ennek keretében a LIWO FM többek között a környezetbarát (ECO minősítésű) tisztító- és higiéniai termékek arányának növelésére, az anyagfelhasználás hatékonyságának javítására és a veszélyes anyagok használatának csökkentésére, a hulladékképződés mérséklésére és az újrahasznosítási arány növelésére, az ártalmatlanításra kerülő hulladék arányának csökkentésére, valamint az energiafelhasználás hatékonyságának javítására és az üvegházhatású gázkibocsátás intenzitásának mérséklésére határozott meg mérhető célokat. E célkitűzések hozzájárulnak a működés erőforrás-hatékonyabbá tételéhez és a körforgásos gazdasági elvek fokozatos integrálásához a működési és beszerzési folyamatokba.</w:t>
      </w:r>
    </w:p>
    <w:p w14:paraId="087301E6" w14:textId="77777777" w:rsidR="00BD159D" w:rsidRPr="00E45723" w:rsidRDefault="00FD7771">
      <w:pPr>
        <w:rPr>
          <w:rFonts w:asciiTheme="minorHAnsi" w:hAnsiTheme="minorHAnsi" w:cs="Calibri"/>
        </w:rPr>
      </w:pPr>
      <w:r w:rsidRPr="00E45723">
        <w:rPr>
          <w:rFonts w:asciiTheme="minorHAnsi" w:hAnsiTheme="minorHAnsi" w:cs="Calibri"/>
        </w:rPr>
        <w:t xml:space="preserve">A többi működési egység esetében a szakpolitikai célokhoz való kapcsolódás eltérő mértékben valósul meg. A LIWO Csehország jelenleg nem határozott meg mérhető célokat ezen a területen, így a szakpolitikákkal való közvetlen kapcsolat sem került formalizálásra, a gyakorlat elsősorban belső eljárásokon és jogszabályi megfelelésen alapul. A LIWO Románia és LIWO Bulgária működésében a célkitűzések a környezetvédelemhez és az erőforrás-felhasználáshoz kapcsolódó általános irányelvekből kerülnek levezetésre, különös tekintettel az üvegházhatású gázkibocsátás csökkentésére, az energiahatékonyság javítására, a megújuló energiaforrásokra való átállásra, valamint az erőforrás-felhasználás optimalizálására; ezekhez mérhető célok és nyomonkövetési mechanizmusok is kapcsolódnak. A LIWO Szlovénia működésében a célkitűzések megfogalmazása a realitás és következetesség elvéhez igazodik, azonban részletes, formalizált kapcsolódás nem került bemutatásra. A LIWO Lengyelország működése konkrét célkitűzésként az EU Ecolabel </w:t>
      </w:r>
      <w:r w:rsidRPr="00E45723">
        <w:rPr>
          <w:rFonts w:asciiTheme="minorHAnsi" w:hAnsiTheme="minorHAnsi" w:cs="Calibri"/>
        </w:rPr>
        <w:lastRenderedPageBreak/>
        <w:t>tanúsítvány megszerzését határozta meg egy kiválasztott telephelyen, amely az integrált irányítási rendszer és a környezetirányítási politika céljaival összhangban a környezeti hatások csökkentését, különösen az alacsony környezeti terhelésű tisztítószerek alkalmazását támogatja.</w:t>
      </w:r>
    </w:p>
    <w:p w14:paraId="3F1C76CD" w14:textId="77777777" w:rsidR="00BD159D" w:rsidRPr="00E45723" w:rsidRDefault="00FD7771">
      <w:pPr>
        <w:rPr>
          <w:rFonts w:asciiTheme="minorHAnsi" w:hAnsiTheme="minorHAnsi" w:cs="Calibri"/>
        </w:rPr>
      </w:pPr>
      <w:r w:rsidRPr="00E45723">
        <w:rPr>
          <w:rFonts w:asciiTheme="minorHAnsi" w:hAnsiTheme="minorHAnsi" w:cs="Calibri"/>
        </w:rPr>
        <w:t>[ESRS 2 bek. 80 b, c)] Az Anyavállalat az erőforrás-felhasználással és a körforgásos gazdasággal kapcsolatos célkitűzéseit elsősorban arányalapú növelési célokként határozza meg, különösen a környezetbarát (ECO minősítésű) termékek arányának növelése, valamint a hulladék újrahasznosításának és az ártalmatlanításból elterelt hulladék arányának növelése tekintetében. A célrendszer emellett intenzitásalapú csökkentési célokat is tartalmaz, amelyek a működéshez kapcsolódó erőforrás-felhasználás és környezeti terhelés hatékonyságának javítását célozzák, ugyanakkor a LIWO FM jelenleg nem alkalmaz abszolút mennyiségi csökkentési célokat ezen a területen. A célkitűzések hatóköre a LIWO FM saját működésére és szolgáltatásnyújtási tevékenységére terjed ki, különös tekintettel a felhasznált anyagokra, tisztító- és higiéniai termékekre, a hulladékgazdálkodásra, valamint az erőforrás-felhasználás hatékonyságára. A célok a működési folyamatokban alkalmazott anyagok és termékek körforgásos szemléletű felhasználására, a környezetbarát termékek arányának növelésére, valamint a keletkező hulladék kezelésére és újrahasznosítására irányulnak, és szerződéses követelmények, valamint ellenőrzési mechanizmusok révén az upstream értéklánc egyes szereplőire – különösen a beszállítókra és alvállalkozókra – is kiterjednek.</w:t>
      </w:r>
    </w:p>
    <w:p w14:paraId="42066151" w14:textId="77777777" w:rsidR="00BD159D" w:rsidRPr="00E45723" w:rsidRDefault="00FD7771">
      <w:pPr>
        <w:rPr>
          <w:rFonts w:asciiTheme="minorHAnsi" w:hAnsiTheme="minorHAnsi" w:cs="Calibri"/>
        </w:rPr>
      </w:pPr>
      <w:r w:rsidRPr="00E45723">
        <w:rPr>
          <w:rFonts w:asciiTheme="minorHAnsi" w:hAnsiTheme="minorHAnsi" w:cs="Calibri"/>
        </w:rPr>
        <w:t>A többi működési egység esetében a célok jellege és hatóköre eltérő. A LIWO Csehország nem határozott meg mérhető célokat, így azok jellege és hatóköre sem került meghatározásra. A LIWO Románia és LIWO Bulgária működésében a célok az integrált irányítási rendszer keretében kerülnek meghatározásra, és a teljes szervezetre, valamint több hulladékkategóriára kiterjednek, miközben azok nyomon követése statisztikai elemzéseken és éves jelentéseken alapul. A LIWO Szlovénia működési célkitűzései elsősorban a környezeti terhelés – így a hulladék, kibocsátások és veszélyes anyagok – csökkentésére, valamint a szennyezések megelőzésére irányulnak, hatókörük pedig kiterjed a saját működésre (pl. telephelyek, irodák, raktárak), az upstream értékláncra (beszállítók), valamint az egyes működési folyamatokra, beleértve a hulladékgyűjtést, újrahasznosítást, erőforrás-felhasználás optimalizálását és a környezeti hatások nyomon követését. A LIWO Lengyelország működése esetében a cél abszolút jellegű, és az EU Ecolabel tanúsítvány megszerzésére irányul egy kiválasztott helyszínen, amelynek hatóköre a tanúsítási követelményekből adódóan elsősorban a takarítási szolgáltatásra korlátozódik.</w:t>
      </w:r>
    </w:p>
    <w:p w14:paraId="09D03C97" w14:textId="77777777" w:rsidR="00BD159D" w:rsidRPr="00E45723" w:rsidRDefault="00FD7771">
      <w:pPr>
        <w:rPr>
          <w:rFonts w:asciiTheme="minorHAnsi" w:hAnsiTheme="minorHAnsi" w:cs="Calibri"/>
        </w:rPr>
      </w:pPr>
      <w:r w:rsidRPr="00E45723">
        <w:rPr>
          <w:rFonts w:asciiTheme="minorHAnsi" w:hAnsiTheme="minorHAnsi" w:cs="Calibri"/>
        </w:rPr>
        <w:t>A LIWO FM jelenleg nem rendelkezik valamennyi erőforrás-felhasználással és körforgásos gazdasággal kapcsolatos célkitűzés tekintetében számszerűsített, mérhető és időhöz kötött célszintekkel. A célok irányának és fókuszterületeinek meghatározása megtörtént, ugyanakkor a konkrét célszintek, mérési egységek és időhorizontok kialakítása folyamatban van. A Cégcsoport célja, hogy a következő jelentéstételi időszakra az érintett területeken mérhető és eredményorientált célkitűzéseket határozzon meg, amelyek lehetővé teszik az előrehaladás nyomon követését és értékelését.</w:t>
      </w:r>
    </w:p>
    <w:p w14:paraId="14B1305E" w14:textId="77777777" w:rsidR="00BD159D" w:rsidRPr="00E45723" w:rsidRDefault="00FD7771">
      <w:pPr>
        <w:rPr>
          <w:rFonts w:asciiTheme="minorHAnsi" w:hAnsiTheme="minorHAnsi" w:cs="Calibri"/>
        </w:rPr>
      </w:pPr>
      <w:r w:rsidRPr="00E45723">
        <w:rPr>
          <w:rFonts w:asciiTheme="minorHAnsi" w:hAnsiTheme="minorHAnsi" w:cs="Calibri"/>
        </w:rPr>
        <w:t>[ESRS 2 bek. 80 e, f)] A LIWO FM az erőforrás-felhasználással és a körforgásos gazdasággal kapcsolatos célkitűzéseit a 2025. évi bázisévtől 2030-ig terjedő időszakra határozta meg, és ezen időszakra konkrét, mérhető vállalásokat is rögzített. Ezek kiterjednek különösen a környezetbarát (ECO minősítésű) tisztító- és higiéniai termékek arányának növelésére, az anyagfelhasználás hatékonyságának javítására és a veszélyes anyagok használatának csökkentésére, a keletkező hulladék mennyiségének mérséklésére és az újrahasznosítási arány növelésére, az ártalmatlanításra kerülő hulladék arányának csökkentésére, valamint az energiafelhasználás hatékonyságának javítására és az üvegházhatású gázkibocsátás intenzitásának mérséklésére.</w:t>
      </w:r>
    </w:p>
    <w:p w14:paraId="6C9952DF" w14:textId="77777777" w:rsidR="00BD159D" w:rsidRPr="00E45723" w:rsidRDefault="00FD7771">
      <w:pPr>
        <w:rPr>
          <w:rFonts w:asciiTheme="minorHAnsi" w:hAnsiTheme="minorHAnsi" w:cs="Calibri"/>
        </w:rPr>
      </w:pPr>
      <w:r w:rsidRPr="00E45723">
        <w:rPr>
          <w:rFonts w:asciiTheme="minorHAnsi" w:hAnsiTheme="minorHAnsi" w:cs="Calibri"/>
        </w:rPr>
        <w:t xml:space="preserve">A célértékek meghatározása strukturált, adatvezérelt módszertanokra épül. A környezetbarát termékek arányára vonatkozó célok a számviteli és beszerzési adatokon alapulnak, amelyeket az </w:t>
      </w:r>
      <w:r w:rsidRPr="00E45723">
        <w:rPr>
          <w:rFonts w:asciiTheme="minorHAnsi" w:hAnsiTheme="minorHAnsi" w:cs="Calibri"/>
        </w:rPr>
        <w:lastRenderedPageBreak/>
        <w:t>SAP-alapú vállalatirányítási rendszerben külön nyilvántartanak és követnek nyomon. A hulladékgazdálkodási célok a jogszabályi előírások szerinti hulladéknyilvántartási rendszer adataira épülnek, míg az üvegházhatású gázkibocsátási (Scope 1 és Scope 2) intenzitási célok a működési energiafelhasználási adatokon és az OSAP rendszerben gyűjtött információkon alapulnak. A célok meghatározásakor a LIWO FM figyelembe veszi a működési hatékonyság javításának ütemét, a termékportfólió fokozatos „zöldítését”, valamint a szabályozói és piaci környezet alakulását.</w:t>
      </w:r>
    </w:p>
    <w:p w14:paraId="510D3537" w14:textId="77777777" w:rsidR="00BD159D" w:rsidRPr="00E45723" w:rsidRDefault="00FD7771">
      <w:pPr>
        <w:suppressAutoHyphens/>
        <w:rPr>
          <w:rFonts w:asciiTheme="minorHAnsi" w:hAnsiTheme="minorHAnsi" w:cs="Calibri"/>
        </w:rPr>
      </w:pPr>
      <w:r w:rsidRPr="00E45723">
        <w:rPr>
          <w:rFonts w:asciiTheme="minorHAnsi" w:hAnsiTheme="minorHAnsi" w:cs="Calibri"/>
        </w:rPr>
        <w:t>A többi működési egység esetében a módszertanok és feltételezések eltérőek: a LIWO Szlovákia nem határozott meg mérhető célokat és kapcsolódó módszertant, a román–bolgár működés historikus adatokra és meghatározott telephelyekre építi céljait, a szlovén működés részletes adatgyűjtésre és kvantitatív becslésekre alapozza a csökkentési potenciál meghatározását, míg a lengyel működés belső működési adatok, jogszabályi követelmények és az integrált irányítási rendszer politikájának alapelvei mentén határozza meg célkitűzéseit.</w:t>
      </w:r>
    </w:p>
    <w:p w14:paraId="02BF50BB"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80 g)] A LIWO FM célkitűzései belső adatokra, valamint szabályozói és piaci elvárásokra épülnek.</w:t>
      </w:r>
    </w:p>
    <w:p w14:paraId="0088CFEF"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80 j)] A Társaság erőforrás-felhasználással és körforgásos gazdasággal kapcsolatos célkitűzései több mutató mentén kerültek meghatározásra, különösen a környezetbarát (ECO minősítésű) termékek arányának növelése, valamint a hulladékgazdálkodási teljesítmény javítása tekintetében.</w:t>
      </w:r>
    </w:p>
    <w:p w14:paraId="1B9DA792" w14:textId="77777777" w:rsidR="00BD159D" w:rsidRPr="00E45723" w:rsidRDefault="00FD7771">
      <w:pPr>
        <w:rPr>
          <w:rFonts w:asciiTheme="minorHAnsi" w:hAnsiTheme="minorHAnsi" w:cs="Calibri"/>
        </w:rPr>
      </w:pPr>
      <w:r w:rsidRPr="00E45723">
        <w:rPr>
          <w:rFonts w:asciiTheme="minorHAnsi" w:hAnsiTheme="minorHAnsi" w:cs="Calibri"/>
        </w:rPr>
        <w:t>A 2025. évre vonatkozó hulladékgazdálkodási adatok a jogszabályi adatszolgáltatási kötelezettségek teljesítését követően rendelkezésre állnak, és ezek alapján a Társaság nyomon követi a célértékekhez viszonyított előrehaladást. A hulladékkezelési gyakorlat fejlesztésére irányuló intézkedések eredményeként a hulladékok újrahasznosításának és az ártalmatlanításból elterelt hulladék arányának növekedése figyelhető meg. A környezetbarát (ECO minősítésű) termékek felhasználására vonatkozó mutatók nyomon követése a Társaság SAP-alapú vállalatirányítási rendszerében történik. A Társaság a célok teljesülését rendszeresen értékeli, és az előrehaladást a bázisévhez viszonyított változások alapján követi nyomon.</w:t>
      </w:r>
    </w:p>
    <w:p w14:paraId="0A3248CE" w14:textId="77777777" w:rsidR="00BD159D" w:rsidRPr="00E45723" w:rsidRDefault="00FD7771">
      <w:pPr>
        <w:suppressAutoHyphens/>
        <w:rPr>
          <w:rFonts w:asciiTheme="minorHAnsi" w:hAnsiTheme="minorHAnsi" w:cs="Calibri"/>
        </w:rPr>
      </w:pPr>
      <w:r w:rsidRPr="00E45723">
        <w:rPr>
          <w:rFonts w:asciiTheme="minorHAnsi" w:hAnsiTheme="minorHAnsi" w:cs="Calibri"/>
        </w:rPr>
        <w:t>A többi működési egység esetében a teljesítmény értékelése eltérő. A román–bolgár működés konkrét eredményeket is kimutat: 2025-ben összesen 6,867 tonna hulladék keletkezett, amelyből 1,037 tonna került hasznosításra, különösen papír, műanyag, akkumulátorok és elektromos hulladékok esetében, miközben egyes frakcióknál – például papír és műanyag – a teljes mennyiség újrahasznosításra került. A szlovén működés a teljesítmény nyomon követését folyamatos monitoringra, rendszeres adatellenőrzésre és a munkavállalók bevonására alapozza. A lengyel működés esetében a célok teljesülését belső és külső auditok keretében értékelik, és ennek eredményeként 2025-ben sikeresen megszerezték az EU Ecolabel tanúsítványt, amely 2027 végéig érvényes.</w:t>
      </w:r>
    </w:p>
    <w:p w14:paraId="461FB315" w14:textId="77777777" w:rsidR="00BD159D" w:rsidRPr="00E45723" w:rsidRDefault="00FD7771">
      <w:pPr>
        <w:rPr>
          <w:rFonts w:asciiTheme="minorHAnsi" w:hAnsiTheme="minorHAnsi" w:cs="Calibri"/>
        </w:rPr>
      </w:pPr>
      <w:r w:rsidRPr="00E45723">
        <w:rPr>
          <w:rFonts w:asciiTheme="minorHAnsi" w:hAnsiTheme="minorHAnsi" w:cs="Calibri"/>
        </w:rPr>
        <w:t>[ESRS E5 bek. 24, 24 a, b, c)] Az Anyavállalat erőforrás-felhasználással és körforgásos gazdasággal kapcsolatos célkitűzései közvetlenül a szolgáltatásnyújtás során felhasznált anyagokhoz és a keletkező hulladék kezeléséhez kapcsolódnak. A célok elsősorban a tisztítószerek, higiéniai termékek és egyéb felhasznált anyagok körére terjednek ki, és a környezetbarát (ECO minősítésű) termékek arányának növelésén, valamint a hulladékgazdálkodási teljesítmény javításán keresztül támogatják az erőforrás-felhasználás környezeti hatásainak csökkentését. Ennek keretében a LIWO FM törekszik az újrahasznosítási arány növelésére és az ártalmatlanításra kerülő hulladék csökkentésére, ezáltal erősítve a körforgásos gazdasági elvek érvényesülését.</w:t>
      </w:r>
    </w:p>
    <w:p w14:paraId="4925FD37"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körforgásos tervezés elvei a LIWO FM esetében – a szolgáltató jellegből fakadóan – közvetett módon jelennek meg. A társaság nem rendelkezik saját terméktervezési folyamattal, ugyanakkor beszerzési és működési gyakorlataiban előnyben részesíti az alacsonyabb környezeti terhelésű, </w:t>
      </w:r>
      <w:r w:rsidRPr="00E45723">
        <w:rPr>
          <w:rFonts w:asciiTheme="minorHAnsi" w:hAnsiTheme="minorHAnsi" w:cs="Calibri"/>
        </w:rPr>
        <w:lastRenderedPageBreak/>
        <w:t>újrahasznosítható vagy környezetbarát termékeket, ezáltal támogatva a körforgásos gazdasági szempontok érvényesülését a szolgáltatásnyújtás során.</w:t>
      </w:r>
    </w:p>
    <w:p w14:paraId="516FFB33" w14:textId="77777777" w:rsidR="00BD159D" w:rsidRPr="00E45723" w:rsidRDefault="00FD7771">
      <w:pPr>
        <w:rPr>
          <w:rFonts w:asciiTheme="minorHAnsi" w:hAnsiTheme="minorHAnsi" w:cs="Calibri"/>
        </w:rPr>
      </w:pPr>
      <w:r w:rsidRPr="00E45723">
        <w:rPr>
          <w:rFonts w:asciiTheme="minorHAnsi" w:hAnsiTheme="minorHAnsi" w:cs="Calibri"/>
        </w:rPr>
        <w:t>A célkitűzések közvetetten hozzájárulnak a körforgásos anyagfelhasználás arányának növeléséhez is, elsősorban a hulladékok nagyobb arányú hasznosításán és az ECO minősítésű termékek alkalmazásán keresztül. Emellett a LIWO FM céljai a primer nyersanyag-felhasználás minimalizálását is támogatják, mivel a hangsúly a felhasznált anyagok mennyiségének csökkentésén, hatékonyabb felhasználásán és a hulladékképződés mérséklésén van, ami közvetetten csökkenti az elsődleges erőforrások iránti igényt.</w:t>
      </w:r>
    </w:p>
    <w:p w14:paraId="5004B3A9" w14:textId="77777777" w:rsidR="00BD159D" w:rsidRPr="00E45723" w:rsidRDefault="00FD7771">
      <w:pPr>
        <w:rPr>
          <w:rFonts w:asciiTheme="minorHAnsi" w:hAnsiTheme="minorHAnsi" w:cs="Calibri"/>
        </w:rPr>
      </w:pPr>
      <w:r w:rsidRPr="00E45723">
        <w:rPr>
          <w:rFonts w:asciiTheme="minorHAnsi" w:hAnsiTheme="minorHAnsi" w:cs="Calibri"/>
        </w:rPr>
        <w:t>A többi működési egység esetében a célok és azok erőforrásokhoz való kapcsolódása eltérő. A LIWO Csehország és Szlovákia nem határozott meg mérhető célokat ezen a területen, így a kapcsolódó összefüggések sem kerültek formalizálásra. A román–bolgár működésben a hulladékgazdálkodási teljesítmény javulása – különösen a hasznosítási arány jelentős növekedése és az ártalmatlanítás csökkenése – jelzi az erőforrás-hatékonyság erősödését, ugyanakkor a primer nyersanyag-felhasználás csökkentésére vonatkozóan nem került meghatározásra abszolút cél. A szlovén működés esetében a célok kiterjednek a szelektív hulladékgyűjtésre, újrahasznosításra, valamint a fenntartható anyaghasználatra, és közvetlen kapcsolatban állnak a körforgásos tervezés, az anyagkörforgás növelése és a primer nyersanyag-felhasználás csökkentése iránti törekvésekkel. A lengyel működés esetében az EU Ecolabel tanúsítás megszerzése szoros kapcsolatot teremt az erőforrás-használat, a körforgásos gazdaság és a körforgásos tervezési elvek között, mivel előírja a környezetbarát, újrahasznosítható vagy újrahasznosított alapanyagokat tartalmazó termékek alkalmazását, valamint az anyag- és energiafelhasználás csökkentését.</w:t>
      </w:r>
    </w:p>
    <w:p w14:paraId="5F6D35F5" w14:textId="77777777" w:rsidR="00BD159D" w:rsidRPr="00E45723" w:rsidRDefault="00FD7771">
      <w:pPr>
        <w:rPr>
          <w:rFonts w:asciiTheme="minorHAnsi" w:hAnsiTheme="minorHAnsi" w:cs="Calibri"/>
        </w:rPr>
      </w:pPr>
      <w:r w:rsidRPr="00E45723">
        <w:rPr>
          <w:rFonts w:asciiTheme="minorHAnsi" w:hAnsiTheme="minorHAnsi" w:cs="Calibri"/>
        </w:rPr>
        <w:t>[ESRS E5 bek. 24 f)] A LIWO FM célkitűzései több működési területhez kapcsolódnak, és összességében az erőforrás-felhasználás hatékonyságának javítását szolgálják. A célok támogatják az anyagfelhasználás optimalizálását, a környezetbarát termékek arányának növelését, valamint a hulladékgazdálkodási gyakorlat fejlesztését, továbbá a technológiai és működési hatékonyság javításán keresztül erősítik a körforgásos gazdasági elvek érvényesülését.</w:t>
      </w:r>
    </w:p>
    <w:p w14:paraId="7BBBD07E" w14:textId="77777777" w:rsidR="00BD159D" w:rsidRPr="00E45723" w:rsidRDefault="00FD7771">
      <w:pPr>
        <w:rPr>
          <w:rFonts w:asciiTheme="minorHAnsi" w:hAnsiTheme="minorHAnsi" w:cs="Calibri"/>
        </w:rPr>
      </w:pPr>
      <w:r w:rsidRPr="00E45723">
        <w:rPr>
          <w:rFonts w:asciiTheme="minorHAnsi" w:hAnsiTheme="minorHAnsi" w:cs="Calibri"/>
        </w:rPr>
        <w:t>A többi működési egység esetében a kapcsolódás korlátozott vagy nem formalizált: a LIWO Csehország és Szlovákia nem határozott meg ilyen célokat, a román–bolgár működés nem azonosított további kapcsolódó területeket, míg a szlovén működés a szelektív hulladékgyűjtésen keresztül, a lengyel működés pedig az EU Ecolabel követelményein és a munkavállalói képzéseken keresztül járul hozzá az erőforrás-hatékonyság és a körforgásos gazdaság erősítéséhez.</w:t>
      </w:r>
    </w:p>
    <w:p w14:paraId="2D6D5570" w14:textId="77777777" w:rsidR="00BD159D" w:rsidRPr="00E45723" w:rsidRDefault="00FD7771" w:rsidP="0015630C">
      <w:pPr>
        <w:pStyle w:val="Heading3"/>
        <w:suppressAutoHyphens/>
        <w:spacing w:after="240"/>
        <w:rPr>
          <w:rFonts w:asciiTheme="minorHAnsi" w:hAnsiTheme="minorHAnsi" w:cs="Calibri"/>
        </w:rPr>
      </w:pPr>
      <w:bookmarkStart w:id="53" w:name="_Toc239834938"/>
      <w:r w:rsidRPr="00E45723">
        <w:rPr>
          <w:rFonts w:asciiTheme="minorHAnsi" w:hAnsiTheme="minorHAnsi" w:cs="Calibri"/>
        </w:rPr>
        <w:t>E5-4 Erőforrás-beáramlások</w:t>
      </w:r>
      <w:bookmarkEnd w:id="53"/>
    </w:p>
    <w:p w14:paraId="5673713E" w14:textId="77777777" w:rsidR="00BD159D" w:rsidRPr="00E45723" w:rsidRDefault="00FD7771">
      <w:pPr>
        <w:rPr>
          <w:rFonts w:asciiTheme="minorHAnsi" w:hAnsiTheme="minorHAnsi" w:cs="Calibri"/>
        </w:rPr>
      </w:pPr>
      <w:r w:rsidRPr="00E45723">
        <w:rPr>
          <w:rFonts w:asciiTheme="minorHAnsi" w:hAnsiTheme="minorHAnsi" w:cs="Calibri"/>
        </w:rPr>
        <w:t>[ESRS E5 bek. 30] A LIWO FM működésében az anyagi erőforrások beáramlása elsősorban a szolgáltatásnyújtáshoz kapcsolódó termékekre és anyagokra korlátozódik. 2025-ben a LIWO FM elindította saját márkás higiéniai termékcsaládját (Hygon), amely újrahasznosított kéztörlőket és WC-papírokat foglal magában; ezen termékek beszállítói gyártásban készülnek, így az upstream értékláncon keresztül kerülnek a működésbe. A saját működésben főként higiéniai papírtermékek, tisztítószerek és ezek csomagolóanyagai (papír, műanyag) kerülnek felhasználásra, miközben kritikus nyersanyagok vagy ritkaföldfémek használata nem jellemző. A vízfelhasználás alacsony, elsősorban operatív célokat szolgál, az ingatlanok, gépek és berendezések pedig a takarítási és üzemeltetési tevékenységekhez kapcsolódnak.</w:t>
      </w:r>
    </w:p>
    <w:p w14:paraId="25CC4346" w14:textId="77777777" w:rsidR="00BD159D" w:rsidRPr="00E45723" w:rsidRDefault="00FD7771">
      <w:pPr>
        <w:rPr>
          <w:rFonts w:asciiTheme="minorHAnsi" w:hAnsiTheme="minorHAnsi" w:cs="Calibri"/>
        </w:rPr>
      </w:pPr>
      <w:r w:rsidRPr="00E45723">
        <w:rPr>
          <w:rFonts w:asciiTheme="minorHAnsi" w:hAnsiTheme="minorHAnsi" w:cs="Calibri"/>
        </w:rPr>
        <w:t>A többi működési egység esetében az erőforrás-beáramlás jellege hasonlóan szolgáltatásalapú, ugyanakkor az adatgyűjtés és részletezettség eltérő. A LIWO Csehország és Szlovákia elsősorban tisztítószereket, irodai anyagokat és csomagolóanyagokat használ, vízfelhasználásuk a szolgáltatási tevékenységhez kapcsolódik, és nem alkalmaznak kritikus nyersanyagokat. A román–bol</w:t>
      </w:r>
      <w:r w:rsidRPr="00E45723">
        <w:rPr>
          <w:rFonts w:asciiTheme="minorHAnsi" w:hAnsiTheme="minorHAnsi" w:cs="Calibri"/>
        </w:rPr>
        <w:lastRenderedPageBreak/>
        <w:t>gár és német működés esetében részletes mennyiségi adatok nem állnak rendelkezésre, ugyanakkor a német egységnél egyes tevékenységek során épületgépészeti eszközök és berendezések kerülnek felhasználásra, jellemzően beszállítókon keresztül. A szlovén működés általános jelleggel az alapanyagok, félkész és késztermékek, valamint különböző csomagolóanyagok (papír, műanyag, üveg, fém) használatát azonosítja. A lengyel működés részletesebb képet ad: az upstream értékláncban a működéshez szükséges termékek és szolgáltatások beszerzése történik, beleértve a tisztító- és higiéniai termékeket, irodai és fogyóeszközöket, védőfelszereléseket, valamint karbantartási anyagokat és alkatrészeket, míg a működéshez kapcsolódó víz- és energiafelhasználás részben a megrendelői telephelyeken valósul meg.</w:t>
      </w:r>
    </w:p>
    <w:p w14:paraId="5CB8D3C3" w14:textId="77777777" w:rsidR="00BD159D" w:rsidRPr="00E45723" w:rsidRDefault="00FD7771">
      <w:pPr>
        <w:suppressAutoHyphens/>
        <w:rPr>
          <w:rFonts w:asciiTheme="minorHAnsi" w:hAnsiTheme="minorHAnsi" w:cs="Calibri"/>
          <w:b/>
          <w:bCs/>
        </w:rPr>
      </w:pPr>
      <w:r w:rsidRPr="00E45723">
        <w:rPr>
          <w:rFonts w:asciiTheme="minorHAnsi" w:hAnsiTheme="minorHAnsi" w:cs="Calibri"/>
          <w:b/>
          <w:bCs/>
        </w:rPr>
        <w:t>[ESRS E5 bek. 31 a.]</w:t>
      </w:r>
      <w:r w:rsidRPr="00E45723">
        <w:rPr>
          <w:rFonts w:asciiTheme="minorHAnsi" w:hAnsiTheme="minorHAnsi" w:cs="Calibri"/>
        </w:rPr>
        <w:t xml:space="preserve"> </w:t>
      </w:r>
      <w:r w:rsidRPr="00E45723">
        <w:rPr>
          <w:rFonts w:asciiTheme="minorHAnsi" w:hAnsiTheme="minorHAnsi" w:cs="Calibri"/>
          <w:b/>
          <w:bCs/>
        </w:rPr>
        <w:t>Felhasznált termékek (beleértve a csomagolást is)</w:t>
      </w:r>
    </w:p>
    <w:p w14:paraId="39A0BAE1" w14:textId="77777777" w:rsidR="00BD159D" w:rsidRPr="00E45723" w:rsidRDefault="00FD7771">
      <w:pPr>
        <w:rPr>
          <w:rFonts w:asciiTheme="minorHAnsi" w:hAnsiTheme="minorHAnsi" w:cs="Calibri"/>
        </w:rPr>
      </w:pPr>
      <w:r w:rsidRPr="00E45723">
        <w:rPr>
          <w:rFonts w:asciiTheme="minorHAnsi" w:hAnsiTheme="minorHAnsi" w:cs="Calibri"/>
        </w:rPr>
        <w:t xml:space="preserve">A LIWO FM működésében a felhasznált termékek teljes mennyisége 2025-ben </w:t>
      </w:r>
      <w:r w:rsidRPr="00E45723">
        <w:rPr>
          <w:rFonts w:asciiTheme="minorHAnsi" w:hAnsiTheme="minorHAnsi" w:cs="Calibri"/>
          <w:b/>
          <w:bCs/>
        </w:rPr>
        <w:t>4 629 686 kg</w:t>
      </w:r>
      <w:r w:rsidRPr="00E45723">
        <w:rPr>
          <w:rFonts w:asciiTheme="minorHAnsi" w:hAnsiTheme="minorHAnsi" w:cs="Calibri"/>
        </w:rPr>
        <w:t xml:space="preserve"> volt. Az anyagfelhasználás döntő részét higiéniai papírtermékek és tisztítószerek tették ki, amelyek együttesen a teljes felhasználás több mint 80%-át adják. A környezetbarát (ECO minősítésű) termékek aránya jelentős, különösen a higiéniai töltőanyagok esetében. Emellett kisebb arányban takarítási kellékanyagok, egyéni védőeszközök, munkaruházat, valamint egyéb segédanyagok is felhasználásra kerültek. A veszélyes anyagok aránya a teljes felhasználáson belül korlátozott, azonban továbbra is jelen van a működésben.</w:t>
      </w:r>
    </w:p>
    <w:p w14:paraId="662E17D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Összesen: 4 629 686 kg</w:t>
      </w:r>
    </w:p>
    <w:p w14:paraId="11546ABF"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HT01 - Higiéniai töltőanyag: 1 519 267 kg</w:t>
      </w:r>
    </w:p>
    <w:p w14:paraId="6E8FCF3E"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HTE1 - Hig.tölt.anyag ECO: 1 242 609 kg</w:t>
      </w:r>
    </w:p>
    <w:p w14:paraId="1E0E5DA9"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HT02 - Tisztítószer töltőanyag: 1 063 800 kg</w:t>
      </w:r>
    </w:p>
    <w:p w14:paraId="282BD1AC"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HTE2 - Tiszt.tölt.anyag ECO: 43 731 kg</w:t>
      </w:r>
    </w:p>
    <w:p w14:paraId="34176C95"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HT03 - Takarítási kellékanyag: 129 573 kg</w:t>
      </w:r>
    </w:p>
    <w:p w14:paraId="01AD5358"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HTE3 - Tak.kell.anyag ECO: 580 kg</w:t>
      </w:r>
    </w:p>
    <w:p w14:paraId="716307D2"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MV01 - Egyéni védőeszköz: 73 574 kg</w:t>
      </w:r>
    </w:p>
    <w:p w14:paraId="7F2FED9C"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MV02 - Munkaruha RWI : 21 745 kg</w:t>
      </w:r>
    </w:p>
    <w:p w14:paraId="6CBB8736"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TE01 - Tárgyi eszköz: 20 261 kg</w:t>
      </w:r>
    </w:p>
    <w:p w14:paraId="713F0119"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UA01 - Elektronikus segédan: 1 965 kg</w:t>
      </w:r>
    </w:p>
    <w:p w14:paraId="191A1E3C"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UA02 - Gépészeti segédanyag: 1 670 kg</w:t>
      </w:r>
    </w:p>
    <w:p w14:paraId="1A06AAE8"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UA03 - Szakipari segédanyag: 685 kg</w:t>
      </w:r>
    </w:p>
    <w:p w14:paraId="0CD74839"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UA04 - Általános segédanyag: 129 982 kg</w:t>
      </w:r>
    </w:p>
    <w:p w14:paraId="39FA6030" w14:textId="77777777" w:rsidR="00BD159D" w:rsidRPr="00E45723" w:rsidRDefault="00FD7771" w:rsidP="0015630C">
      <w:pPr>
        <w:pStyle w:val="BodyText"/>
        <w:numPr>
          <w:ilvl w:val="0"/>
          <w:numId w:val="28"/>
        </w:numPr>
        <w:suppressAutoHyphens/>
        <w:rPr>
          <w:rFonts w:asciiTheme="minorHAnsi" w:hAnsiTheme="minorHAnsi" w:cs="Calibri"/>
          <w:bCs/>
        </w:rPr>
      </w:pPr>
      <w:r w:rsidRPr="00E45723">
        <w:rPr>
          <w:rFonts w:asciiTheme="minorHAnsi" w:hAnsiTheme="minorHAnsi" w:cs="Calibri"/>
          <w:bCs/>
        </w:rPr>
        <w:t>ADR - Veszélyes anyag: 380 244 kg</w:t>
      </w:r>
    </w:p>
    <w:p w14:paraId="7CC9E24B" w14:textId="363FAE12" w:rsidR="00BD159D" w:rsidRPr="00E45723" w:rsidRDefault="00FD7771" w:rsidP="0015630C">
      <w:pPr>
        <w:suppressAutoHyphens/>
        <w:rPr>
          <w:rFonts w:asciiTheme="minorHAnsi" w:hAnsiTheme="minorHAnsi" w:cs="Calibri"/>
        </w:rPr>
      </w:pPr>
      <w:r w:rsidRPr="00E45723">
        <w:rPr>
          <w:rFonts w:asciiTheme="minorHAnsi" w:hAnsiTheme="minorHAnsi" w:cs="Calibri"/>
        </w:rPr>
        <w:t>[ESRS E5 bek. 31. b)] A LIWO FM (Anyavállalat) esetében a szolgáltatások nyújtásához felhasznált, fenntartható forrásból származó biológiai anyagok mennyisége 2025-ben 405 776 kg volt. Ezek az anyagok elsősorban higiéniai papírtermékekhez kapcsolódnak, és hozzájárulnak a környezeti hatások csökkentéséhez, valamint a fenntartható erőforrás-felhasználás erősítéséhez.</w:t>
      </w:r>
      <w:r w:rsidRPr="00E45723">
        <w:rPr>
          <w:rFonts w:asciiTheme="minorHAnsi" w:hAnsiTheme="minorHAnsi" w:cs="Calibri"/>
          <w:vanish/>
        </w:rPr>
        <w:t>Az űrlap teteje</w:t>
      </w:r>
    </w:p>
    <w:p w14:paraId="67FB568C" w14:textId="77777777" w:rsidR="00BD159D" w:rsidRPr="00E45723" w:rsidRDefault="00FD7771" w:rsidP="00F52E32">
      <w:pPr>
        <w:pStyle w:val="Heading1"/>
      </w:pPr>
      <w:bookmarkStart w:id="54" w:name="_Toc239834939"/>
      <w:r w:rsidRPr="00E45723">
        <w:lastRenderedPageBreak/>
        <w:t>Társadalom</w:t>
      </w:r>
      <w:bookmarkEnd w:id="54"/>
    </w:p>
    <w:p w14:paraId="30342A14" w14:textId="77777777" w:rsidR="00BD159D" w:rsidRPr="00E45723" w:rsidRDefault="00FD7771">
      <w:pPr>
        <w:pStyle w:val="Heading2"/>
        <w:suppressAutoHyphens/>
        <w:rPr>
          <w:rFonts w:asciiTheme="minorHAnsi" w:hAnsiTheme="minorHAnsi" w:cs="Calibri"/>
        </w:rPr>
      </w:pPr>
      <w:bookmarkStart w:id="55" w:name="_Toc239834940"/>
      <w:r w:rsidRPr="00E45723">
        <w:rPr>
          <w:rFonts w:asciiTheme="minorHAnsi" w:hAnsiTheme="minorHAnsi" w:cs="Calibri"/>
        </w:rPr>
        <w:t>S1 - Saját munkaerő</w:t>
      </w:r>
      <w:bookmarkEnd w:id="55"/>
    </w:p>
    <w:p w14:paraId="5C3F0659"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A LIWO Cégcsoport kettős lényegességi elemzése (DMA) alapján a saját munkaerőhöz kapcsolódó témák a működés szempontjából kiemelt jelentőségűek. A Cégcsoport üzleti modellje jelentős számú munkavállalóra épül, ezért a munkaerő megtartása, a megfelelő munkafeltételek biztosítása, a versenyképes bérezés, a munkabiztonság és a képzés közvetlen hatással vannak a szolgáltatások minőségére és a működés stabilitására. A DMA azonosította többek között a munkaidő-szervezésből, a vegyi anyagokkal történő munkavégzésből és a munkabiztonságból eredő kockázatokat, valamint a képzési, fejlesztési és befogadási programokhoz kapcsolódó pozitív hatásokat és lehetőségeket. A Cégcsoport stratégiája ezért kiemelt figyelmet fordít a munkavállalók egészségének és biztonságának védelmére, a kompetenciafejlesztésre és a hosszú távú munkaerő-megtartás támogatására.</w:t>
      </w:r>
    </w:p>
    <w:p w14:paraId="78E3704D" w14:textId="77777777" w:rsidR="00BD159D" w:rsidRPr="00E45723" w:rsidRDefault="00FD7771" w:rsidP="00AE560D">
      <w:pPr>
        <w:pStyle w:val="Heading3"/>
        <w:suppressAutoHyphens/>
        <w:spacing w:after="240"/>
        <w:rPr>
          <w:rFonts w:asciiTheme="minorHAnsi" w:hAnsiTheme="minorHAnsi" w:cs="Calibri"/>
        </w:rPr>
      </w:pPr>
      <w:bookmarkStart w:id="56" w:name="_Toc239834941"/>
      <w:r w:rsidRPr="00E45723">
        <w:rPr>
          <w:rFonts w:asciiTheme="minorHAnsi" w:hAnsiTheme="minorHAnsi" w:cs="Calibri"/>
        </w:rPr>
        <w:t>S1-1 Saját munkaerővel kapcsolatos szabályzatok</w:t>
      </w:r>
      <w:bookmarkEnd w:id="56"/>
    </w:p>
    <w:p w14:paraId="4858305C" w14:textId="77777777" w:rsidR="00BD159D" w:rsidRPr="00E45723" w:rsidRDefault="00FD7771">
      <w:pPr>
        <w:suppressAutoHyphens/>
        <w:rPr>
          <w:rFonts w:asciiTheme="minorHAnsi" w:hAnsiTheme="minorHAnsi" w:cs="Calibri"/>
        </w:rPr>
      </w:pPr>
      <w:r w:rsidRPr="00E45723">
        <w:rPr>
          <w:rFonts w:asciiTheme="minorHAnsi" w:hAnsiTheme="minorHAnsi" w:cs="Calibri"/>
        </w:rPr>
        <w:t>[ESRS S1 bek. 19] [ESRS 2 bek. 65 a)] A LIWO Cégcsoport elkötelezett a munkavállalók méltányos és biztonságos foglalkoztatása mellett, amelyet számos belső szabályozó és politika rögzít. Ezek a dokumentumok meghatározzák a Cégcsoport elvárásait, az etikai normákat és a munkavégzés kereteit.</w:t>
      </w:r>
    </w:p>
    <w:p w14:paraId="7A4412F5" w14:textId="07E6F315"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LIWO FM a jelentéstételi évben az alábbi, saját munkaerőre vonatkozó főbb szabályozókkal rendelkezett, amelyek közül egyes politikák csoportszintű alkalmazással is rendelkeznek:</w:t>
      </w:r>
    </w:p>
    <w:tbl>
      <w:tblPr>
        <w:tblStyle w:val="Table"/>
        <w:tblW w:w="8847"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42"/>
        <w:gridCol w:w="2458"/>
        <w:gridCol w:w="1900"/>
        <w:gridCol w:w="2647"/>
      </w:tblGrid>
      <w:tr w:rsidR="00BD159D" w:rsidRPr="00E45723" w14:paraId="0C1092D1" w14:textId="77777777" w:rsidTr="00AE560D">
        <w:trPr>
          <w:cnfStyle w:val="100000000000" w:firstRow="1" w:lastRow="0" w:firstColumn="0" w:lastColumn="0" w:oddVBand="0" w:evenVBand="0" w:oddHBand="0" w:evenHBand="0" w:firstRowFirstColumn="0" w:firstRowLastColumn="0" w:lastRowFirstColumn="0" w:lastRowLastColumn="0"/>
          <w:tblCellSpacing w:w="0" w:type="dxa"/>
          <w:jc w:val="center"/>
        </w:trPr>
        <w:tc>
          <w:tcPr>
            <w:tcW w:w="1842" w:type="dxa"/>
            <w:tcBorders>
              <w:bottom w:val="none" w:sz="0" w:space="0" w:color="auto"/>
            </w:tcBorders>
            <w:vAlign w:val="top"/>
          </w:tcPr>
          <w:p w14:paraId="2098438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ESRS KÖZZÉTÉTELI KÖVETELMÉNY</w:t>
            </w:r>
          </w:p>
        </w:tc>
        <w:tc>
          <w:tcPr>
            <w:tcW w:w="2458" w:type="dxa"/>
            <w:tcBorders>
              <w:bottom w:val="none" w:sz="0" w:space="0" w:color="auto"/>
            </w:tcBorders>
            <w:vAlign w:val="top"/>
          </w:tcPr>
          <w:p w14:paraId="0C637C12"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LÉNYEGES FENNTARTHATÓSÁGI TÉMÁK</w:t>
            </w:r>
          </w:p>
        </w:tc>
        <w:tc>
          <w:tcPr>
            <w:tcW w:w="1900" w:type="dxa"/>
            <w:tcBorders>
              <w:bottom w:val="none" w:sz="0" w:space="0" w:color="auto"/>
            </w:tcBorders>
            <w:vAlign w:val="top"/>
          </w:tcPr>
          <w:p w14:paraId="5F9B72D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KAPCSOLÓDÓ POLITIKÁK</w:t>
            </w:r>
          </w:p>
        </w:tc>
        <w:tc>
          <w:tcPr>
            <w:tcW w:w="2647" w:type="dxa"/>
            <w:tcBorders>
              <w:bottom w:val="none" w:sz="0" w:space="0" w:color="auto"/>
            </w:tcBorders>
            <w:vAlign w:val="top"/>
          </w:tcPr>
          <w:p w14:paraId="699173B3" w14:textId="77777777" w:rsidR="00BD159D" w:rsidRPr="00E45723" w:rsidRDefault="00FD7771" w:rsidP="00086AFB">
            <w:pPr>
              <w:pStyle w:val="NormalWeb"/>
              <w:suppressAutoHyphens/>
              <w:spacing w:before="36" w:after="36"/>
              <w:rPr>
                <w:rFonts w:asciiTheme="minorHAnsi" w:hAnsiTheme="minorHAnsi" w:cs="Calibri"/>
              </w:rPr>
            </w:pPr>
            <w:r w:rsidRPr="00E45723">
              <w:rPr>
                <w:rStyle w:val="Strong"/>
                <w:rFonts w:asciiTheme="minorHAnsi" w:hAnsiTheme="minorHAnsi" w:cs="Calibri"/>
              </w:rPr>
              <w:t>POLITIKÁK HATÁLYA (CÉGCSOPORTI HATÓKÖRTŐL VALÓ ELTÉRÉS JELÖLÉSE)</w:t>
            </w:r>
          </w:p>
        </w:tc>
      </w:tr>
      <w:tr w:rsidR="00BD159D" w:rsidRPr="00E45723" w14:paraId="661905AB" w14:textId="77777777" w:rsidTr="00AE560D">
        <w:trPr>
          <w:tblCellSpacing w:w="0" w:type="dxa"/>
          <w:jc w:val="center"/>
        </w:trPr>
        <w:tc>
          <w:tcPr>
            <w:tcW w:w="1842" w:type="dxa"/>
            <w:vMerge w:val="restart"/>
          </w:tcPr>
          <w:p w14:paraId="72DD07E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Style w:val="Strong"/>
                <w:rFonts w:asciiTheme="minorHAnsi" w:hAnsiTheme="minorHAnsi" w:cs="Calibri"/>
              </w:rPr>
              <w:t>S1 – Saját munkaerő</w:t>
            </w:r>
          </w:p>
        </w:tc>
        <w:tc>
          <w:tcPr>
            <w:tcW w:w="2458" w:type="dxa"/>
          </w:tcPr>
          <w:p w14:paraId="2485410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Szervezeti felépítés és működés</w:t>
            </w:r>
          </w:p>
        </w:tc>
        <w:tc>
          <w:tcPr>
            <w:tcW w:w="1900" w:type="dxa"/>
          </w:tcPr>
          <w:p w14:paraId="271C52D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Szervezeti és Működési Szabályzat (SZ_37_Jog) </w:t>
            </w:r>
          </w:p>
        </w:tc>
        <w:tc>
          <w:tcPr>
            <w:tcW w:w="2647" w:type="dxa"/>
          </w:tcPr>
          <w:p w14:paraId="04A26C15"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valamennyi szervezeti egységére és munkavállalójára kiterjed.</w:t>
            </w:r>
          </w:p>
        </w:tc>
      </w:tr>
      <w:tr w:rsidR="00BD159D" w:rsidRPr="00E45723" w14:paraId="3F247C59" w14:textId="77777777" w:rsidTr="005A4858">
        <w:trPr>
          <w:tblCellSpacing w:w="0" w:type="dxa"/>
          <w:jc w:val="center"/>
        </w:trPr>
        <w:tc>
          <w:tcPr>
            <w:tcW w:w="1842" w:type="dxa"/>
            <w:vMerge/>
            <w:vAlign w:val="center"/>
          </w:tcPr>
          <w:p w14:paraId="68FB591F"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0D96D89A"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Szervezeti felépítés és működés</w:t>
            </w:r>
          </w:p>
        </w:tc>
        <w:tc>
          <w:tcPr>
            <w:tcW w:w="1900" w:type="dxa"/>
          </w:tcPr>
          <w:p w14:paraId="6F00335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Szervezeti és Működési Szabályzat (</w:t>
            </w:r>
            <w:r w:rsidRPr="00E45723">
              <w:rPr>
                <w:rFonts w:asciiTheme="minorHAnsi" w:hAnsiTheme="minorHAnsi" w:cs="Calibri"/>
                <w:i/>
                <w:iCs/>
              </w:rPr>
              <w:t>kiadás alatt</w:t>
            </w:r>
            <w:r w:rsidRPr="00E45723">
              <w:rPr>
                <w:rFonts w:asciiTheme="minorHAnsi" w:hAnsiTheme="minorHAnsi" w:cs="Calibri"/>
              </w:rPr>
              <w:t>) </w:t>
            </w:r>
          </w:p>
        </w:tc>
        <w:tc>
          <w:tcPr>
            <w:tcW w:w="2647" w:type="dxa"/>
          </w:tcPr>
          <w:p w14:paraId="75BF18B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FM / Anyavállalat valamennyi szervezeti egységére és munkavállalójára kiterjed.</w:t>
            </w:r>
          </w:p>
        </w:tc>
      </w:tr>
      <w:tr w:rsidR="00BD159D" w:rsidRPr="00E45723" w14:paraId="24B30EEC" w14:textId="77777777" w:rsidTr="005A4858">
        <w:trPr>
          <w:tblCellSpacing w:w="0" w:type="dxa"/>
          <w:jc w:val="center"/>
        </w:trPr>
        <w:tc>
          <w:tcPr>
            <w:tcW w:w="1842" w:type="dxa"/>
            <w:vMerge/>
            <w:vAlign w:val="center"/>
          </w:tcPr>
          <w:p w14:paraId="75C34802"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5FAE613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Etikai elvárások és emberi jogok</w:t>
            </w:r>
          </w:p>
        </w:tc>
        <w:tc>
          <w:tcPr>
            <w:tcW w:w="1900" w:type="dxa"/>
          </w:tcPr>
          <w:p w14:paraId="3FD4A22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Etikai Kódex (SZ_12_HR) </w:t>
            </w:r>
          </w:p>
        </w:tc>
        <w:tc>
          <w:tcPr>
            <w:tcW w:w="2647" w:type="dxa"/>
          </w:tcPr>
          <w:p w14:paraId="5B5D487F"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belső és külső viszonyaira, minden munkavállalóra és vezetőre kiterjed. </w:t>
            </w:r>
          </w:p>
        </w:tc>
      </w:tr>
      <w:tr w:rsidR="00BD159D" w:rsidRPr="00E45723" w14:paraId="3EB90947" w14:textId="77777777" w:rsidTr="005A4858">
        <w:trPr>
          <w:tblCellSpacing w:w="0" w:type="dxa"/>
          <w:jc w:val="center"/>
        </w:trPr>
        <w:tc>
          <w:tcPr>
            <w:tcW w:w="1842" w:type="dxa"/>
            <w:vMerge/>
            <w:vAlign w:val="center"/>
          </w:tcPr>
          <w:p w14:paraId="045044F6"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167240F3"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Munkafeltételek és foglalkoztatás</w:t>
            </w:r>
          </w:p>
        </w:tc>
        <w:tc>
          <w:tcPr>
            <w:tcW w:w="1900" w:type="dxa"/>
          </w:tcPr>
          <w:p w14:paraId="38326ADE"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Munkavállalói kézikönyv (SZ_27_HR) </w:t>
            </w:r>
          </w:p>
        </w:tc>
        <w:tc>
          <w:tcPr>
            <w:tcW w:w="2647" w:type="dxa"/>
          </w:tcPr>
          <w:p w14:paraId="013A9028"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tevékenységére, minden telephelyére és munkavállalójára kiterjed. </w:t>
            </w:r>
          </w:p>
        </w:tc>
      </w:tr>
      <w:tr w:rsidR="00BD159D" w:rsidRPr="00E45723" w14:paraId="12D9518C" w14:textId="77777777" w:rsidTr="005A4858">
        <w:trPr>
          <w:tblCellSpacing w:w="0" w:type="dxa"/>
          <w:jc w:val="center"/>
        </w:trPr>
        <w:tc>
          <w:tcPr>
            <w:tcW w:w="1842" w:type="dxa"/>
            <w:vMerge/>
            <w:vAlign w:val="center"/>
          </w:tcPr>
          <w:p w14:paraId="5BA5ABDB"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7DBEC54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Egészség és biztonság</w:t>
            </w:r>
          </w:p>
        </w:tc>
        <w:tc>
          <w:tcPr>
            <w:tcW w:w="1900" w:type="dxa"/>
          </w:tcPr>
          <w:p w14:paraId="1AA40586"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Munkavédelmi szabályzat (SZ_26_EHS) </w:t>
            </w:r>
          </w:p>
        </w:tc>
        <w:tc>
          <w:tcPr>
            <w:tcW w:w="2647" w:type="dxa"/>
          </w:tcPr>
          <w:p w14:paraId="2174A48C"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Kiterjed a LIWO Magyarország minden munkavállalójára, valamint a munkavégzés hatókörében tartózkodókra. </w:t>
            </w:r>
          </w:p>
        </w:tc>
      </w:tr>
      <w:tr w:rsidR="00BD159D" w:rsidRPr="00E45723" w14:paraId="32C094A1" w14:textId="77777777" w:rsidTr="005A4858">
        <w:trPr>
          <w:tblCellSpacing w:w="0" w:type="dxa"/>
          <w:jc w:val="center"/>
        </w:trPr>
        <w:tc>
          <w:tcPr>
            <w:tcW w:w="1842" w:type="dxa"/>
            <w:vMerge/>
            <w:vAlign w:val="center"/>
          </w:tcPr>
          <w:p w14:paraId="361A34A9"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26631834"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Képzés és fejlődés</w:t>
            </w:r>
          </w:p>
        </w:tc>
        <w:tc>
          <w:tcPr>
            <w:tcW w:w="1900" w:type="dxa"/>
          </w:tcPr>
          <w:p w14:paraId="42A45071"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Képzési szabályzat (SZ_18_HR) </w:t>
            </w:r>
          </w:p>
        </w:tc>
        <w:tc>
          <w:tcPr>
            <w:tcW w:w="2647" w:type="dxa"/>
          </w:tcPr>
          <w:p w14:paraId="34AED8D1"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minden munkavállalójára vonatkozik. </w:t>
            </w:r>
          </w:p>
        </w:tc>
      </w:tr>
      <w:tr w:rsidR="00BD159D" w:rsidRPr="00E45723" w14:paraId="447EB65B" w14:textId="77777777" w:rsidTr="005A4858">
        <w:trPr>
          <w:tblCellSpacing w:w="0" w:type="dxa"/>
          <w:jc w:val="center"/>
        </w:trPr>
        <w:tc>
          <w:tcPr>
            <w:tcW w:w="1842" w:type="dxa"/>
            <w:vMerge/>
            <w:vAlign w:val="center"/>
          </w:tcPr>
          <w:p w14:paraId="2112C200"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67A947D9"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Tehetséggondozás és integráció</w:t>
            </w:r>
          </w:p>
        </w:tc>
        <w:tc>
          <w:tcPr>
            <w:tcW w:w="1900" w:type="dxa"/>
          </w:tcPr>
          <w:p w14:paraId="6436457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Onboarding szabályzat (SZ_20_HR) </w:t>
            </w:r>
          </w:p>
        </w:tc>
        <w:tc>
          <w:tcPr>
            <w:tcW w:w="2647" w:type="dxa"/>
          </w:tcPr>
          <w:p w14:paraId="1113ED2E"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új belépőinek beillesztési folyamatát szabályozza. </w:t>
            </w:r>
          </w:p>
        </w:tc>
      </w:tr>
      <w:tr w:rsidR="00BD159D" w:rsidRPr="00E45723" w14:paraId="72F55DFD" w14:textId="77777777" w:rsidTr="005A4858">
        <w:trPr>
          <w:tblCellSpacing w:w="0" w:type="dxa"/>
          <w:jc w:val="center"/>
        </w:trPr>
        <w:tc>
          <w:tcPr>
            <w:tcW w:w="1842" w:type="dxa"/>
            <w:vMerge/>
            <w:vAlign w:val="center"/>
          </w:tcPr>
          <w:p w14:paraId="4C26A72F"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01E8A60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Megfelelőség és visszaélés-kezelés</w:t>
            </w:r>
          </w:p>
        </w:tc>
        <w:tc>
          <w:tcPr>
            <w:tcW w:w="1900" w:type="dxa"/>
          </w:tcPr>
          <w:p w14:paraId="5535CF87"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Visszaélés bejelentési szabályzat (SZ_29_COMP) </w:t>
            </w:r>
          </w:p>
        </w:tc>
        <w:tc>
          <w:tcPr>
            <w:tcW w:w="2647" w:type="dxa"/>
          </w:tcPr>
          <w:p w14:paraId="0C67535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Személyi hatálya kiterjed a LIWO FM munkavállalóira és a Társasággal szerződéses kapcsolatban állókra. </w:t>
            </w:r>
          </w:p>
        </w:tc>
      </w:tr>
      <w:tr w:rsidR="00BD159D" w:rsidRPr="00E45723" w14:paraId="2210116E" w14:textId="77777777" w:rsidTr="005A4858">
        <w:trPr>
          <w:tblCellSpacing w:w="0" w:type="dxa"/>
          <w:jc w:val="center"/>
        </w:trPr>
        <w:tc>
          <w:tcPr>
            <w:tcW w:w="1842" w:type="dxa"/>
            <w:vMerge/>
            <w:vAlign w:val="center"/>
          </w:tcPr>
          <w:p w14:paraId="4A2398E3"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52AD1E8C"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Korrupció elleni küzdelem</w:t>
            </w:r>
          </w:p>
        </w:tc>
        <w:tc>
          <w:tcPr>
            <w:tcW w:w="1900" w:type="dxa"/>
          </w:tcPr>
          <w:p w14:paraId="5679B1C8"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Antikorrupciós politika </w:t>
            </w:r>
          </w:p>
        </w:tc>
        <w:tc>
          <w:tcPr>
            <w:tcW w:w="2647" w:type="dxa"/>
          </w:tcPr>
          <w:p w14:paraId="15A62618"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cégcsoport minden tagjára és szerződött partnerére vonatkozik. </w:t>
            </w:r>
          </w:p>
        </w:tc>
      </w:tr>
      <w:tr w:rsidR="00BD159D" w:rsidRPr="00E45723" w14:paraId="22C0593F" w14:textId="77777777" w:rsidTr="005A4858">
        <w:trPr>
          <w:tblCellSpacing w:w="0" w:type="dxa"/>
          <w:jc w:val="center"/>
        </w:trPr>
        <w:tc>
          <w:tcPr>
            <w:tcW w:w="1842" w:type="dxa"/>
            <w:vMerge/>
            <w:vAlign w:val="center"/>
          </w:tcPr>
          <w:p w14:paraId="5D7970F7"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16EFA2ED"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Munkaegészségügy</w:t>
            </w:r>
          </w:p>
        </w:tc>
        <w:tc>
          <w:tcPr>
            <w:tcW w:w="1900" w:type="dxa"/>
          </w:tcPr>
          <w:p w14:paraId="024A26DB"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Munkaegészség és biztonság politika </w:t>
            </w:r>
          </w:p>
        </w:tc>
        <w:tc>
          <w:tcPr>
            <w:tcW w:w="2647" w:type="dxa"/>
          </w:tcPr>
          <w:p w14:paraId="71C16158"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Cégcsoport minden tevékenységére és működési egységére kiterjed. </w:t>
            </w:r>
          </w:p>
        </w:tc>
      </w:tr>
      <w:tr w:rsidR="00BD159D" w:rsidRPr="00E45723" w14:paraId="7238F7C6" w14:textId="77777777" w:rsidTr="005A4858">
        <w:trPr>
          <w:tblCellSpacing w:w="0" w:type="dxa"/>
          <w:jc w:val="center"/>
        </w:trPr>
        <w:tc>
          <w:tcPr>
            <w:tcW w:w="1842" w:type="dxa"/>
            <w:vMerge/>
            <w:vAlign w:val="center"/>
          </w:tcPr>
          <w:p w14:paraId="482C7C0F" w14:textId="77777777" w:rsidR="00BD159D" w:rsidRPr="00E45723" w:rsidRDefault="00BD159D" w:rsidP="00EA3B06">
            <w:pPr>
              <w:suppressAutoHyphens/>
              <w:spacing w:before="36" w:after="36"/>
              <w:jc w:val="left"/>
              <w:rPr>
                <w:rFonts w:asciiTheme="minorHAnsi" w:hAnsiTheme="minorHAnsi" w:cs="Calibri"/>
              </w:rPr>
            </w:pPr>
          </w:p>
        </w:tc>
        <w:tc>
          <w:tcPr>
            <w:tcW w:w="2458" w:type="dxa"/>
          </w:tcPr>
          <w:p w14:paraId="6DA031CC"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Munkavállalói fejlődés és beilleszkedés</w:t>
            </w:r>
          </w:p>
        </w:tc>
        <w:tc>
          <w:tcPr>
            <w:tcW w:w="1900" w:type="dxa"/>
          </w:tcPr>
          <w:p w14:paraId="35A363F5" w14:textId="77777777" w:rsidR="00BD159D" w:rsidRPr="00E45723" w:rsidRDefault="00FD7771" w:rsidP="00EA3B06">
            <w:pPr>
              <w:pStyle w:val="NormalWeb"/>
              <w:suppressAutoHyphens/>
              <w:spacing w:before="36" w:after="36"/>
              <w:jc w:val="left"/>
              <w:rPr>
                <w:rFonts w:asciiTheme="minorHAnsi" w:hAnsiTheme="minorHAnsi" w:cs="Calibri"/>
              </w:rPr>
            </w:pPr>
            <w:r w:rsidRPr="00E45723">
              <w:rPr>
                <w:rFonts w:asciiTheme="minorHAnsi" w:hAnsiTheme="minorHAnsi" w:cs="Calibri"/>
              </w:rPr>
              <w:t>Vállalati Mentor Szabályzat (SZ_32_HR) </w:t>
            </w:r>
          </w:p>
        </w:tc>
        <w:tc>
          <w:tcPr>
            <w:tcW w:w="2647" w:type="dxa"/>
          </w:tcPr>
          <w:p w14:paraId="583E89CA" w14:textId="77777777" w:rsidR="00BD159D" w:rsidRPr="00E45723" w:rsidRDefault="00FD7771" w:rsidP="00086AFB">
            <w:pPr>
              <w:pStyle w:val="NormalWeb"/>
              <w:suppressAutoHyphens/>
              <w:spacing w:before="36" w:after="36"/>
              <w:rPr>
                <w:rFonts w:asciiTheme="minorHAnsi" w:hAnsiTheme="minorHAnsi" w:cs="Calibri"/>
              </w:rPr>
            </w:pPr>
            <w:r w:rsidRPr="00E45723">
              <w:rPr>
                <w:rFonts w:asciiTheme="minorHAnsi" w:hAnsiTheme="minorHAnsi" w:cs="Calibri"/>
              </w:rPr>
              <w:t>A LIWO Magyarország kijelölt mentoraira és mentorált munkakörökre vonatkozik.</w:t>
            </w:r>
          </w:p>
        </w:tc>
      </w:tr>
    </w:tbl>
    <w:p w14:paraId="0E866EA1" w14:textId="42083443"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Szervezeti működés és irányítási keretek: </w:t>
      </w:r>
      <w:r w:rsidRPr="00E45723">
        <w:rPr>
          <w:rFonts w:asciiTheme="minorHAnsi" w:hAnsiTheme="minorHAnsi" w:cs="Calibri"/>
        </w:rPr>
        <w:t xml:space="preserve">A Társaság Szervezeti és Működési Szabályzata rögzíti a munkavégzés alapvető kereteit, biztosítva a szervezet hatékony és törvényes működését. </w:t>
      </w:r>
      <w:r w:rsidR="00AE560D" w:rsidRPr="00E45723">
        <w:rPr>
          <w:rFonts w:asciiTheme="minorHAnsi" w:hAnsiTheme="minorHAnsi" w:cs="Calibri"/>
        </w:rPr>
        <w:br/>
      </w:r>
      <w:r w:rsidRPr="00E45723">
        <w:rPr>
          <w:rFonts w:asciiTheme="minorHAnsi" w:hAnsiTheme="minorHAnsi" w:cs="Calibri"/>
        </w:rPr>
        <w:t>A szabályzat hatálya kiterjed a vállalat minden szervezeti egységére és valamennyi munkavállalójára, akik számára az abban foglaltak betartása alapvető kötelezettség. A munkarendet és a munkaidőt a munkavállalók kötelesek pontosan betartani, aminek felügyelete és számonkérése a vezetők feladata és felelőssége. A konkrét feladatokat a vezetők által elkészített munkaköri leírások határozzák meg, amelyek segítik a munkavállalókat tevékenységük szakszerű ellátásában. A működés egyik alappillére a munkafegyelem és a határidő-fegyelem megtartása, amely magában foglalja az utasítások pontos követését és a feladatok időbeni elvégzését. A vezetők felelőssége kiterjed az irányításuk alá tartozó egységek teljes működésére, a döntéseik jogszerűségére és azok dokumentálására. Fontos kiemelni, hogy a munkavállalók anyagi felelősséggel tartoznak az általuk okozott károkért, szándékos károkozás esetén pedig a munkavállaló egyetemlegesen felel a Társasággal.</w:t>
      </w:r>
    </w:p>
    <w:p w14:paraId="564EC82A"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Etikai elvárások és emberi jogok védelme: </w:t>
      </w:r>
      <w:r w:rsidRPr="00E45723">
        <w:rPr>
          <w:rFonts w:asciiTheme="minorHAnsi" w:hAnsiTheme="minorHAnsi" w:cs="Calibri"/>
        </w:rPr>
        <w:t xml:space="preserve">A munkavállalókra vonatkozó egyik legfontosabb belső szabályozás az Etikai Kódex, amelynek megismerése és betartása minden munkavállaló egyéni kötelessége. A dokumentum meghatározza az elvárt erkölcsi és magatartási szabályokat, valamint az etikai elvárásokat a vezető testületek és minden alkalmazott számára. A Társaság elkötelezett az Emberi Jogok Egyetemes Nyilatkozata, a Nemzetközi Munkaügyi Szervezet (ILO) alapvető egyezményei, valamint az ENSZ Globális Megállapodásának tíz alapelve iránt. A Kódexben rögzített kötelezettségvállalások közé tartozik a kényszer-, rabszolga- vagy gyermekmunka, </w:t>
      </w:r>
      <w:r w:rsidRPr="00E45723">
        <w:rPr>
          <w:rFonts w:asciiTheme="minorHAnsi" w:hAnsiTheme="minorHAnsi" w:cs="Calibri"/>
        </w:rPr>
        <w:lastRenderedPageBreak/>
        <w:t>valamint az etikátlan foglalkoztatás tilalma, az egyenlő esélyek és az egyenlő bánásmód biztosítása, valamint a diszkrimináció minden formájának elutasítása. A vállalat tiszteletben tartja a munkavállalók emberi jogait, különös tekintettel a személyes méltóságra és a magánélethez fűződő jogokra. Emellett garantálja a tisztességes foglalkoztatási és javadalmazási gyakorlatot, a pihenőidőhöz, szabadsághoz való jogot, valamint a véleménynyilvánítás szabadságát.</w:t>
      </w:r>
    </w:p>
    <w:p w14:paraId="2761DD82"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 xml:space="preserve">Munkafeltételek és munkavállalói jólét: </w:t>
      </w:r>
      <w:r w:rsidRPr="00E45723">
        <w:rPr>
          <w:rFonts w:asciiTheme="minorHAnsi" w:hAnsiTheme="minorHAnsi" w:cs="Calibri"/>
        </w:rPr>
        <w:t>A Munkavállalói kézikönyv célja, hogy átfogó és egységes tájékoztatást nyújtson a foglalkoztatás alapvető feltételeiről, valamint a felek közös jogairól és kötelezettségeiről. A munkavégzés alapfeltétele a munkára képes állapotban történő megjelenés és a foglalkozás-egészségügyi alkalmasság igazolása. A szabályozás részletesen rögzíti a munkaidővel és a bérszámfejtéssel kapcsolatos tudnivalókat, külön kitérve a munkaidő-nyilvántartás kötelezettségére és a pótlékok elszámolására. A kézikönyv kiemelt figyelmet fordít a pihenéshez való jogra, pontosan szabályozva az alap- és pótszabadságok, valamint a speciális távollétek, például az apasági vagy szülői szabadság igénybevételét. A Társaság elkötelezett a folyamatos fejlődés mellett, ezért rögzíti a teljesítménymenedzsment és az egyéni fejlesztési tervek kereteit, miközben rendszeres felmérésekkel monitorozza a munkavállalói elégedettséget.</w:t>
      </w:r>
    </w:p>
    <w:p w14:paraId="707B8D6E"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Egészségvédelem és biztonságos munkakörnyezet: </w:t>
      </w:r>
      <w:r w:rsidRPr="00E45723">
        <w:rPr>
          <w:rFonts w:asciiTheme="minorHAnsi" w:hAnsiTheme="minorHAnsi" w:cs="Calibri"/>
        </w:rPr>
        <w:t>A Munkavédelmi Szabályzat rögzíti a szervezett munkavégzés során kötelezően betartandó egészségügyi és biztonsági követelményeket. A szabályzat hatálya kiterjed minden munkavállalóra, látogatóra és külső partnerre is. A biztonságos munkavégzés alapfeltétele a munkáltató és munkavállaló közötti szoros együttműködés. A munkavégzés megkezdésének elengedhetetlen feltétele a munkavédelmi oktatás, a vállalat pedig biztosítja a szükséges egyéni védőeszközöket, tisztálkodószereket és védőitalt. A balesetek kezelése során a legfontosabb teendő a sérült biztonságba helyezése és az esemény jelentése a JIRA rendszerben. A vállalat emellett ISO 45001:2018 szabvány szerinti irányítási rendszert működtet, amelynek központi eleme a kockázatok folyamatos elemzése és kezelése.</w:t>
      </w:r>
    </w:p>
    <w:p w14:paraId="4EEDA08F"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Képzés, integráció és tehetséggondozás: </w:t>
      </w:r>
      <w:r w:rsidRPr="00E45723">
        <w:rPr>
          <w:rFonts w:asciiTheme="minorHAnsi" w:hAnsiTheme="minorHAnsi" w:cs="Calibri"/>
        </w:rPr>
        <w:t>A Képzési szabályzat a munkavállalók fejlesztését a vállalat versenyképességét növelő humán tőkébe történő befektetésként kezeli. A képzések tervezése az üzleti tervvel összhangban történik, és a vállalat különösen támogatja a szakmai rátermettségüket már bizonyító munkavállalókat. Az új munkavállalók zökkenőmentes integrációját az Onboarding szabályzat biztosítja, amely egy 90 napos, ütemezett tervet követ a belépéstől a próbaidő sikeres lezárásáig. A beilleszkedést speciális támogató funkciók, például az operációs területeken mentorok, a háttérirodai területeken pedig „buddy-k” segítik. A Vállalati mentor szabályzat külön rögzíti a mentorok díjazását is, elismerve ezzel a tapasztalt kollégák többletfeladatát és felelősségvállalását.</w:t>
      </w:r>
    </w:p>
    <w:p w14:paraId="0D35617F"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rPr>
        <w:t xml:space="preserve">Megfelelőség és antikorrupció: </w:t>
      </w:r>
      <w:r w:rsidRPr="00E45723">
        <w:rPr>
          <w:rFonts w:asciiTheme="minorHAnsi" w:hAnsiTheme="minorHAnsi" w:cs="Calibri"/>
        </w:rPr>
        <w:t>A Visszaélés-bejelentési szabályzat célja a jogellenes cselekmények feltárása és megelőzése egy belső bejelentő rendszer működtetésével. A rendszer lehetőséget biztosít névvel vagy név nélküli jelzésre, miközben a Társaság garantálja a bejelentők teljes körű védelmét a hátrányos megkülönböztetéssel szemben. Ezzel párhuzamosan az Antikorrupciós politika a zéró tolerancia elvét hirdeti a vesztegetés minden formájával szemben. A szabályozás tiltja bármilyen jogosulatlan előny felajánlását vagy elfogadását, és elvárja a teljes körű átláthatóságot a kereskedelmi folyamatok során. A szabályszegés súlyos következményeket, akár munkajogi szankciókat vagy büntetőfeljelentést is vonhat maga után.</w:t>
      </w:r>
    </w:p>
    <w:p w14:paraId="53EA0CE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Cégcsoport tagvállalatai a Cégcsoport iránymutatásának megfelelően, de egyedi szabályozási környezettel rendelkeznek. A szabályozási környezet integrációja folyamatos.</w:t>
      </w:r>
    </w:p>
    <w:p w14:paraId="54FE6DA9"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szabályozó eljárás hatályának vagy annak kizárásainak leírása</w:t>
      </w:r>
    </w:p>
    <w:p w14:paraId="3FC1C183" w14:textId="77777777" w:rsidR="00BD159D" w:rsidRPr="00E45723" w:rsidRDefault="00FD7771">
      <w:pPr>
        <w:spacing w:before="120" w:after="120"/>
        <w:rPr>
          <w:rFonts w:asciiTheme="minorHAnsi" w:hAnsiTheme="minorHAnsi" w:cs="Calibri"/>
        </w:rPr>
      </w:pPr>
      <w:r w:rsidRPr="00E45723">
        <w:rPr>
          <w:rFonts w:asciiTheme="minorHAnsi" w:hAnsiTheme="minorHAnsi" w:cs="Calibri"/>
          <w:color w:val="494465"/>
        </w:rPr>
        <w:lastRenderedPageBreak/>
        <w:t>[</w:t>
      </w:r>
      <w:r w:rsidRPr="00E45723">
        <w:rPr>
          <w:rFonts w:asciiTheme="minorHAnsi" w:hAnsiTheme="minorHAnsi" w:cs="Calibri"/>
        </w:rPr>
        <w:t>ESRS 2 bek. 65 b)] A Cégcsoport különböző belső szabályzatai eltérő módon határozzák meg saját hatályukat, de általánosságban elmondható, hogy azok tagvállalati szinten terjednek ki társaság összes munkavállalójára és telephelyére. Egyes politikák egységesítése és csoportszintű kiterjesztése a következő jelentéstételi időszakra eső feladat.</w:t>
      </w:r>
    </w:p>
    <w:p w14:paraId="0729A59F" w14:textId="77777777" w:rsidR="00BD159D" w:rsidRPr="00E45723" w:rsidRDefault="00FD7771">
      <w:pPr>
        <w:suppressAutoHyphens/>
        <w:rPr>
          <w:rFonts w:asciiTheme="minorHAnsi" w:hAnsiTheme="minorHAnsi" w:cs="Calibri"/>
        </w:rPr>
      </w:pPr>
      <w:r w:rsidRPr="00E45723">
        <w:rPr>
          <w:rStyle w:val="Strong"/>
          <w:rFonts w:asciiTheme="minorHAnsi" w:hAnsiTheme="minorHAnsi" w:cs="Calibri"/>
          <w:b w:val="0"/>
          <w:bCs w:val="0"/>
        </w:rPr>
        <w:t>[ESRS 2 bek. 65 e)] A LIWO FM a saját munkaerőt a vállalat működése szempontjából kulcsfontosságú érintetti csoportnak tekinti.</w:t>
      </w:r>
      <w:r w:rsidRPr="00E45723">
        <w:rPr>
          <w:rFonts w:asciiTheme="minorHAnsi" w:hAnsiTheme="minorHAnsi" w:cs="Calibri"/>
          <w:b/>
          <w:bCs/>
        </w:rPr>
        <w:t xml:space="preserve"> </w:t>
      </w:r>
      <w:r w:rsidRPr="00E45723">
        <w:rPr>
          <w:rFonts w:asciiTheme="minorHAnsi" w:hAnsiTheme="minorHAnsi" w:cs="Calibri"/>
        </w:rPr>
        <w:t>A Társaság a munkavállalókat érintő politikák kialakítása és felülvizsgálata során törekszik arra, hogy a saját munkaerő érdekei – különösen a biztonságos munkavégzés, a tisztességes bánásmód, a kiszámítható foglalkoztatás és a szakmai fejlődés – megfelelően érvényesüljenek. </w:t>
      </w:r>
    </w:p>
    <w:p w14:paraId="63C36ED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munkavállalói érdekek érvényesítése leginkább intézményesített párbeszéd (szabályozók kiadásában érintettek bevonása) és átlátható döntéshozatal révén valósul meg. </w:t>
      </w:r>
    </w:p>
    <w:p w14:paraId="5B813DFF"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A szabályozó eljárás hogyan érhető el a potenciálisan érintett érdekelt felek és a bevezetésében segítséget igénylő érdekelt felek számára</w:t>
      </w:r>
    </w:p>
    <w:p w14:paraId="08344970"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65 f)] [ESRS S1 bek. 19]</w:t>
      </w:r>
    </w:p>
    <w:p w14:paraId="58F21372" w14:textId="4FC9BAB1" w:rsidR="00BD159D" w:rsidRPr="00E45723" w:rsidRDefault="00FD7771">
      <w:pPr>
        <w:suppressAutoHyphens/>
        <w:rPr>
          <w:rFonts w:asciiTheme="minorHAnsi" w:hAnsiTheme="minorHAnsi" w:cs="Calibri"/>
        </w:rPr>
      </w:pPr>
      <w:r w:rsidRPr="00E45723">
        <w:rPr>
          <w:rFonts w:asciiTheme="minorHAnsi" w:hAnsiTheme="minorHAnsi" w:cs="Calibri"/>
        </w:rPr>
        <w:t xml:space="preserve"> A szabályzatok elfogadását követően a Társaság minden munkavállalója számára hozzáférést biztosít a szabályzat tartalmához. A kidolgozás koordinálásáért felelős (HR, vagy Minőség</w:t>
      </w:r>
      <w:r w:rsidR="00AE560D" w:rsidRPr="00E45723">
        <w:rPr>
          <w:rFonts w:asciiTheme="minorHAnsi" w:hAnsiTheme="minorHAnsi" w:cs="Calibri"/>
        </w:rPr>
        <w:t>-</w:t>
      </w:r>
      <w:r w:rsidRPr="00E45723">
        <w:rPr>
          <w:rFonts w:asciiTheme="minorHAnsi" w:hAnsiTheme="minorHAnsi" w:cs="Calibri"/>
        </w:rPr>
        <w:t>irányítás) szervezeti egység gondoskodik a szabályzatok kihirdetéséről a Társaság által működtetett közös elektronikus levelező rendszeren, s ezen túlmenően is elérhető válnak a szabályzatok a Társaság intranetes felületén. Kékgalléros kollegák részére a csoportvezetők külön is kihirdetik a főbb szabályzati változásokat azok ismertetésével. A szabályzatok a vállalat összes munkaerejére vonatkoznak.</w:t>
      </w:r>
    </w:p>
    <w:p w14:paraId="59E0DA5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saját munkaerőre vonatkozó releváns emberi jogi politikai kötelezettségvállalások leírása</w:t>
      </w:r>
    </w:p>
    <w:p w14:paraId="2226662D" w14:textId="77777777" w:rsidR="00BD159D" w:rsidRPr="00E45723" w:rsidRDefault="00FD7771" w:rsidP="00EA3B06">
      <w:pPr>
        <w:pStyle w:val="BodyText"/>
        <w:rPr>
          <w:rFonts w:asciiTheme="minorHAnsi" w:hAnsiTheme="minorHAnsi" w:cs="Calibri"/>
        </w:rPr>
      </w:pPr>
      <w:r w:rsidRPr="00E45723">
        <w:rPr>
          <w:rStyle w:val="Strong"/>
          <w:rFonts w:asciiTheme="minorHAnsi" w:hAnsiTheme="minorHAnsi" w:cs="Calibri"/>
          <w:b w:val="0"/>
          <w:bCs w:val="0"/>
        </w:rPr>
        <w:t>[</w:t>
      </w:r>
      <w:r w:rsidRPr="00E45723">
        <w:rPr>
          <w:rFonts w:asciiTheme="minorHAnsi" w:hAnsiTheme="minorHAnsi" w:cs="Calibri"/>
        </w:rPr>
        <w:t xml:space="preserve">ESRS 2 bek. 65 d, </w:t>
      </w:r>
      <w:r w:rsidRPr="00E45723">
        <w:rPr>
          <w:rStyle w:val="Strong"/>
          <w:rFonts w:asciiTheme="minorHAnsi" w:hAnsiTheme="minorHAnsi" w:cs="Calibri"/>
          <w:b w:val="0"/>
          <w:bCs w:val="0"/>
        </w:rPr>
        <w:t xml:space="preserve">ESRS S1 bek. 20.] A LIWO </w:t>
      </w:r>
      <w:r w:rsidRPr="00E45723">
        <w:rPr>
          <w:rStyle w:val="Strong"/>
          <w:rFonts w:asciiTheme="minorHAnsi" w:hAnsiTheme="minorHAnsi" w:cs="Calibri"/>
          <w:b w:val="0"/>
        </w:rPr>
        <w:t>Group</w:t>
      </w:r>
      <w:r w:rsidRPr="00E45723">
        <w:rPr>
          <w:rStyle w:val="Strong"/>
          <w:rFonts w:asciiTheme="minorHAnsi" w:hAnsiTheme="minorHAnsi" w:cs="Calibri"/>
          <w:b w:val="0"/>
          <w:bCs w:val="0"/>
        </w:rPr>
        <w:t xml:space="preserve"> elkötelezett a saját munkaerő emberi jogainak tiszteletben tartása mellett, összhangban a vonatkozó jogszabályi előírásokkal és a nemzetközileg elismert emberi jogi alapelvekkel.</w:t>
      </w:r>
      <w:r w:rsidRPr="00E45723">
        <w:rPr>
          <w:rFonts w:asciiTheme="minorHAnsi" w:hAnsiTheme="minorHAnsi" w:cs="Calibri"/>
        </w:rPr>
        <w:t xml:space="preserve"> A Cégcsoport a foglalkoztatás során érvényesíti az egyenlő bánásmód, a megkülönböztetés tilalma, az emberi méltóság tiszteletben tartása, valamint a biztonságos és egészséget nem veszélyeztető munkavégzés követelményeit.</w:t>
      </w:r>
    </w:p>
    <w:p w14:paraId="362A82E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nem tolerálja a kényszermunka, a gyermekmunka, a zaklatás, a megfélemlítés, valamint a diszkrimináció semmilyen formáját. Törekszik továbbá arra, hogy a munkavállalók számára tisztességes munkafeltételeket, jogszerű foglalkoztatást, megfelelő panaszkezelési lehetőségeket, valamint a munkajogi jogosultságok érvényesülését biztosítsa.</w:t>
      </w:r>
    </w:p>
    <w:p w14:paraId="17EC6E0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FM a saját munkaerőre vonatkozó emberi jogi kötelezettségvállalásait a kapcsolódó belső szabályzatokon, etikai elveken és munkaügyi gyakorlatokon keresztül érvényesíti.</w:t>
      </w:r>
    </w:p>
    <w:p w14:paraId="6445A60F"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 követelmények alapvető elveit a Társaság Etikai Kódexe rögzíti, míg azok gyakorlati érvényesülését a compliance folyamatok, az esetleges visszaélések bejelentésére szolgáló csatornák, valamint a kapcsolódó kivizsgálási és intézkedési mechanizmusok támogatják. Társaság célja, hogy az emberi jogi és munkaügyi elvárásoknak való megfelelés a működésbe beépülten, azonosítható, kezelhető és nyomon követhető módon valósuljon meg.</w:t>
      </w:r>
    </w:p>
    <w:p w14:paraId="5F006B0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Társaság biztosítja a vonatkozó munkajogi előírásoknak megfelelő foglalkoztatást, a tisztességes munkafeltételek fenntartását, valamint a munkavállalók jogainak védelmét. Ennek keretében törekszik arra, hogy a munkavállalók számára jogszerű, méltányos és biztonságos munkakörnyezetet biztosítson, összhangban belső szabályzataival és etikai elveivel.</w:t>
      </w:r>
    </w:p>
    <w:p w14:paraId="2E170D17" w14:textId="5DC3B000" w:rsidR="00BD159D" w:rsidRPr="00E45723" w:rsidRDefault="00FD7771">
      <w:pPr>
        <w:suppressAutoHyphens/>
        <w:rPr>
          <w:rFonts w:asciiTheme="minorHAnsi" w:hAnsiTheme="minorHAnsi" w:cs="Calibri"/>
        </w:rPr>
      </w:pPr>
      <w:r w:rsidRPr="00E45723">
        <w:rPr>
          <w:rFonts w:asciiTheme="minorHAnsi" w:hAnsiTheme="minorHAnsi" w:cs="Calibri"/>
        </w:rPr>
        <w:t xml:space="preserve">[ESRS S1 bek. 20 b)] A LIWO Cégcsoport a saját munkaerővel való kapcsolattartást több, egymást kiegészítő belső kommunikációs csatornán keresztül biztosítja. A munkavállalók tájékoztatása </w:t>
      </w:r>
      <w:r w:rsidRPr="00E45723">
        <w:rPr>
          <w:rFonts w:asciiTheme="minorHAnsi" w:hAnsiTheme="minorHAnsi" w:cs="Calibri"/>
        </w:rPr>
        <w:lastRenderedPageBreak/>
        <w:t>többek között az intranetes felületen, valamint elektronikus értesítéseken keresztül valósul meg. A kékgalléros munkavállalók irányába történő kommunikációban kiemelt szerepük van a csoportvezetőknek. A Társaság emellett a munkaviszony létesítésekor is hangsúlyt helyez a kap</w:t>
      </w:r>
      <w:r w:rsidR="00AE560D" w:rsidRPr="00E45723">
        <w:rPr>
          <w:rFonts w:asciiTheme="minorHAnsi" w:hAnsiTheme="minorHAnsi" w:cs="Calibri"/>
        </w:rPr>
        <w:t>-</w:t>
      </w:r>
      <w:r w:rsidRPr="00E45723">
        <w:rPr>
          <w:rFonts w:asciiTheme="minorHAnsi" w:hAnsiTheme="minorHAnsi" w:cs="Calibri"/>
        </w:rPr>
        <w:t>csolódó elvek megismertetésére: a munkavállalók a munkaszerződés aláírásával egyidejűleg nyilatkoznak az Etikai Kódex megismeréséről és elfogadásáról.</w:t>
      </w:r>
    </w:p>
    <w:p w14:paraId="455DF682"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emberi jogi hatások orvoslására és (vagy) lehetővé tételére irányuló intézkedésekkel kapcsolatos általános megközelítés közzététele</w:t>
      </w:r>
    </w:p>
    <w:p w14:paraId="40C6BA2F" w14:textId="77777777" w:rsidR="00BD159D" w:rsidRPr="00E45723" w:rsidRDefault="00FD7771">
      <w:pPr>
        <w:suppressAutoHyphens/>
        <w:rPr>
          <w:rFonts w:asciiTheme="minorHAnsi" w:hAnsiTheme="minorHAnsi" w:cs="Calibri"/>
        </w:rPr>
      </w:pPr>
      <w:r w:rsidRPr="00E45723">
        <w:rPr>
          <w:rFonts w:asciiTheme="minorHAnsi" w:hAnsiTheme="minorHAnsi" w:cs="Calibri"/>
        </w:rPr>
        <w:t>[ESRS S1 bek. 20 c)] A Társaság az emberi jogi jellegű (különösen munkavállalókat érintő) negatív hatások orvoslását és a jogorvoslat lehetővé tételét több, egymásra épülő mechanizmuson keresztül biztosítja:</w:t>
      </w:r>
    </w:p>
    <w:p w14:paraId="22E1789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b/>
          <w:bCs/>
        </w:rPr>
        <w:t>Jelzésfogadás és kivizsgálás (grievance/whistleblowing):</w:t>
      </w:r>
      <w:r w:rsidRPr="00E45723">
        <w:rPr>
          <w:rFonts w:asciiTheme="minorHAnsi" w:hAnsiTheme="minorHAnsi" w:cs="Calibri"/>
        </w:rPr>
        <w:t xml:space="preserve"> belső visszaélés-bejelentési rendszert működtet (anonim mód lehetőségével), amelyben a bejelentések előzetes vizsgálata rövid határidővel történik, a kivizsgálás során biztosított a pártatlanság és a bejelentett fél tájékoztatása/jogai, valamint – szükség esetén – az azonnali intézkedés kezdeményezése a további jogsértések megelőzésére.</w:t>
      </w:r>
    </w:p>
    <w:p w14:paraId="3EDAFDD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b/>
          <w:bCs/>
        </w:rPr>
        <w:t xml:space="preserve">Orvoslási intézkedések típusa (korrekció és megelőzés): </w:t>
      </w:r>
      <w:r w:rsidRPr="00E45723">
        <w:rPr>
          <w:rFonts w:asciiTheme="minorHAnsi" w:hAnsiTheme="minorHAnsi" w:cs="Calibri"/>
        </w:rPr>
        <w:t>a vizsgálat lezárásakor vizsgálati jelentés készül, amely intézkedési javaslatokat is tartalmaz. A lehetséges intézkedések körébe tartozik a feltárt problémák okainak és következményeinek megszüntetése, az okozott sérelem orvoslása, fegyelmi/etikai eljárás kezdeményezése, hatósági eljárás megindítása, illetve a kötelezettségszegéssel arányos munkajogi jogkövetkezmények alkalmazása.</w:t>
      </w:r>
    </w:p>
    <w:p w14:paraId="7248C63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b/>
          <w:bCs/>
        </w:rPr>
        <w:t>Vezetői döntés és végrehajtás-követés:</w:t>
      </w:r>
      <w:r w:rsidRPr="00E45723">
        <w:rPr>
          <w:rFonts w:asciiTheme="minorHAnsi" w:hAnsiTheme="minorHAnsi" w:cs="Calibri"/>
        </w:rPr>
        <w:t xml:space="preserve"> a súlyosabb vagy vezetői döntést igénylő ügyeknél a vizsgálati jelentés a Társaság vezetése felé kerül, amely a szükséges intézkedések elrendelésével biztosítja a korrekciót és a megelőzést.</w:t>
      </w:r>
    </w:p>
    <w:p w14:paraId="6CE842A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b/>
          <w:bCs/>
        </w:rPr>
        <w:t>Integráció a kockázatkezelésbe:</w:t>
      </w:r>
      <w:r w:rsidRPr="00E45723">
        <w:rPr>
          <w:rFonts w:asciiTheme="minorHAnsi" w:hAnsiTheme="minorHAnsi" w:cs="Calibri"/>
        </w:rPr>
        <w:t xml:space="preserve"> a humán/emberi jogi jellegű kockázatok (pl. munkaidő, munkakörülmények, értékláncban dolgozók kitettségei) a DMA fókuszterületei, és a vállalati kockázatkezelési keretrendszerben is kezelhetők: </w:t>
      </w:r>
      <w:r w:rsidRPr="00E45723">
        <w:rPr>
          <w:rStyle w:val="Emphasis"/>
          <w:rFonts w:asciiTheme="minorHAnsi" w:hAnsiTheme="minorHAnsi" w:cs="Calibri"/>
          <w:i w:val="0"/>
          <w:iCs w:val="0"/>
        </w:rPr>
        <w:t>kritikus vagy</w:t>
      </w:r>
      <w:r w:rsidRPr="00E45723">
        <w:rPr>
          <w:rFonts w:asciiTheme="minorHAnsi" w:hAnsiTheme="minorHAnsi" w:cs="Calibri"/>
          <w:i/>
          <w:iCs/>
        </w:rPr>
        <w:t xml:space="preserve"> </w:t>
      </w:r>
      <w:r w:rsidRPr="00E45723">
        <w:rPr>
          <w:rStyle w:val="Emphasis"/>
          <w:rFonts w:asciiTheme="minorHAnsi" w:hAnsiTheme="minorHAnsi" w:cs="Calibri"/>
          <w:i w:val="0"/>
          <w:iCs w:val="0"/>
        </w:rPr>
        <w:t>fokozott</w:t>
      </w:r>
      <w:r w:rsidRPr="00E45723">
        <w:rPr>
          <w:rFonts w:asciiTheme="minorHAnsi" w:hAnsiTheme="minorHAnsi" w:cs="Calibri"/>
          <w:i/>
          <w:iCs/>
        </w:rPr>
        <w:t xml:space="preserve"> </w:t>
      </w:r>
      <w:r w:rsidRPr="00E45723">
        <w:rPr>
          <w:rFonts w:asciiTheme="minorHAnsi" w:hAnsiTheme="minorHAnsi" w:cs="Calibri"/>
        </w:rPr>
        <w:t>kockázat esetén kötelező akcióterv készül, vezetői jóváhagyással és rendszeres monitoringgal.</w:t>
      </w:r>
    </w:p>
    <w:p w14:paraId="25510C02"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[ESRS S1 bek. 21] A szabályozások összhangban vannak a vonatkozó nemzetközileg elismert eszközökkel. A szabályozók kialakítása és felülvizsgálata során a LIWO Cégcsoport figyelembe veszi az ENSZ Üzleti és Emberi Jogi Irányelveiben (UN Guiding Principles on Business and Human Rights), az Emberi Jogok Egyetemes Nyilatkozatában, valamint a Nemzetközi Munkaügyi Szervezet (ILO) alapvető munkaügyi egyezményeiben foglalt elveket. A vonatkozó nemzetközi elvárások és standardok a szabályozások felülvizsgálata során folyamatosan figyelembevételre kerülnek.</w:t>
      </w:r>
    </w:p>
    <w:p w14:paraId="31466366"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[ESRS S1 bek. 22] A szabályozások kifejezetten foglalkoznak az emberkereskedelemmel, a kényszermunkával vagy kötelező munkával és a gyermekmunkával.</w:t>
      </w:r>
    </w:p>
    <w:p w14:paraId="745FFC25"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[ESRS S1 bek. 23.] Van munkahelyi balesetmegelőzési szabályzat és irányítási rendszer.</w:t>
      </w:r>
    </w:p>
    <w:p w14:paraId="21590B35" w14:textId="77777777" w:rsidR="00BD159D" w:rsidRPr="00E45723" w:rsidRDefault="00FD7771" w:rsidP="00AE560D">
      <w:pPr>
        <w:tabs>
          <w:tab w:val="left" w:pos="0"/>
        </w:tabs>
        <w:suppressAutoHyphens/>
        <w:spacing w:after="120"/>
        <w:rPr>
          <w:rFonts w:asciiTheme="minorHAnsi" w:hAnsiTheme="minorHAnsi" w:cs="Calibri"/>
          <w:bCs/>
        </w:rPr>
      </w:pPr>
      <w:r w:rsidRPr="00E45723">
        <w:rPr>
          <w:rFonts w:asciiTheme="minorHAnsi" w:hAnsiTheme="minorHAnsi" w:cs="Calibri"/>
          <w:bCs/>
        </w:rPr>
        <w:t>ESRS S1 bek. 24 a] Vannak olyan konkrét intézkedések, amelyek célja a diszkrimináció felszámolása: zaklatás felszámolását célzó szabályozások vannak érvényben, vannak az esélyegyenlőséget előmozdító szabályozások. Vannak olyan szabályozó eljárások, amelyek a sokszínűség és a befogadás előmozdításának egyéb módjait célozzák.</w:t>
      </w:r>
    </w:p>
    <w:p w14:paraId="700FBC27" w14:textId="77777777" w:rsidR="00BD159D" w:rsidRPr="00E45723" w:rsidRDefault="00FD7771" w:rsidP="00AE560D">
      <w:pPr>
        <w:tabs>
          <w:tab w:val="left" w:pos="0"/>
        </w:tabs>
        <w:suppressAutoHyphens/>
        <w:spacing w:after="120"/>
        <w:rPr>
          <w:rFonts w:asciiTheme="minorHAnsi" w:hAnsiTheme="minorHAnsi" w:cs="Calibri"/>
        </w:rPr>
      </w:pPr>
      <w:r w:rsidRPr="00E45723">
        <w:rPr>
          <w:rFonts w:asciiTheme="minorHAnsi" w:hAnsiTheme="minorHAnsi" w:cs="Calibri"/>
        </w:rPr>
        <w:t>[ESRS S1 bek. 24 b)] A szabályozó eljárás kifejezetten a következő diszkriminációs alapokat tárgyalja</w:t>
      </w:r>
      <w:r w:rsidRPr="00E45723">
        <w:rPr>
          <w:rFonts w:asciiTheme="minorHAnsi" w:hAnsiTheme="minorHAnsi" w:cs="Calibri"/>
          <w:b/>
          <w:bCs/>
        </w:rPr>
        <w:t xml:space="preserve">: </w:t>
      </w:r>
      <w:r w:rsidRPr="00E45723">
        <w:rPr>
          <w:rStyle w:val="BadgeCharacter"/>
          <w:rFonts w:asciiTheme="minorHAnsi" w:hAnsiTheme="minorHAnsi" w:cs="Calibri"/>
          <w:b w:val="0"/>
          <w:bCs/>
        </w:rPr>
        <w:t xml:space="preserve">Az uniós szabályozás és a nemzeti jog által lefedett egyéb diszkriminációs formák: </w:t>
      </w:r>
      <w:r w:rsidRPr="00E45723">
        <w:rPr>
          <w:rStyle w:val="BadgeCharacter"/>
          <w:rFonts w:asciiTheme="minorHAnsi" w:hAnsiTheme="minorHAnsi" w:cs="Calibri"/>
          <w:b w:val="0"/>
          <w:bCs/>
        </w:rPr>
        <w:lastRenderedPageBreak/>
        <w:t>Szexuális irányultság</w:t>
      </w:r>
      <w:r w:rsidRPr="00E45723">
        <w:rPr>
          <w:rFonts w:asciiTheme="minorHAnsi" w:hAnsiTheme="minorHAnsi" w:cs="Calibri"/>
          <w:b/>
          <w:bCs/>
        </w:rPr>
        <w:t>,</w:t>
      </w:r>
      <w:r w:rsidRPr="00E45723">
        <w:rPr>
          <w:rStyle w:val="BadgeCharacter"/>
          <w:rFonts w:asciiTheme="minorHAnsi" w:hAnsiTheme="minorHAnsi" w:cs="Calibri"/>
          <w:b w:val="0"/>
          <w:bCs/>
        </w:rPr>
        <w:t xml:space="preserve"> Faji és etnikai származás</w:t>
      </w:r>
      <w:r w:rsidRPr="00E45723">
        <w:rPr>
          <w:rFonts w:asciiTheme="minorHAnsi" w:hAnsiTheme="minorHAnsi" w:cs="Calibri"/>
          <w:b/>
          <w:bCs/>
        </w:rPr>
        <w:t xml:space="preserve">, </w:t>
      </w:r>
      <w:r w:rsidRPr="00E45723">
        <w:rPr>
          <w:rStyle w:val="BadgeCharacter"/>
          <w:rFonts w:asciiTheme="minorHAnsi" w:hAnsiTheme="minorHAnsi" w:cs="Calibri"/>
          <w:b w:val="0"/>
          <w:bCs/>
        </w:rPr>
        <w:t>Nemi identitás</w:t>
      </w:r>
      <w:r w:rsidRPr="00E45723">
        <w:rPr>
          <w:rFonts w:asciiTheme="minorHAnsi" w:hAnsiTheme="minorHAnsi" w:cs="Calibri"/>
          <w:b/>
          <w:bCs/>
        </w:rPr>
        <w:t>,</w:t>
      </w:r>
      <w:r w:rsidRPr="00E45723">
        <w:rPr>
          <w:rStyle w:val="BadgeCharacter"/>
          <w:rFonts w:asciiTheme="minorHAnsi" w:hAnsiTheme="minorHAnsi" w:cs="Calibri"/>
          <w:b w:val="0"/>
          <w:bCs/>
        </w:rPr>
        <w:t xml:space="preserve"> Fogyatékosság</w:t>
      </w:r>
      <w:r w:rsidRPr="00E45723">
        <w:rPr>
          <w:rFonts w:asciiTheme="minorHAnsi" w:hAnsiTheme="minorHAnsi" w:cs="Calibri"/>
          <w:b/>
          <w:bCs/>
        </w:rPr>
        <w:t xml:space="preserve">, </w:t>
      </w:r>
      <w:r w:rsidRPr="00E45723">
        <w:rPr>
          <w:rStyle w:val="BadgeCharacter"/>
          <w:rFonts w:asciiTheme="minorHAnsi" w:hAnsiTheme="minorHAnsi" w:cs="Calibri"/>
          <w:b w:val="0"/>
          <w:bCs/>
        </w:rPr>
        <w:t>Vallás</w:t>
      </w:r>
      <w:r w:rsidRPr="00E45723">
        <w:rPr>
          <w:rFonts w:asciiTheme="minorHAnsi" w:hAnsiTheme="minorHAnsi" w:cs="Calibri"/>
          <w:b/>
          <w:bCs/>
        </w:rPr>
        <w:t>,</w:t>
      </w:r>
      <w:r w:rsidRPr="00E45723">
        <w:rPr>
          <w:rStyle w:val="BadgeCharacter"/>
          <w:rFonts w:asciiTheme="minorHAnsi" w:hAnsiTheme="minorHAnsi" w:cs="Calibri"/>
          <w:b w:val="0"/>
          <w:bCs/>
        </w:rPr>
        <w:t xml:space="preserve"> Politikai vélemény</w:t>
      </w:r>
      <w:r w:rsidRPr="00E45723">
        <w:rPr>
          <w:rFonts w:asciiTheme="minorHAnsi" w:hAnsiTheme="minorHAnsi" w:cs="Calibri"/>
          <w:b/>
          <w:bCs/>
        </w:rPr>
        <w:t xml:space="preserve">, </w:t>
      </w:r>
      <w:r w:rsidRPr="00E45723">
        <w:rPr>
          <w:rStyle w:val="BadgeCharacter"/>
          <w:rFonts w:asciiTheme="minorHAnsi" w:hAnsiTheme="minorHAnsi" w:cs="Calibri"/>
          <w:b w:val="0"/>
          <w:bCs/>
        </w:rPr>
        <w:t>Társadalmi származás.</w:t>
      </w:r>
      <w:r w:rsidRPr="00E45723">
        <w:rPr>
          <w:rStyle w:val="BadgeCharacter"/>
          <w:rFonts w:asciiTheme="minorHAnsi" w:hAnsiTheme="minorHAnsi" w:cs="Calibri"/>
        </w:rPr>
        <w:t xml:space="preserve"> </w:t>
      </w:r>
    </w:p>
    <w:p w14:paraId="26B22472" w14:textId="77777777" w:rsidR="00BD159D" w:rsidRPr="00E45723" w:rsidRDefault="00FD7771" w:rsidP="00AE560D">
      <w:pPr>
        <w:pStyle w:val="ListParagraph"/>
        <w:suppressAutoHyphens/>
        <w:ind w:left="0"/>
        <w:rPr>
          <w:rFonts w:asciiTheme="minorHAnsi" w:hAnsiTheme="minorHAnsi" w:cs="Calibri"/>
        </w:rPr>
      </w:pPr>
      <w:r w:rsidRPr="00E45723">
        <w:rPr>
          <w:rFonts w:asciiTheme="minorHAnsi" w:hAnsiTheme="minorHAnsi" w:cs="Calibri"/>
        </w:rPr>
        <w:t>[ESRS S1 bek. 24 b)] A szabályozó eljárás - azaz az Etikai kódex - konkrétan kitér a diszkrimináció okaira: faji és etnikai származás, bőrszín, nem, szexuális irányultság, nemi identitás, fogyatékosság, életkor, vallás, politikai vélemény, nemzeti vagy társadalmi származás, illetve az uniós rendeletek és a nemzeti jogszabályok által szabályozott egyéb diszkriminációs formák.</w:t>
      </w:r>
    </w:p>
    <w:p w14:paraId="1B2D020F" w14:textId="77777777" w:rsidR="00BD159D" w:rsidRPr="00033A98" w:rsidRDefault="00FD7771" w:rsidP="00033A98">
      <w:pPr>
        <w:suppressAutoHyphens/>
        <w:rPr>
          <w:rFonts w:asciiTheme="minorHAnsi" w:hAnsiTheme="minorHAnsi" w:cs="Calibri"/>
        </w:rPr>
      </w:pPr>
      <w:r w:rsidRPr="00033A98">
        <w:rPr>
          <w:rFonts w:asciiTheme="minorHAnsi" w:hAnsiTheme="minorHAnsi" w:cs="Calibri"/>
        </w:rPr>
        <w:t>A Társaság által biztosítani szándékozott munkahelyi légkör megteremtése során a munkavállalók kötelezettségei:</w:t>
      </w:r>
    </w:p>
    <w:p w14:paraId="28B4A85B" w14:textId="77777777" w:rsidR="00BD159D" w:rsidRPr="00E45723" w:rsidRDefault="00FD7771" w:rsidP="00A150F7">
      <w:pPr>
        <w:pStyle w:val="ListParagraph"/>
        <w:numPr>
          <w:ilvl w:val="0"/>
          <w:numId w:val="34"/>
        </w:numPr>
        <w:rPr>
          <w:rFonts w:asciiTheme="minorHAnsi" w:hAnsiTheme="minorHAnsi" w:cs="Calibri"/>
          <w:bCs/>
        </w:rPr>
      </w:pPr>
      <w:r w:rsidRPr="00E45723">
        <w:rPr>
          <w:rFonts w:asciiTheme="minorHAnsi" w:hAnsiTheme="minorHAnsi" w:cs="Calibri"/>
          <w:bCs/>
        </w:rPr>
        <w:t>Megelőzni és kerülni minden olyan diszkriminációt, megkülönböztetést, zaklatást, fenyegetést, megfélemlítést, amely valamilyen jogszabályok által is védett helyzeten, tulajdonságon, jellemzőn (a továbbiakban együtt: tulajdonság) alapul (mint például egy személy faji hovatartozása, neme, anyasága (áldott állapota) vagy apasága, bőrszíne, nemi identitása, nemzetisége, vallási vagy világnézeti meggyőződése, életkora, fogyatékossága, megváltozott munkaképessége, egészségi állapota, családi állapota, szexuális irányultsága, társadalmi származása, vagyoni helyzete, érdekképviselethez való tartozása vagy egyéb tulajdonsága.</w:t>
      </w:r>
    </w:p>
    <w:p w14:paraId="35AB79A9" w14:textId="77777777" w:rsidR="00BD159D" w:rsidRPr="00E45723" w:rsidRDefault="00FD7771" w:rsidP="00A150F7">
      <w:pPr>
        <w:pStyle w:val="ListParagraph"/>
        <w:numPr>
          <w:ilvl w:val="0"/>
          <w:numId w:val="34"/>
        </w:numPr>
        <w:rPr>
          <w:rFonts w:asciiTheme="minorHAnsi" w:hAnsiTheme="minorHAnsi" w:cs="Calibri"/>
          <w:bCs/>
        </w:rPr>
      </w:pPr>
      <w:r w:rsidRPr="00E45723">
        <w:rPr>
          <w:rFonts w:asciiTheme="minorHAnsi" w:hAnsiTheme="minorHAnsi" w:cs="Calibri"/>
          <w:bCs/>
        </w:rPr>
        <w:t>Megelőzni és kerülni a szexuális zaklatást. Szexuális zaklatásnak minősülnek a munkatársaknak tett szexuális jellegű megjegyzések, a munkatársak szexuális életére tett megjegyzések, kéretlen szexuális felajánlások vagy szexuális szívesség kérése, nem helyénvaló szexuális ügy kollégákkal való megbeszélése a munkahelyen vagy máshol.</w:t>
      </w:r>
    </w:p>
    <w:p w14:paraId="0E6710A1" w14:textId="77777777" w:rsidR="00BD159D" w:rsidRPr="00E45723" w:rsidRDefault="00FD7771" w:rsidP="00A150F7">
      <w:pPr>
        <w:pStyle w:val="ListParagraph"/>
        <w:numPr>
          <w:ilvl w:val="0"/>
          <w:numId w:val="34"/>
        </w:numPr>
        <w:suppressAutoHyphens/>
        <w:rPr>
          <w:rFonts w:asciiTheme="minorHAnsi" w:hAnsiTheme="minorHAnsi" w:cs="Calibri"/>
          <w:bCs/>
        </w:rPr>
      </w:pPr>
      <w:r w:rsidRPr="00E45723">
        <w:rPr>
          <w:rFonts w:asciiTheme="minorHAnsi" w:hAnsiTheme="minorHAnsi" w:cs="Calibri"/>
          <w:bCs/>
        </w:rPr>
        <w:t>Megelőzni és kerülni a megtorlást a diszkriminációt, megkülönböztetést, zaklatást, fenyegetést, megfélemlítést, egyéb aggályokat bejelentő személyekkel szemben.</w:t>
      </w:r>
    </w:p>
    <w:p w14:paraId="22F5A7DD" w14:textId="77777777" w:rsidR="00BD159D" w:rsidRPr="00E45723" w:rsidRDefault="00FD7771" w:rsidP="00A150F7">
      <w:pPr>
        <w:pStyle w:val="ListParagraph"/>
        <w:numPr>
          <w:ilvl w:val="0"/>
          <w:numId w:val="34"/>
        </w:numPr>
        <w:suppressAutoHyphens/>
        <w:rPr>
          <w:rFonts w:asciiTheme="minorHAnsi" w:hAnsiTheme="minorHAnsi" w:cs="Calibri"/>
          <w:bCs/>
        </w:rPr>
      </w:pPr>
      <w:r w:rsidRPr="00E45723">
        <w:rPr>
          <w:rFonts w:asciiTheme="minorHAnsi" w:hAnsiTheme="minorHAnsi" w:cs="Calibri"/>
          <w:bCs/>
        </w:rPr>
        <w:t>Haladéktalanul értesíteni felettesét, a humán-erőforrás osztály bármely képviselőjét, ha diszkrimináció, megkülönböztetés, zaklatás, fenyegetés vagy megfélemlítés áldozatának érzi magát, ha ilyet észlel másokkal szemben, vagy ha ilyet jelentettek be Önnek. Nem kell bejelentést tennie olyan személynek, aki az adott ügyben érintett.</w:t>
      </w:r>
    </w:p>
    <w:p w14:paraId="453585AD" w14:textId="77777777" w:rsidR="00BD159D" w:rsidRPr="00E45723" w:rsidRDefault="00FD7771" w:rsidP="00A150F7">
      <w:pPr>
        <w:pStyle w:val="ListParagraph"/>
        <w:numPr>
          <w:ilvl w:val="0"/>
          <w:numId w:val="34"/>
        </w:numPr>
        <w:suppressAutoHyphens/>
        <w:rPr>
          <w:rFonts w:asciiTheme="minorHAnsi" w:hAnsiTheme="minorHAnsi" w:cs="Calibri"/>
          <w:bCs/>
        </w:rPr>
      </w:pPr>
      <w:r w:rsidRPr="00E45723">
        <w:rPr>
          <w:rFonts w:asciiTheme="minorHAnsi" w:hAnsiTheme="minorHAnsi" w:cs="Calibri"/>
          <w:bCs/>
        </w:rPr>
        <w:t>Maximális együttműködést tanúsítani a kivizsgálási eljárás lefolytatása során.</w:t>
      </w:r>
    </w:p>
    <w:p w14:paraId="31562720" w14:textId="77777777" w:rsidR="00BD159D" w:rsidRPr="00E45723" w:rsidRDefault="00FD7771">
      <w:pPr>
        <w:suppressAutoHyphens/>
        <w:ind w:left="-1"/>
        <w:rPr>
          <w:rFonts w:asciiTheme="minorHAnsi" w:hAnsiTheme="minorHAnsi" w:cs="Calibri"/>
          <w:bCs/>
        </w:rPr>
      </w:pPr>
      <w:r w:rsidRPr="00E45723">
        <w:rPr>
          <w:rFonts w:asciiTheme="minorHAnsi" w:hAnsiTheme="minorHAnsi" w:cs="Calibri"/>
          <w:bCs/>
        </w:rPr>
        <w:t>A Társaság valamennyi munkavállalója köteles:</w:t>
      </w:r>
    </w:p>
    <w:p w14:paraId="5127B1F8" w14:textId="77777777" w:rsidR="00BD159D" w:rsidRPr="00E45723" w:rsidRDefault="00FD7771" w:rsidP="00A150F7">
      <w:pPr>
        <w:pStyle w:val="ListParagraph"/>
        <w:numPr>
          <w:ilvl w:val="0"/>
          <w:numId w:val="35"/>
        </w:numPr>
        <w:suppressAutoHyphens/>
        <w:rPr>
          <w:rFonts w:asciiTheme="minorHAnsi" w:hAnsiTheme="minorHAnsi" w:cs="Calibri"/>
          <w:bCs/>
        </w:rPr>
      </w:pPr>
      <w:r w:rsidRPr="00E45723">
        <w:rPr>
          <w:rFonts w:asciiTheme="minorHAnsi" w:hAnsiTheme="minorHAnsi" w:cs="Calibri"/>
          <w:bCs/>
        </w:rPr>
        <w:t>A foglalkoztatás során biztosítani az egyenlő esélyeket és bánásmódot, biztosítani és betartani a tisztességes munkáltatói gyakorlatot és a diszkrimináció tilalmára vonatkozó valamennyi előírást;</w:t>
      </w:r>
    </w:p>
    <w:p w14:paraId="7AE34B89" w14:textId="77777777" w:rsidR="00BD159D" w:rsidRPr="00E45723" w:rsidRDefault="00FD7771" w:rsidP="00A150F7">
      <w:pPr>
        <w:pStyle w:val="ListParagraph"/>
        <w:numPr>
          <w:ilvl w:val="0"/>
          <w:numId w:val="35"/>
        </w:numPr>
        <w:suppressAutoHyphens/>
        <w:rPr>
          <w:rFonts w:asciiTheme="minorHAnsi" w:hAnsiTheme="minorHAnsi" w:cs="Calibri"/>
          <w:bCs/>
        </w:rPr>
      </w:pPr>
      <w:r w:rsidRPr="00E45723">
        <w:rPr>
          <w:rFonts w:asciiTheme="minorHAnsi" w:hAnsiTheme="minorHAnsi" w:cs="Calibri"/>
          <w:bCs/>
        </w:rPr>
        <w:t>Olyan munkahelyi környezetet kialakítani, amely biztosítja a kölcsönös tiszteletet és méltóságot, amelyben értékeljük és tiszteletben tartjuk a különböző nézőpontokat.</w:t>
      </w:r>
    </w:p>
    <w:p w14:paraId="2E92C38D" w14:textId="77777777" w:rsidR="00BD159D" w:rsidRPr="00E45723" w:rsidRDefault="00FD7771" w:rsidP="00AE560D">
      <w:pPr>
        <w:pStyle w:val="Heading3"/>
        <w:suppressAutoHyphens/>
        <w:spacing w:after="240"/>
        <w:rPr>
          <w:rFonts w:asciiTheme="minorHAnsi" w:hAnsiTheme="minorHAnsi" w:cs="Calibri"/>
        </w:rPr>
      </w:pPr>
      <w:bookmarkStart w:id="57" w:name="_Toc239834942"/>
      <w:r w:rsidRPr="00E45723">
        <w:rPr>
          <w:rFonts w:asciiTheme="minorHAnsi" w:hAnsiTheme="minorHAnsi" w:cs="Calibri"/>
        </w:rPr>
        <w:t>S1-2 A saját munkaerővel és a munkavállalói képviselőkkel való, a hatásokkal kapcsolatos kapcsolattartás folyamatai</w:t>
      </w:r>
      <w:bookmarkEnd w:id="57"/>
    </w:p>
    <w:p w14:paraId="4F64B97C" w14:textId="77777777" w:rsidR="00BD159D" w:rsidRPr="00E45723" w:rsidRDefault="00FD7771" w:rsidP="00A150F7">
      <w:pPr>
        <w:tabs>
          <w:tab w:val="left" w:pos="0"/>
        </w:tabs>
        <w:rPr>
          <w:rFonts w:asciiTheme="minorHAnsi" w:hAnsiTheme="minorHAnsi" w:cs="Calibri"/>
          <w:bCs/>
        </w:rPr>
      </w:pPr>
      <w:r w:rsidRPr="00E45723">
        <w:rPr>
          <w:rFonts w:asciiTheme="minorHAnsi" w:hAnsiTheme="minorHAnsi" w:cs="Calibri"/>
          <w:bCs/>
        </w:rPr>
        <w:t>[ESRS S1 bek 27-31.]A vállalat nem alkalmaz általános eljárást a saját munkavállalóival történő kapcsolattartásra. A Cégcsoport tagvállalatainál a saját munkaerővel, illetve a munkavállalói érdekképviseletekkel folytatott együttműködés különböző módokon valósul meg, amelynek keretei és rendszeressége vállalatonként eltérő lehet. A munkavállalók egészségének és biztonságának védelme, valamint a vállalati kultúra és karrierlehetőségek tudatos fejlesztése minden esetben közös alapelvként jelenik meg. Az együttműködés eredményes megvalósításáért a vállalatok vezető tisztségviselői és HR igazgatói felelősek.</w:t>
      </w:r>
    </w:p>
    <w:p w14:paraId="662CABE7" w14:textId="77777777" w:rsidR="00BD159D" w:rsidRPr="00E45723" w:rsidRDefault="00FD7771">
      <w:pPr>
        <w:suppressAutoHyphens/>
        <w:rPr>
          <w:rFonts w:asciiTheme="minorHAnsi" w:hAnsiTheme="minorHAnsi" w:cs="Calibri"/>
        </w:rPr>
      </w:pPr>
      <w:r w:rsidRPr="00E45723">
        <w:rPr>
          <w:rFonts w:asciiTheme="minorHAnsi" w:hAnsiTheme="minorHAnsi" w:cs="Calibri"/>
        </w:rPr>
        <w:lastRenderedPageBreak/>
        <w:t>A folyamatos tájékoztatás, valamint a formális kommunikációs csatornák – például a vezetői tájékoztatások – meghatározó jelentőséggel bírnak a vállalatok hatékony működésében. Az információátadás nemcsak vezetői értekezleteken és vezetőkön keresztül történik, hanem a tagvállalatok a belső kommunikáció számos eszközét is alkalmazzák, mint például hírlevelek, HR-tájékoztatók, intranetfelületek, vállalati rendezvények. Ezen csatornák célja az információ megosztása, a jó gyakorlatok bemutatása, valamint a szervezeti változások és prioritások transzparens közlése.</w:t>
      </w:r>
    </w:p>
    <w:p w14:paraId="50AB1368" w14:textId="2C65D44C" w:rsidR="00BD159D" w:rsidRPr="00E45723" w:rsidRDefault="00FD7771" w:rsidP="00A150F7">
      <w:pPr>
        <w:rPr>
          <w:rFonts w:asciiTheme="minorHAnsi" w:hAnsiTheme="minorHAnsi" w:cs="Calibri"/>
        </w:rPr>
      </w:pPr>
      <w:r w:rsidRPr="00E45723">
        <w:rPr>
          <w:rFonts w:asciiTheme="minorHAnsi" w:hAnsiTheme="minorHAnsi" w:cs="Calibri"/>
        </w:rPr>
        <w:t>A munkavállalókkal folytatott együttműködés kapcsán valamennyi vállalat hangsúlyt fektet a munkabiztonsági intézkedésekre és a megfelelő képzési programok biztosítására. Az együttműködés szabályozottsága és formalizáltsága vállalatonként eltér, de jelenleg inkább a napi munkakapcsolatok és az informális tájékoztatás dominálnak a munkavállalókkal való kapcsolattartásban.</w:t>
      </w:r>
    </w:p>
    <w:p w14:paraId="4E144CBB" w14:textId="77777777" w:rsidR="00BD159D" w:rsidRPr="00E45723" w:rsidRDefault="00FD7771" w:rsidP="00EA3B06">
      <w:pPr>
        <w:pStyle w:val="Heading3"/>
        <w:suppressAutoHyphens/>
        <w:rPr>
          <w:rFonts w:asciiTheme="minorHAnsi" w:hAnsiTheme="minorHAnsi" w:cs="Calibri"/>
        </w:rPr>
      </w:pPr>
      <w:bookmarkStart w:id="58" w:name="_Toc239834943"/>
      <w:r w:rsidRPr="00E45723">
        <w:rPr>
          <w:rFonts w:asciiTheme="minorHAnsi" w:hAnsiTheme="minorHAnsi" w:cs="Calibri"/>
        </w:rPr>
        <w:t>S1-3 A negatív hatások orvoslására szolgáló folyamatok és csatornák, amelyeken keresztül a saját munkavállalók jelezhetik aggályaikat</w:t>
      </w:r>
      <w:bookmarkEnd w:id="58"/>
    </w:p>
    <w:p w14:paraId="7BD0748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[ESRS S1 bek. 30] A vállalat létrehozott csatornát az aggályok bejelentésére.</w:t>
      </w:r>
    </w:p>
    <w:p w14:paraId="07125926"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 xml:space="preserve">[ESRS S1 bek. 32 a)] A Társaság elkötelezett amellett, hogy amennyiben belső folyamatai során azonosítja, hogy saját munkavállalóira nézve lényeges negatív hatást okozott vagy ahhoz hozzájárult, megfelelő és hatékony orvoslást biztosítson. A Társaság működése során a felelős vállalatirányítás, az emberi jogok tiszteletben tartása, valamint a biztonságos és méltányos munkakörülmények biztosítása alapvető elv. </w:t>
      </w:r>
    </w:p>
    <w:p w14:paraId="2E3CD2AC" w14:textId="3C8C62D6" w:rsidR="00BD159D" w:rsidRPr="00E45723" w:rsidRDefault="00FD7771" w:rsidP="00A150F7">
      <w:pPr>
        <w:spacing w:before="120" w:after="0"/>
        <w:rPr>
          <w:rFonts w:asciiTheme="minorHAnsi" w:hAnsiTheme="minorHAnsi" w:cs="Calibri"/>
        </w:rPr>
      </w:pPr>
      <w:r w:rsidRPr="00E45723">
        <w:rPr>
          <w:rFonts w:asciiTheme="minorHAnsi" w:hAnsiTheme="minorHAnsi" w:cs="Calibri"/>
          <w:b/>
          <w:bCs/>
        </w:rPr>
        <w:t>Általános megközelítés:</w:t>
      </w:r>
      <w:r w:rsidRPr="00E45723">
        <w:rPr>
          <w:rFonts w:asciiTheme="minorHAnsi" w:hAnsiTheme="minorHAnsi" w:cs="Calibri"/>
        </w:rPr>
        <w:t xml:space="preserve"> A Társaság az esetleges negatív hatások kezelését strukturált, dokumentált belső folyamatok mentén végzi, amelyek biztosítják a bejelentések bizalmas és – szükség esetén – anonim kezelését, a pártatlan és megfelelő szakértelemmel lefolytatott vizsgálatot, a megtorlás tilalmát, az arányos és megfelelő korrekciós intézkedések meghozatalát, valamint az ismétlődés megelőzését célzó intézkedések bevezetését.</w:t>
      </w:r>
      <w:r w:rsidR="00A150F7" w:rsidRPr="00E45723">
        <w:rPr>
          <w:rFonts w:asciiTheme="minorHAnsi" w:hAnsiTheme="minorHAnsi" w:cs="Calibri"/>
        </w:rPr>
        <w:t xml:space="preserve"> </w:t>
      </w:r>
      <w:r w:rsidRPr="00E45723">
        <w:rPr>
          <w:rFonts w:asciiTheme="minorHAnsi" w:hAnsiTheme="minorHAnsi" w:cs="Calibri"/>
        </w:rPr>
        <w:t>A Társaság folyamatai összhangban állnak a hatályos munkaügyi, munkavédelmi és etikai jogszabályokkal, alább bemutatásra kerülnek a fontosabb belső szabályozások.</w:t>
      </w:r>
    </w:p>
    <w:p w14:paraId="6E6AD471" w14:textId="77777777" w:rsidR="00BD159D" w:rsidRPr="00E45723" w:rsidRDefault="00FD7771" w:rsidP="00EA3B06">
      <w:pPr>
        <w:pStyle w:val="BodyText"/>
        <w:rPr>
          <w:rFonts w:asciiTheme="minorHAnsi" w:hAnsiTheme="minorHAnsi" w:cs="Calibri"/>
        </w:rPr>
      </w:pPr>
      <w:bookmarkStart w:id="59" w:name="_Toc230770569"/>
      <w:r w:rsidRPr="00E45723">
        <w:rPr>
          <w:rFonts w:asciiTheme="minorHAnsi" w:hAnsiTheme="minorHAnsi" w:cs="Calibri"/>
          <w:b/>
          <w:bCs/>
        </w:rPr>
        <w:t>Panaszkezelési és bejelentési mechanizmusok</w:t>
      </w:r>
      <w:r w:rsidRPr="00E45723">
        <w:rPr>
          <w:rFonts w:asciiTheme="minorHAnsi" w:hAnsiTheme="minorHAnsi" w:cs="Calibri"/>
        </w:rPr>
        <w:t>: A munkavállalók több csatornán keresztül is jelezhetik aggályaikat és panaszaikat. A Társaság anonim bejelentési rendszert működtet a Visszaélés bejelentési Szabályzat (SZ_29_COMP) alapján. A rendszer biztosítja a bejelentők anonimitását és a bejelentések bizalmas kezelését. A jóhiszemű bejelentést tevő munkavállalókat megtorlás nem érheti. A bejelentések kivizsgálásáért a Compliance terület felelős, amely minden ügyet dokumentált eljárásrend szerint, objektíven és a releváns körülmények figyelembevételével vizsgál ki.</w:t>
      </w:r>
      <w:bookmarkEnd w:id="59"/>
    </w:p>
    <w:p w14:paraId="1364E997" w14:textId="70B87ED6" w:rsidR="00BD159D" w:rsidRPr="00E45723" w:rsidRDefault="00FD7771" w:rsidP="00EA3B06">
      <w:pPr>
        <w:pStyle w:val="BodyText"/>
        <w:suppressAutoHyphens/>
        <w:rPr>
          <w:rFonts w:asciiTheme="minorHAnsi" w:hAnsiTheme="minorHAnsi" w:cs="Calibri"/>
        </w:rPr>
      </w:pPr>
      <w:bookmarkStart w:id="60" w:name="_Toc230770570"/>
      <w:r w:rsidRPr="00E45723">
        <w:rPr>
          <w:rFonts w:asciiTheme="minorHAnsi" w:hAnsiTheme="minorHAnsi" w:cs="Calibri"/>
          <w:b/>
          <w:bCs/>
        </w:rPr>
        <w:t>Etikai és emberi jogi vonatkozások</w:t>
      </w:r>
      <w:r w:rsidRPr="00E45723">
        <w:rPr>
          <w:rFonts w:asciiTheme="minorHAnsi" w:hAnsiTheme="minorHAnsi" w:cs="Calibri"/>
        </w:rPr>
        <w:t xml:space="preserve">: A Társaság Etikai Kódexe kifejezetten szabályozza a zaklatás, diszkrimináció, valamint az emberi jogok tiszteletben tartásának követelményeit. </w:t>
      </w:r>
      <w:r w:rsidR="00A150F7" w:rsidRPr="00E45723">
        <w:rPr>
          <w:rFonts w:asciiTheme="minorHAnsi" w:hAnsiTheme="minorHAnsi" w:cs="Calibri"/>
        </w:rPr>
        <w:br/>
      </w:r>
      <w:r w:rsidRPr="00E45723">
        <w:rPr>
          <w:rFonts w:asciiTheme="minorHAnsi" w:hAnsiTheme="minorHAnsi" w:cs="Calibri"/>
        </w:rPr>
        <w:t>Az etikai vétségek bejelentésére a visszaélésbejelentési rendszer útján, valamint a HR felé való jelzéssel lehetséges. Az Etikai Kódex megsértésére vonatkozó bejelentések az Etikai Szabályzat szerint kerülnek kivizsgálásra. Megalapozott jogsértés esetén a Társaság megfelelő fegyelmi és korrekciós intézkedéseket alkalmaz.</w:t>
      </w:r>
      <w:bookmarkEnd w:id="60"/>
    </w:p>
    <w:p w14:paraId="2162071F" w14:textId="77777777" w:rsidR="00BD159D" w:rsidRPr="00E45723" w:rsidRDefault="00FD7771" w:rsidP="00EA3B06">
      <w:pPr>
        <w:pStyle w:val="BodyText"/>
        <w:rPr>
          <w:rFonts w:asciiTheme="minorHAnsi" w:hAnsiTheme="minorHAnsi" w:cs="Calibri"/>
        </w:rPr>
      </w:pPr>
      <w:bookmarkStart w:id="61" w:name="_Toc230770571"/>
      <w:r w:rsidRPr="00E45723">
        <w:rPr>
          <w:rFonts w:asciiTheme="minorHAnsi" w:hAnsiTheme="minorHAnsi" w:cs="Calibri"/>
          <w:b/>
          <w:bCs/>
        </w:rPr>
        <w:t>Munka- és egészségvédelem</w:t>
      </w:r>
      <w:r w:rsidRPr="00E45723">
        <w:rPr>
          <w:rFonts w:asciiTheme="minorHAnsi" w:hAnsiTheme="minorHAnsi" w:cs="Calibri"/>
        </w:rPr>
        <w:t xml:space="preserve">: A munkavállalók egészségét és biztonságát a Munkavédelmi Szabályzat biztosítja. A Társaság külön belső eljárásrendet működtet a munkavédelmi kockázatok és incidensek bejelentésére és kivizsgálására (EHS Service Desk). A munkavédelmi kérdések kezelésében közreműködik a jogszabályoknak megfelelően megválasztott munkavédelmi képviselő, aki a munkavállalók érdekeit képviseli, és jogosult a munkakörülményekkel kapcsolatos aggályok jelzésére. A képviselő megválasztásának folyamata szabályozott és átlátható (MU_8.1_324). </w:t>
      </w:r>
      <w:r w:rsidRPr="00E45723">
        <w:rPr>
          <w:rFonts w:asciiTheme="minorHAnsi" w:hAnsiTheme="minorHAnsi" w:cs="Calibri"/>
        </w:rPr>
        <w:lastRenderedPageBreak/>
        <w:t>Emellett a Társaság a jogszabályi előírásoknak megfelelően rendszeresen elvégzi a szükséges, időszakos kockázatértékeléseket a belső szabályozásoknak megfelelően. A bejelentett munkavédelmi kockázatokat a Társaság kivizsgálja, és szükség esetén haladéktalanul intézkedik a veszélyek megszüntetése vagy csökkentése érdekében, a munkahelyi kockázatértékelések felülvizsgálata mellett.</w:t>
      </w:r>
      <w:bookmarkEnd w:id="61"/>
    </w:p>
    <w:p w14:paraId="48B7EBC1" w14:textId="77777777" w:rsidR="00BD159D" w:rsidRPr="00E45723" w:rsidRDefault="00FD7771" w:rsidP="00EA3B06">
      <w:pPr>
        <w:pStyle w:val="BodyText"/>
        <w:rPr>
          <w:rFonts w:asciiTheme="minorHAnsi" w:hAnsiTheme="minorHAnsi" w:cs="Calibri"/>
        </w:rPr>
      </w:pPr>
      <w:bookmarkStart w:id="62" w:name="_Toc230770572"/>
      <w:r w:rsidRPr="00E45723">
        <w:rPr>
          <w:rFonts w:asciiTheme="minorHAnsi" w:hAnsiTheme="minorHAnsi" w:cs="Calibri"/>
          <w:b/>
          <w:bCs/>
        </w:rPr>
        <w:t>Orvoslási intézkedések</w:t>
      </w:r>
      <w:r w:rsidRPr="00E45723">
        <w:rPr>
          <w:rFonts w:asciiTheme="minorHAnsi" w:hAnsiTheme="minorHAnsi" w:cs="Calibri"/>
        </w:rPr>
        <w:t>: Amennyiben a Társaság megállapítja, hogy lényeges negatív hatást okozott vagy ahhoz hozzájárult, arányos és megfelelő orvoslási intézkedéseket alkalmazhat, amelyek többek között az alábbiakat foglalhatják magukban a munkakörülmények korrekciója, a fegyelmi intézkedések, a belső szabályzatok módosítása, a képzések bevezetése, és a kockázatkezelési mechanizmusok megerősítése.</w:t>
      </w:r>
      <w:bookmarkEnd w:id="62"/>
    </w:p>
    <w:p w14:paraId="52DC2D7E" w14:textId="77777777" w:rsidR="00BD159D" w:rsidRPr="00E45723" w:rsidRDefault="00FD7771" w:rsidP="00EA3B06">
      <w:pPr>
        <w:pStyle w:val="BodyText"/>
        <w:suppressAutoHyphens/>
        <w:rPr>
          <w:rFonts w:asciiTheme="minorHAnsi" w:hAnsiTheme="minorHAnsi" w:cs="Calibri"/>
        </w:rPr>
      </w:pPr>
      <w:bookmarkStart w:id="63" w:name="_Toc230770573"/>
      <w:r w:rsidRPr="00E45723">
        <w:rPr>
          <w:rFonts w:asciiTheme="minorHAnsi" w:hAnsiTheme="minorHAnsi" w:cs="Calibri"/>
        </w:rPr>
        <w:t>A Társaság jelenleg vizsgálja és fejleszti a további orvoslási lehetőségeket, ideértve adott esetben a kompenzációs mechanizmusok kialakítását is, annak érdekében, hogy az esetleges negatív hatások kezelése teljeskörűen és arányosan történjen.</w:t>
      </w:r>
      <w:bookmarkEnd w:id="63"/>
    </w:p>
    <w:p w14:paraId="63CA2791" w14:textId="77777777" w:rsidR="00BD159D" w:rsidRPr="00E45723" w:rsidRDefault="00FD7771" w:rsidP="00EA3B06">
      <w:pPr>
        <w:pStyle w:val="BodyText"/>
        <w:rPr>
          <w:rFonts w:asciiTheme="minorHAnsi" w:hAnsiTheme="minorHAnsi" w:cs="Calibri"/>
        </w:rPr>
      </w:pPr>
      <w:bookmarkStart w:id="64" w:name="_Toc230770574"/>
      <w:r w:rsidRPr="00E45723">
        <w:rPr>
          <w:rFonts w:asciiTheme="minorHAnsi" w:hAnsiTheme="minorHAnsi" w:cs="Calibri"/>
          <w:b/>
          <w:bCs/>
        </w:rPr>
        <w:t xml:space="preserve">Monitoring és megelőzés: </w:t>
      </w:r>
      <w:r w:rsidRPr="00E45723">
        <w:rPr>
          <w:rFonts w:asciiTheme="minorHAnsi" w:hAnsiTheme="minorHAnsi" w:cs="Calibri"/>
        </w:rPr>
        <w:t>A bejelentések és azok kezelése dokumentálásra kerül. A Társaság rendszeresen értékeli a panaszkezelési és orvoslási mechanizmusok működésének hatékonyságát, és szükség esetén fejlesztéseket hajt végre az ismétlődés megelőzése érdekében, elsősorban a vonatkozó, tanúsított ISO irányítási rendszerek által is megkövetelt belső auditok során.</w:t>
      </w:r>
      <w:bookmarkEnd w:id="64"/>
    </w:p>
    <w:p w14:paraId="5D5CDBFC" w14:textId="77777777" w:rsidR="00BD159D" w:rsidRPr="00E45723" w:rsidRDefault="00FD7771" w:rsidP="00EA3B06">
      <w:pPr>
        <w:pStyle w:val="BodyText"/>
        <w:suppressAutoHyphens/>
        <w:rPr>
          <w:rFonts w:asciiTheme="minorHAnsi" w:hAnsiTheme="minorHAnsi" w:cs="Calibri"/>
          <w:b/>
        </w:rPr>
      </w:pPr>
      <w:bookmarkStart w:id="65" w:name="_Toc230770575"/>
      <w:r w:rsidRPr="00E45723">
        <w:rPr>
          <w:rFonts w:asciiTheme="minorHAnsi" w:hAnsiTheme="minorHAnsi" w:cs="Calibri"/>
          <w:b/>
        </w:rPr>
        <w:t>A saját munkavállalók számára biztosított panasz- és jelzési csatornák</w:t>
      </w:r>
      <w:bookmarkEnd w:id="65"/>
    </w:p>
    <w:p w14:paraId="4E704B7B"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S1 bek. 32 b)] A LIWO Cégcsoport több csatornát biztosít annak érdekében, hogy a saját munkavállalók közvetlenül jelezhessék aggályaikat, panaszaikat vagy észrevételeiket, és azok kivizsgálásra, illetve kezelésre kerüljenek.</w:t>
      </w:r>
    </w:p>
    <w:p w14:paraId="450C8DF7" w14:textId="67F09D35" w:rsidR="00BD159D" w:rsidRPr="00E45723" w:rsidRDefault="00FD7771" w:rsidP="00EA3B06">
      <w:pPr>
        <w:pStyle w:val="BodyText"/>
        <w:rPr>
          <w:rFonts w:asciiTheme="minorHAnsi" w:hAnsiTheme="minorHAnsi" w:cs="Calibri"/>
        </w:rPr>
      </w:pPr>
      <w:r w:rsidRPr="00E45723">
        <w:rPr>
          <w:rFonts w:asciiTheme="minorHAnsi" w:hAnsiTheme="minorHAnsi" w:cs="Calibri"/>
        </w:rPr>
        <w:t>A Társaság anonim bejelentési lehetőséget biztosít a Whisly alapú visszaélés-bejelentési rendszeren keresztül (</w:t>
      </w:r>
      <w:hyperlink r:id="rId13" w:tooltip="https://liwo.whisly.io/reporting/main-page%20/" w:history="1">
        <w:r w:rsidRPr="00E45723">
          <w:rPr>
            <w:rStyle w:val="Hyperlink"/>
            <w:rFonts w:asciiTheme="minorHAnsi" w:hAnsiTheme="minorHAnsi" w:cs="Calibri"/>
            <w:color w:val="3D8A7F"/>
          </w:rPr>
          <w:t>https://liwo.whisly.io/reporting/main-page</w:t>
        </w:r>
      </w:hyperlink>
      <w:r w:rsidRPr="00E45723">
        <w:rPr>
          <w:rFonts w:asciiTheme="minorHAnsi" w:hAnsiTheme="minorHAnsi" w:cs="Calibri"/>
        </w:rPr>
        <w:t xml:space="preserve"> </w:t>
      </w:r>
      <w:r w:rsidR="0013302D" w:rsidRPr="00E45723">
        <w:rPr>
          <w:rFonts w:asciiTheme="minorHAnsi" w:hAnsiTheme="minorHAnsi" w:cs="Calibri"/>
        </w:rPr>
        <w:t xml:space="preserve">/ </w:t>
      </w:r>
      <w:hyperlink r:id="rId14" w:history="1">
        <w:r w:rsidRPr="00E45723">
          <w:rPr>
            <w:rStyle w:val="Hyperlink"/>
            <w:rFonts w:asciiTheme="minorHAnsi" w:hAnsiTheme="minorHAnsi" w:cs="Calibri"/>
            <w:color w:val="3D8A7F"/>
          </w:rPr>
          <w:t>https://bplusn.whisly.io/reporting/main-page</w:t>
        </w:r>
      </w:hyperlink>
      <w:r w:rsidRPr="00E45723">
        <w:rPr>
          <w:rFonts w:asciiTheme="minorHAnsi" w:hAnsiTheme="minorHAnsi" w:cs="Calibri"/>
        </w:rPr>
        <w:t>), amely lehetővé teszi etikai, megfelelőségi, munkajogi vagy egyéb jogsértéssel kapcsolatos aggályok biztonságos és bizalmas bejelentését. A bejelentéseket a Compliance terület vizsgálja ki a vonatkozó belső szabályozások szerint, biztosítva a bejelentő védelmét és a retorzió tilalmát. A munkavállalók számára elérhető továbbá az EHS Service Desk rendszer (</w:t>
      </w:r>
      <w:hyperlink r:id="rId15" w:tooltip="https://servicedesk.bnref.hu/plugins/servlet/desk" w:history="1">
        <w:r w:rsidRPr="00E45723">
          <w:rPr>
            <w:rStyle w:val="Hyperlink"/>
            <w:rFonts w:asciiTheme="minorHAnsi" w:hAnsiTheme="minorHAnsi" w:cs="Calibri"/>
            <w:color w:val="3D8A7F"/>
          </w:rPr>
          <w:t>https://servicedesk.bnref.hu/plugins/servlet/desk</w:t>
        </w:r>
      </w:hyperlink>
      <w:r w:rsidRPr="00E45723">
        <w:rPr>
          <w:rFonts w:asciiTheme="minorHAnsi" w:hAnsiTheme="minorHAnsi" w:cs="Calibri"/>
        </w:rPr>
        <w:t>), amelyen keresztül munkavédelmi, egészségvédelmi és környezetvédelmi kérdések, kockázatok vagy incidensek jelenthetők. A bejelentések az illetékes szakmai területhez kerülnek továbbításra, ahol azok nyomon követése és kezelése dokumentált módon történik.</w:t>
      </w:r>
    </w:p>
    <w:p w14:paraId="0DAF263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csatornák célja annak biztosítása, hogy a munkavállalók biztonságos, hozzáférhető és strukturált módon jelezhessék aggályaikat, és azok megfelelő kivizsgálásban és – szükség esetén – korrekciós intézkedésben részesüljenek.</w:t>
      </w:r>
    </w:p>
    <w:p w14:paraId="135A75AF" w14:textId="77777777" w:rsidR="00BD159D" w:rsidRPr="00E45723" w:rsidRDefault="00FD7771" w:rsidP="00EA3B06">
      <w:pPr>
        <w:pStyle w:val="BodyText"/>
        <w:suppressAutoHyphens/>
        <w:rPr>
          <w:rFonts w:asciiTheme="minorHAnsi" w:hAnsiTheme="minorHAnsi" w:cs="Calibri"/>
          <w:b/>
        </w:rPr>
      </w:pPr>
      <w:bookmarkStart w:id="66" w:name="_Toc230770576"/>
      <w:r w:rsidRPr="00E45723">
        <w:rPr>
          <w:rFonts w:asciiTheme="minorHAnsi" w:hAnsiTheme="minorHAnsi" w:cs="Calibri"/>
          <w:b/>
        </w:rPr>
        <w:t>A bejelentési csatornák működését biztosító folyamatok</w:t>
      </w:r>
      <w:bookmarkEnd w:id="66"/>
    </w:p>
    <w:p w14:paraId="106182A9"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S1 bek. 32 d)] A LIWO Cégcsoport a saját munkavállalók számára biztosított bejelentési és panaszkezelési csatornák működését formalizált belső szabályozásokon keresztül támogatja és követeli meg.</w:t>
      </w:r>
    </w:p>
    <w:p w14:paraId="07DE36D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Visszaélés-bejelentési Szabályzat (SZ_29_COMP) meghatározza az etikai, megfelelőségi és egyéb jogsértési gyanúval kapcsolatos bejelentések fogadásának, kivizsgálásának és lezárásának részletes eljárásrendjét. A szabályzat rögzíti a felelősségi és hatásköri kereteket, a bejelentések bizalmas kezelésének követelményeit, az anonimitás biztosításának lehetőségét, valamint a bejelentők retorzióval szembeni védelmét. A bejelentések kivizsgálása a kijelölt megfelelőségi (compliance) funkció keretében történik, dokumentált és nyomon követhető módon.</w:t>
      </w:r>
    </w:p>
    <w:p w14:paraId="72EA4E0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lastRenderedPageBreak/>
        <w:t>A Munkavédelmi Szabályzat (SZ_26_EHS) meghatározza a munkavédelmi és egészségvédelmi kockázatok bejelentésének, kivizsgálásának és kezelésének folyamatát, ideértve a rendkívüli események, balesetek és veszélyhelyzetek jelentését is. A szabályzat biztosítja, hogy a munkavállalók strukturált módon jelezhessék az egészségüket és biztonságukat érintő aggályokat, és hogy azok kivizsgálása, valamint a szükséges korrekciós intézkedések megtétele megtörténjen.</w:t>
      </w:r>
    </w:p>
    <w:p w14:paraId="21BFB19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fenti szabályozások együttesen garantálják a bejelentési csatornák folyamatos rendelkezésre állását, a bejelentések megfelelő kezelését, valamint a munkavállalók biztonságos és bizalmas hozzáférését a panaszmechanizmusokhoz.</w:t>
      </w:r>
    </w:p>
    <w:p w14:paraId="520DBCD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felvetett és kezelt problémák nyomon követése</w:t>
      </w:r>
    </w:p>
    <w:p w14:paraId="7413222E" w14:textId="6F0F5AC9" w:rsidR="00BD159D" w:rsidRPr="00E45723" w:rsidRDefault="00FD7771">
      <w:pPr>
        <w:spacing w:before="120" w:after="0"/>
        <w:rPr>
          <w:rFonts w:asciiTheme="minorHAnsi" w:hAnsiTheme="minorHAnsi" w:cs="Calibri"/>
        </w:rPr>
      </w:pPr>
      <w:r w:rsidRPr="00E45723">
        <w:rPr>
          <w:rFonts w:asciiTheme="minorHAnsi" w:hAnsiTheme="minorHAnsi" w:cs="Calibri"/>
        </w:rPr>
        <w:t>[ESRS S1 bek. 32 e)] A bejelentési csatornákon érkező ügyek dokumentált, nyomon követhető módon kerülnek kezelésre. A Whisly visszaélés-bejelentési rendszer elektronikus felülete biztosítja a bejelentések regisztrálását, státuszkövetését és archiválását. A</w:t>
      </w:r>
      <w:r w:rsidR="0013302D" w:rsidRPr="00E45723">
        <w:rPr>
          <w:rFonts w:asciiTheme="minorHAnsi" w:hAnsiTheme="minorHAnsi" w:cs="Calibri"/>
        </w:rPr>
        <w:t xml:space="preserve"> </w:t>
      </w:r>
      <w:r w:rsidRPr="00E45723">
        <w:rPr>
          <w:rFonts w:asciiTheme="minorHAnsi" w:hAnsiTheme="minorHAnsi" w:cs="Calibri"/>
        </w:rPr>
        <w:t>bejelentések kivizsgálása a kijelölt megfelelőségi funkció keretében történik, az eljárásrendben meghatározott határidők és felelősségi körök mentén.</w:t>
      </w:r>
    </w:p>
    <w:p w14:paraId="1D132BE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EHS Service Desk rendszeren keresztül érkező bejelentések szintén elektronikus nyilvántartásban kerülnek rögzítésre, ahol azok státusza, a megtett intézkedések és a lezárás dokumentálásra kerül.</w:t>
      </w:r>
    </w:p>
    <w:p w14:paraId="0387499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csatornák működésének megfelelőségét a belső szabályozások rendszeres felülvizsgálata, valamint a belső ellenőrzési és auditfolyamatok támogatják. A Társaság jelenleg nem alkalmaz külön, számszerűsített hatékonysági mutatókat a csatornák eredményességének mérésére, ugyanakkor a bejelentések kezelési folyamata és dokumentáltsága biztosítja az átláthatóságot és az elszámoltathatóságot.</w:t>
      </w:r>
    </w:p>
    <w:p w14:paraId="781F843D" w14:textId="77777777" w:rsidR="00BD159D" w:rsidRPr="00E45723" w:rsidRDefault="00FD7771" w:rsidP="0013302D">
      <w:pPr>
        <w:pStyle w:val="ListParagraph"/>
        <w:ind w:left="0"/>
        <w:rPr>
          <w:rFonts w:asciiTheme="minorHAnsi" w:hAnsiTheme="minorHAnsi" w:cs="Calibri"/>
          <w:bCs/>
        </w:rPr>
      </w:pPr>
      <w:r w:rsidRPr="00E45723">
        <w:rPr>
          <w:rFonts w:asciiTheme="minorHAnsi" w:hAnsiTheme="minorHAnsi" w:cs="Calibri"/>
          <w:bCs/>
        </w:rPr>
        <w:t>[ESRS S1 bek. 33] A vállalkozás felmérte, hogy saját munkaerője tisztában van-e a struktúrákkal vagy folyamatokkal, és megbízik-e bennük, mint aggályaik vagy igényeik felvetésének és megválaszolásának módjában.</w:t>
      </w:r>
      <w:r w:rsidRPr="00E45723">
        <w:rPr>
          <w:rStyle w:val="BadgeCharacter"/>
          <w:rFonts w:asciiTheme="minorHAnsi" w:hAnsiTheme="minorHAnsi" w:cs="Calibri"/>
          <w:bCs/>
        </w:rPr>
        <w:t xml:space="preserve"> </w:t>
      </w:r>
    </w:p>
    <w:p w14:paraId="6C211C8E" w14:textId="77777777" w:rsidR="00BD159D" w:rsidRPr="00E45723" w:rsidRDefault="00FD7771">
      <w:pPr>
        <w:suppressAutoHyphens/>
        <w:spacing w:before="120" w:after="0"/>
        <w:rPr>
          <w:rFonts w:asciiTheme="minorHAnsi" w:hAnsiTheme="minorHAnsi" w:cs="Calibri"/>
          <w:b/>
        </w:rPr>
      </w:pPr>
      <w:r w:rsidRPr="00E45723">
        <w:rPr>
          <w:rFonts w:asciiTheme="minorHAnsi" w:hAnsiTheme="minorHAnsi" w:cs="Calibri"/>
          <w:b/>
        </w:rPr>
        <w:t xml:space="preserve">Annak bemutatása, hogy a munkavállalók mennyire ismerik és mennyire bíznak azokban a folyamatokban, amelyeken keresztül aggályaikat vagy igényeiket jelezhetik </w:t>
      </w:r>
    </w:p>
    <w:p w14:paraId="4D51724A" w14:textId="77777777" w:rsidR="00BD159D" w:rsidRPr="00E45723" w:rsidRDefault="00FD7771">
      <w:pPr>
        <w:spacing w:before="120" w:after="0"/>
        <w:rPr>
          <w:rFonts w:asciiTheme="minorHAnsi" w:hAnsiTheme="minorHAnsi" w:cs="Calibri"/>
        </w:rPr>
      </w:pPr>
      <w:r w:rsidRPr="00E45723">
        <w:rPr>
          <w:rFonts w:asciiTheme="minorHAnsi" w:hAnsiTheme="minorHAnsi" w:cs="Calibri"/>
        </w:rPr>
        <w:t>[ESRS S1 bek. 33] A LIWO Cégcsoport több eszközzel biztosítja, hogy a saját munkavállalók tisztában legyenek a rendelkezésre álló bejelentési csatornákkal, és azokat biztonságosan igénybe vehessék. A Whisly visszaélés-bejelentési rendszer elérhetősége valamennyi munkavállaló bérjegyzékén feltüntetésre kerül, ezáltal rendszeres és közvetlen tájékoztatást biztosítva a bejelentési lehetőségről. Ez a megoldás garantálja, hogy a csatorna elérhetősége minden munkavállaló számára folyamatosan hozzáférhető információ marad.</w:t>
      </w:r>
    </w:p>
    <w:p w14:paraId="489A60B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EHS Service Desk elérhetőségét a Társaság belső kommunikációs csatornákon keresztül biztosítja, ideértve a belső hálózati felületeket és a munkavállalók számára elérhető tájékoztató anyagokat.</w:t>
      </w:r>
    </w:p>
    <w:p w14:paraId="657D328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bejelentési csatornák anonimitást biztosító jellege, valamint a belső szabályzatokban rögzített retorziótilalom hozzájárul a munkavállalók bizalmának erősítéséhez és a csatornák biztonságos igénybevételéhez.</w:t>
      </w:r>
    </w:p>
    <w:p w14:paraId="0F08746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tudatosság és a bizalom tényleges érvényesülését a Cégcsoport több forrásból értékeli és visszaméri, különösen:</w:t>
      </w:r>
    </w:p>
    <w:p w14:paraId="5265996F" w14:textId="77777777" w:rsidR="00BD159D" w:rsidRPr="00E45723" w:rsidRDefault="00FD7771" w:rsidP="0013302D">
      <w:pPr>
        <w:pStyle w:val="BodyText"/>
        <w:numPr>
          <w:ilvl w:val="0"/>
          <w:numId w:val="36"/>
        </w:numPr>
        <w:suppressAutoHyphens/>
        <w:rPr>
          <w:rFonts w:asciiTheme="minorHAnsi" w:hAnsiTheme="minorHAnsi" w:cs="Calibri"/>
        </w:rPr>
      </w:pPr>
      <w:r w:rsidRPr="00E45723">
        <w:rPr>
          <w:rFonts w:asciiTheme="minorHAnsi" w:hAnsiTheme="minorHAnsi" w:cs="Calibri"/>
          <w:b/>
          <w:bCs/>
        </w:rPr>
        <w:t xml:space="preserve">Visszajelzés-alapú mérés: </w:t>
      </w:r>
      <w:r w:rsidRPr="00E45723">
        <w:rPr>
          <w:rFonts w:asciiTheme="minorHAnsi" w:hAnsiTheme="minorHAnsi" w:cs="Calibri"/>
        </w:rPr>
        <w:t xml:space="preserve">munkavállalói felmérések és/vagy célzott kérdésblokkok (pl. „ismeri-e a csatornákat”, „biztonságosnak érzi-e a használatát”, „van-e félelem a </w:t>
      </w:r>
      <w:r w:rsidRPr="00E45723">
        <w:rPr>
          <w:rFonts w:asciiTheme="minorHAnsi" w:hAnsiTheme="minorHAnsi" w:cs="Calibri"/>
        </w:rPr>
        <w:lastRenderedPageBreak/>
        <w:t>retorziótól”), és a beérkező kvalitatív visszajelzések (HR/EHS/vezetői csatornák) összegzése.</w:t>
      </w:r>
    </w:p>
    <w:p w14:paraId="1EBC1C41" w14:textId="77777777" w:rsidR="00BD159D" w:rsidRPr="00E45723" w:rsidRDefault="00FD7771" w:rsidP="0013302D">
      <w:pPr>
        <w:pStyle w:val="BodyText"/>
        <w:numPr>
          <w:ilvl w:val="0"/>
          <w:numId w:val="36"/>
        </w:numPr>
        <w:rPr>
          <w:rFonts w:asciiTheme="minorHAnsi" w:hAnsiTheme="minorHAnsi" w:cs="Calibri"/>
        </w:rPr>
      </w:pPr>
      <w:r w:rsidRPr="00E45723">
        <w:rPr>
          <w:rFonts w:asciiTheme="minorHAnsi" w:hAnsiTheme="minorHAnsi" w:cs="Calibri"/>
          <w:b/>
          <w:bCs/>
        </w:rPr>
        <w:t>Képzések és kommunikációs elérés mérése:</w:t>
      </w:r>
      <w:r w:rsidRPr="00E45723">
        <w:rPr>
          <w:rFonts w:asciiTheme="minorHAnsi" w:hAnsiTheme="minorHAnsi" w:cs="Calibri"/>
        </w:rPr>
        <w:t xml:space="preserve"> a bejelentési csatornákhoz kapcsolódó tájékoztatások és oktatások elérésének, lefedettségének nyomon követése (pl. belépéskori tájékoztatás, ismétlő üzenetek), szükség esetén rövid tudásellenőrzéssel.</w:t>
      </w:r>
    </w:p>
    <w:p w14:paraId="3194B6CA" w14:textId="77777777" w:rsidR="00BD159D" w:rsidRPr="00E45723" w:rsidRDefault="00FD7771" w:rsidP="0013302D">
      <w:pPr>
        <w:pStyle w:val="BodyText"/>
        <w:numPr>
          <w:ilvl w:val="0"/>
          <w:numId w:val="36"/>
        </w:numPr>
        <w:rPr>
          <w:rFonts w:asciiTheme="minorHAnsi" w:hAnsiTheme="minorHAnsi" w:cs="Calibri"/>
        </w:rPr>
      </w:pPr>
      <w:r w:rsidRPr="00E45723">
        <w:rPr>
          <w:rFonts w:asciiTheme="minorHAnsi" w:hAnsiTheme="minorHAnsi" w:cs="Calibri"/>
          <w:b/>
          <w:bCs/>
        </w:rPr>
        <w:t>Csatornahasználati mintázatok elemzése:</w:t>
      </w:r>
      <w:r w:rsidRPr="00E45723">
        <w:rPr>
          <w:rFonts w:asciiTheme="minorHAnsi" w:hAnsiTheme="minorHAnsi" w:cs="Calibri"/>
        </w:rPr>
        <w:t xml:space="preserve"> a Whisly/EHS Service Desk használatából származó aggregált adatok alapján (pl. bejelentések száma és típusa, anonim bejelentések aránya, visszakérdezések aránya, átfutási idők), hogy a csatorna valóban működőképesnek és elérhetőnek bizonyul-e a gyakorlatban.</w:t>
      </w:r>
    </w:p>
    <w:p w14:paraId="313540AB" w14:textId="77777777" w:rsidR="00BD159D" w:rsidRPr="00E45723" w:rsidRDefault="00FD7771" w:rsidP="0013302D">
      <w:pPr>
        <w:pStyle w:val="BodyText"/>
        <w:numPr>
          <w:ilvl w:val="0"/>
          <w:numId w:val="36"/>
        </w:numPr>
        <w:suppressAutoHyphens/>
        <w:rPr>
          <w:rFonts w:asciiTheme="minorHAnsi" w:hAnsiTheme="minorHAnsi" w:cs="Calibri"/>
        </w:rPr>
      </w:pPr>
      <w:r w:rsidRPr="00E45723">
        <w:rPr>
          <w:rFonts w:asciiTheme="minorHAnsi" w:hAnsiTheme="minorHAnsi" w:cs="Calibri"/>
          <w:b/>
          <w:bCs/>
        </w:rPr>
        <w:t>Retorzió-kockázat kontrollja:</w:t>
      </w:r>
      <w:r w:rsidRPr="00E45723">
        <w:rPr>
          <w:rFonts w:asciiTheme="minorHAnsi" w:hAnsiTheme="minorHAnsi" w:cs="Calibri"/>
        </w:rPr>
        <w:t xml:space="preserve"> annak figyelése, hogy felmerül-e megtorlásgyanú (akár újabb bejelentés formájában), és szükség esetén a védelem/korrekciós intézkedések megerősítése.</w:t>
      </w:r>
    </w:p>
    <w:p w14:paraId="62FEBF6E" w14:textId="77777777" w:rsidR="00BD159D" w:rsidRPr="00E45723" w:rsidRDefault="00FD7771" w:rsidP="0013302D">
      <w:pPr>
        <w:pStyle w:val="BodyText"/>
        <w:numPr>
          <w:ilvl w:val="0"/>
          <w:numId w:val="36"/>
        </w:numPr>
        <w:suppressAutoHyphens/>
        <w:rPr>
          <w:rFonts w:asciiTheme="minorHAnsi" w:hAnsiTheme="minorHAnsi" w:cs="Calibri"/>
        </w:rPr>
      </w:pPr>
      <w:r w:rsidRPr="00E45723">
        <w:rPr>
          <w:rFonts w:asciiTheme="minorHAnsi" w:hAnsiTheme="minorHAnsi" w:cs="Calibri"/>
          <w:b/>
          <w:bCs/>
        </w:rPr>
        <w:t>Visszacsatolás és fejlesztés:</w:t>
      </w:r>
      <w:r w:rsidRPr="00E45723">
        <w:rPr>
          <w:rFonts w:asciiTheme="minorHAnsi" w:hAnsiTheme="minorHAnsi" w:cs="Calibri"/>
        </w:rPr>
        <w:t xml:space="preserve"> a tapasztalatok alapján a folyamatok, kommunikációs anyagok és képzések célzott frissítése, hogy a tudatosság és a bizalom időben is fenntartható legyen.</w:t>
      </w:r>
    </w:p>
    <w:p w14:paraId="1DBD5F0B" w14:textId="77777777" w:rsidR="00BD159D" w:rsidRPr="00E45723" w:rsidRDefault="00FD7771" w:rsidP="0013302D">
      <w:pPr>
        <w:pStyle w:val="ListParagraph"/>
        <w:ind w:left="0"/>
        <w:rPr>
          <w:rFonts w:asciiTheme="minorHAnsi" w:hAnsiTheme="minorHAnsi" w:cs="Calibri"/>
          <w:bCs/>
        </w:rPr>
      </w:pPr>
      <w:r w:rsidRPr="00E45723">
        <w:rPr>
          <w:rFonts w:asciiTheme="minorHAnsi" w:hAnsiTheme="minorHAnsi" w:cs="Calibri"/>
          <w:bCs/>
        </w:rPr>
        <w:t>[ESRS S1 bek. 33] A LIWO FM a Visszaélés-bejelentési Szabályzatban és a Whisly visszaélés-bejelentési rendszeren keresztül biztosítja a megtorlással szembeni védelemre vonatkozó elveket azon személyek számára, akik aggályokat, megfelelőségi vagy etikai jellegű incidenseket jelentenek. A rendszer lehetőséget biztosít a bejelentések bizalmas kezelésére, valamint támogatja a bejelentők védelmét a hátrányos megkülönböztetéssel vagy megtorlással szemben.</w:t>
      </w:r>
      <w:r w:rsidRPr="00E45723">
        <w:rPr>
          <w:rStyle w:val="BadgeCharacter"/>
          <w:rFonts w:asciiTheme="minorHAnsi" w:hAnsiTheme="minorHAnsi" w:cs="Calibri"/>
          <w:bCs/>
        </w:rPr>
        <w:t xml:space="preserve"> </w:t>
      </w:r>
    </w:p>
    <w:p w14:paraId="04F3EC36" w14:textId="77777777" w:rsidR="00BD159D" w:rsidRPr="00E45723" w:rsidRDefault="00FD7771" w:rsidP="00EA3B06">
      <w:pPr>
        <w:pStyle w:val="Heading3"/>
        <w:suppressAutoHyphens/>
        <w:rPr>
          <w:rFonts w:asciiTheme="minorHAnsi" w:hAnsiTheme="minorHAnsi" w:cs="Calibri"/>
        </w:rPr>
      </w:pPr>
      <w:bookmarkStart w:id="67" w:name="_Toc239834944"/>
      <w:r w:rsidRPr="00E45723">
        <w:rPr>
          <w:rFonts w:asciiTheme="minorHAnsi" w:hAnsiTheme="minorHAnsi" w:cs="Calibri"/>
        </w:rPr>
        <w:t>S1-4 Intézkedések a saját munkaerőre gyakorolt lényeges hatásokkal kapcsolatban, valamint a lényeges kockázatok és lehetőségek kezelése</w:t>
      </w:r>
      <w:bookmarkEnd w:id="67"/>
    </w:p>
    <w:p w14:paraId="1CB98479" w14:textId="05F900BA"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 xml:space="preserve">[ESRS 2 bek. 68 a)] A LIWO FM a saját munkaerővel összefüggő lényeges kockázatok mérséklése érdekében több célzott intézkedést alkalmaz. A Társaság a bérezési és megtartási kockázatok kezelése érdekében rendszeres jövedelemfelmérést és bérpiaci összehasonlítást végez, amelyek eredményeit a bérszintek meghatározása és a toborzási döntések során is figyelembe veszi. </w:t>
      </w:r>
      <w:r w:rsidR="0013302D" w:rsidRPr="00E45723">
        <w:rPr>
          <w:rFonts w:asciiTheme="minorHAnsi" w:hAnsiTheme="minorHAnsi" w:cs="Calibri"/>
        </w:rPr>
        <w:br/>
      </w:r>
      <w:r w:rsidRPr="00E45723">
        <w:rPr>
          <w:rFonts w:asciiTheme="minorHAnsi" w:hAnsiTheme="minorHAnsi" w:cs="Calibri"/>
        </w:rPr>
        <w:t>A munkavállalói megtartást és elköteleződést a szabadidős, közösségi és vállalati programok szervezésével is támogatja. Emellett tanulmányi szerződések, tréningek és továbbképzések révén folyamatosan fejleszti a munkavállalók kompetenciáit. Ezen intézkedések a fluktuáció, a munkaerőhiány, valamint a termelékenységet és a szolgáltatási színvonalat érintő kockázatok mérséklését szolgálják.</w:t>
      </w:r>
    </w:p>
    <w:p w14:paraId="141BD9E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FM a saját munkaerejével összefüggő főbb kockázatok mérséklése érdekében több, célzott intézkedést vezetett be. A nem megfelelő bérezésből és juttatási rendszerből fakadó kockázatok – például a jelentős fluktuáció vagy a munkaerőhiány – csökkentése érdekében a Társaság rendszeres jövedelemfelmérést és bérpiaci szintű bérellenőrzést alkalmaz. Ennek eredményeit figyelembe veszi mind az új munkavállalók kiválasztásakor, mind a meglévő állomány bérszintjének meghatározásakor.</w:t>
      </w:r>
    </w:p>
    <w:p w14:paraId="0B83DC8C" w14:textId="3C9D888E"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munka–magánélet egyensúlyának elősegítése érdekében a Társaság támogatja a szabadidős és csapatépítő programokat, továbbá évente vállalati rendezvényeket szervez. Tanulmányi szerződések, valamint tréningek és továbbképzések révén folyamatosan fejleszti munka</w:t>
      </w:r>
      <w:r w:rsidR="0013302D" w:rsidRPr="00E45723">
        <w:rPr>
          <w:rFonts w:asciiTheme="minorHAnsi" w:hAnsiTheme="minorHAnsi" w:cs="Calibri"/>
        </w:rPr>
        <w:t>-</w:t>
      </w:r>
      <w:r w:rsidRPr="00E45723">
        <w:rPr>
          <w:rFonts w:asciiTheme="minorHAnsi" w:hAnsiTheme="minorHAnsi" w:cs="Calibri"/>
        </w:rPr>
        <w:t>vállalóinak kompetenciáit, növelve ezzel versenyképességét.</w:t>
      </w:r>
    </w:p>
    <w:p w14:paraId="5CB0A7F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felsorolt intézkedések összességében mérséklik az olyan kockázatokat, mint a nem megfelelő termelékenység vagy szolgáltatási színvonal, a tehetséges munkaerő elvesztése, a magas fluktuáció és az ebből eredő toborzási, betanítási költségek, illetve a munkaerőhiány kialakulása.</w:t>
      </w:r>
    </w:p>
    <w:p w14:paraId="0028CF62"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A főbb intézkedések leírása</w:t>
      </w:r>
    </w:p>
    <w:p w14:paraId="38A88080" w14:textId="77777777" w:rsidR="00BD159D" w:rsidRPr="00E45723" w:rsidRDefault="00FD7771">
      <w:pPr>
        <w:spacing w:after="120"/>
        <w:rPr>
          <w:rFonts w:asciiTheme="minorHAnsi" w:hAnsiTheme="minorHAnsi" w:cs="Calibri"/>
        </w:rPr>
      </w:pPr>
      <w:r w:rsidRPr="00E45723">
        <w:rPr>
          <w:rFonts w:asciiTheme="minorHAnsi" w:hAnsiTheme="minorHAnsi" w:cs="Calibri"/>
        </w:rPr>
        <w:t>[ESRS 2 bek. 68 b,c )] A LIWO FM intézkedései a teljes saját munkaerőre kiterjednek, és céljuk a munkavállalókat érintő hatások kezelése, a kockázatok csökkentése és a jogorvoslati lehetőségek biztosítása. Az intézkedések magukban foglalják a vonatkozó szabályzatok és folyamatok alkalmazását, a munkavállalói visszajelzések és bejelentések kezelését, a munkavédelmi és megfelelőségi követelmények érvényesítését, valamint a munkavállalók tájékoztatását és képzését. Az intézkedések végrehajtása folyamatos tevékenységként valósul meg a LIWO FM működésének részeként.</w:t>
      </w:r>
    </w:p>
    <w:p w14:paraId="3356743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tényleges anyagi hatások által károsultak jogorvoslatának biztosítása, az abban való együttműködés vagy annak támogatása érdekében megtett főbb intézkedések és azok eredményeinek leírása</w:t>
      </w:r>
    </w:p>
    <w:p w14:paraId="16B41474"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 xml:space="preserve">[ESRS 2 bek. 68 d)] A társaság a ténylegesen bekövetkezett, lényeges (anyagilag jelentős) negatív hatások által érintettek jogorvoslatát és annak elérését elsősorban a belső </w:t>
      </w:r>
      <w:r w:rsidRPr="00E45723">
        <w:rPr>
          <w:rStyle w:val="Strong"/>
          <w:rFonts w:asciiTheme="minorHAnsi" w:hAnsiTheme="minorHAnsi" w:cs="Calibri"/>
          <w:b w:val="0"/>
          <w:bCs w:val="0"/>
        </w:rPr>
        <w:t>visszaélés-bejelentési és kivizsgálási mechanizmuson</w:t>
      </w:r>
      <w:r w:rsidRPr="00E45723">
        <w:rPr>
          <w:rFonts w:asciiTheme="minorHAnsi" w:hAnsiTheme="minorHAnsi" w:cs="Calibri"/>
        </w:rPr>
        <w:t xml:space="preserve"> keresztül biztosítja. A rendszer célja, hogy a sérelmekről szóló jelzések biztonságosan, akár anonim módon is beérkezzenek, a bejelentő személyazonossága védett legyen, és a megtorlás tilalma ténylegesen érvényesüljön. A vizsgálati eljárás dokumentált: a bejelentés kivizsgálására határidők vonatkoznak (visszaigazolás, vizsgálati határidő és indokolt hosszabbítás), továbbá a bejelentett személy tájékoztatása és a tisztességes eljárás garanciái is rögzítettek.</w:t>
      </w:r>
    </w:p>
    <w:p w14:paraId="158176C4" w14:textId="77777777" w:rsidR="00BD159D" w:rsidRPr="00E45723" w:rsidRDefault="00FD7771">
      <w:pPr>
        <w:spacing w:before="120" w:after="0"/>
        <w:rPr>
          <w:rFonts w:asciiTheme="minorHAnsi" w:hAnsiTheme="minorHAnsi" w:cs="Calibri"/>
        </w:rPr>
      </w:pPr>
      <w:r w:rsidRPr="00E45723">
        <w:rPr>
          <w:rFonts w:asciiTheme="minorHAnsi" w:hAnsiTheme="minorHAnsi" w:cs="Calibri"/>
        </w:rPr>
        <w:t>A kivizsgálás lezárásakor vizsgálati jelentés készül, amely tartalmazza a tényállást, az elvégzett bizonyítási lépéseket, az (előzetes) intézkedéseket és azok eredményeit, valamint az ügy lezárásához szükséges további intézkedésekre vonatkozó javaslatokat. A jogorvoslat biztosítására/elősegítésére a Társaság a feltárt esettől függően intézkedhet a problémák okainak és következményeinek megszüntetéséről, az okozott sérelem orvoslásáról, fegyelmi vagy etikai eljárás kezdeményezéséről, illetve indokolt esetben hatósági (büntető/szabálysértési) eljárás megindításáról, továbbá a kötelezettségszegés súlyával arányos munkajogi jogkövetkezmények alkalmazásáról. A megállapítások alapján elrendelt intézkedések végrehajtása és visszamérése a belső kontroll- és (szükség esetén) akcióterv-logika mentén történik annak érdekében, hogy a helyreállítás mellett megelőző hatás is érvényesüljön (ismétlődés kockázatának csökkentése).</w:t>
      </w:r>
    </w:p>
    <w:p w14:paraId="22B601C4" w14:textId="77777777" w:rsidR="00BD159D" w:rsidRPr="00E45723" w:rsidRDefault="00FD7771" w:rsidP="0013302D">
      <w:pPr>
        <w:pStyle w:val="Heading3"/>
        <w:suppressAutoHyphens/>
        <w:spacing w:after="240"/>
        <w:rPr>
          <w:rFonts w:asciiTheme="minorHAnsi" w:hAnsiTheme="minorHAnsi" w:cs="Calibri"/>
        </w:rPr>
      </w:pPr>
      <w:bookmarkStart w:id="68" w:name="_Toc239834945"/>
      <w:r w:rsidRPr="00E45723">
        <w:rPr>
          <w:rFonts w:asciiTheme="minorHAnsi" w:hAnsiTheme="minorHAnsi" w:cs="Calibri"/>
        </w:rPr>
        <w:t>S1-5 A lényeges negatív hatások kezelésével, a pozitív hatások előmozdításával, valamint a lényeges kockázatok és lehetőségek kezelésével kapcsolatos célok</w:t>
      </w:r>
      <w:bookmarkEnd w:id="68"/>
    </w:p>
    <w:p w14:paraId="3B6E7766" w14:textId="77777777" w:rsidR="00BD159D" w:rsidRPr="00E45723" w:rsidRDefault="00FD7771" w:rsidP="0013302D">
      <w:pPr>
        <w:pStyle w:val="ListParagraph"/>
        <w:ind w:left="0"/>
        <w:rPr>
          <w:rFonts w:asciiTheme="minorHAnsi" w:hAnsiTheme="minorHAnsi" w:cs="Calibri"/>
          <w:bCs/>
        </w:rPr>
      </w:pPr>
      <w:r w:rsidRPr="00E45723">
        <w:rPr>
          <w:rFonts w:asciiTheme="minorHAnsi" w:hAnsiTheme="minorHAnsi" w:cs="Calibri"/>
          <w:bCs/>
        </w:rPr>
        <w:t>[ESRS S1 bek. 44] A LIWO FM a saját munkaerőhöz kapcsolódó lényeges hatások, kockázatok és lehetőségek kezelésére mérhető, eredményorientált célokat határozott meg. A célkitűzések többek között a munkabiztonság javítására, a munkavállalók egészségének megőrzésére, a képzési és fejlődési lehetőségek bővítésére, a munkavállalói beillesztés támogatására, a tehetséggondozás fejlesztésére, valamint az egyenlő esélyű és befogadó munkahelyi környezet erősítésére irányulnak.</w:t>
      </w:r>
    </w:p>
    <w:p w14:paraId="1F244D3B" w14:textId="6B1E4E4B" w:rsidR="00BD159D" w:rsidRPr="00E45723" w:rsidRDefault="00FD7771" w:rsidP="0013302D">
      <w:pPr>
        <w:pStyle w:val="ListParagraph"/>
        <w:ind w:left="0"/>
        <w:rPr>
          <w:rFonts w:asciiTheme="minorHAnsi" w:hAnsiTheme="minorHAnsi" w:cs="Calibri"/>
          <w:bCs/>
        </w:rPr>
      </w:pPr>
      <w:r w:rsidRPr="00E45723">
        <w:rPr>
          <w:rFonts w:asciiTheme="minorHAnsi" w:hAnsiTheme="minorHAnsi" w:cs="Calibri"/>
          <w:bCs/>
        </w:rPr>
        <w:t>A legfontosabb célkitűzések közé tartozik a munkakör-alapú képzési rendszer fokozatos bevezetése, amelynek keretében 2030-ig valamennyi releváns munkakörre képzési terv készül, valamint az egyéni képzési tervvel rendelkező irodai munkavállalók arányának 100%-ra növelése. A Cégcsoport célja továbbá egy auditálható, munkakör-specifikus munkabiztonsági képzési rendszer kialakítása 2027-ig, 100%-os lefedettség elérésével. A munkavállalói egészség és jóllét támogatása érdekében preventív egészségvédelmi programok és rendszeres szűrővizsgálatok bevezetése is szerepel a célok között. Emellett a strukturált onboarding folyamatok, a mentorprogramok, a talentmenedzsment rendszer, valamint a munkavállalói elégedettségi felmérések fejlesztése is a stratégiai célrendszer részét képezi.</w:t>
      </w:r>
    </w:p>
    <w:p w14:paraId="4EB39EE2" w14:textId="77777777" w:rsidR="00BD159D" w:rsidRPr="00E45723" w:rsidRDefault="00FD7771">
      <w:pPr>
        <w:rPr>
          <w:rFonts w:asciiTheme="minorHAnsi" w:hAnsiTheme="minorHAnsi" w:cs="Calibri"/>
        </w:rPr>
      </w:pPr>
      <w:r w:rsidRPr="00E45723">
        <w:rPr>
          <w:rFonts w:asciiTheme="minorHAnsi" w:hAnsiTheme="minorHAnsi" w:cs="Calibri"/>
        </w:rPr>
        <w:lastRenderedPageBreak/>
        <w:t>[ESRS 2 bek. 80 a)] A Társaság által meghatározott mérhető munkavédelmi és munkaegészségügyi célkitűzések közvetlenül a Munkaegészségügyi és Munkabiztonsági Politikából, valamint az MSZ EN ISO 45001:2018 szabvány szerinti irányítási rendszer céljaiból kerülnek levezetésre. A célok a munkabalesetek és foglalkozási megbetegedések megelőzését, a munkavégzéssel összefüggő kockázatok csökkentését, valamint a munkaegészségügyi és munkabiztonsági teljesítmény folyamatos javítását szolgálják.</w:t>
      </w:r>
    </w:p>
    <w:p w14:paraId="5BE324C2"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80 b)] A célkitűzések intenzitásalapú csökkentési célok, amelyek a munkabaleseti gyakorisági és súlyossági mutatók (TRIR, LTIFR, ISR) mérséklésére irányulnak.</w:t>
      </w:r>
    </w:p>
    <w:p w14:paraId="34060C74"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80 d, e, f)] A LIWO FM munkabiztonsággal kapcsolatos célkitűzései intenzitásalapú csökkentési célok, amelyek a munkabaleseti gyakorisági és súlyossági mutatók (TRIR, LTIFR, ISR) mérséklésére irányulnak. A Társaság a 2025. évet határozta meg bázisévként a munkabiztonsági célkitűzések tekintetében. A Társaság a 2025. évet határozta meg bázisévként a munkabiztonsági célkitűzések tekintetében. A 2025. évben rögzített mutatók (TRIR: 3,59; ISR: 92,05; LTIFR: 5,04) képezik a 2028-ra meghatározott célértékekhez viszonyított teljesítményértékelés alapját. A Társaság célja, hogy 2028-ig a regisztrált munkabalesetek gyakoriságát mérő TRIR mutató értéke legfeljebb 3,5 legyen, a munkabalesetek miatt kiesett munkanapok száma (ISR) ne haladja meg a 90 napot, valamint a munkaidőkieséssel járó balesetek gyakoriságát mérő LTIFR mutató értéke legfeljebb 5 legyen.</w:t>
      </w:r>
    </w:p>
    <w:p w14:paraId="6718A025" w14:textId="77777777" w:rsidR="00BD159D" w:rsidRPr="00E45723" w:rsidRDefault="00FD7771">
      <w:pPr>
        <w:suppressAutoHyphens/>
        <w:rPr>
          <w:rFonts w:asciiTheme="minorHAnsi" w:hAnsiTheme="minorHAnsi" w:cs="Calibri"/>
        </w:rPr>
      </w:pPr>
      <w:r w:rsidRPr="00E45723">
        <w:rPr>
          <w:rFonts w:asciiTheme="minorHAnsi" w:hAnsiTheme="minorHAnsi" w:cs="Calibri"/>
        </w:rPr>
        <w:t>A célkitűzések a 2025–2030 közötti időszakra vonatkoznak, amely során a LIWO FM célja a meghatározott munkabiztonsági mutatók folyamatos javítása. Az előrehaladás nyomon követése éves monitoring és vezetőségi felülvizsgálat keretében történik, az ISO 45001 irányítási rendszer részeként. Ennek során a TRIR, LTIFR és ISR mutatók éves értékelése közbenső mérföldkőként szolgál, lehetővé téve a szükséges korrekciós intézkedések meghatározását a 2030-ra kitűzött célértékek elérése érdekében.</w:t>
      </w:r>
    </w:p>
    <w:p w14:paraId="36C49BC3" w14:textId="77777777" w:rsidR="00BD159D" w:rsidRPr="00E45723" w:rsidRDefault="00FD7771">
      <w:pPr>
        <w:rPr>
          <w:rFonts w:asciiTheme="minorHAnsi" w:hAnsiTheme="minorHAnsi" w:cs="Calibri"/>
        </w:rPr>
      </w:pPr>
      <w:r w:rsidRPr="00E45723">
        <w:rPr>
          <w:rFonts w:asciiTheme="minorHAnsi" w:hAnsiTheme="minorHAnsi" w:cs="Calibri"/>
        </w:rPr>
        <w:t>A TRIR, LTIFR és ISR mutatók számítása a Társaság munkaegészségügyi és munkabiztonsági irányítási rendszerében alkalmazott, nemzetközi gyakorlatnak megfelelő képletek alapján történik. A mutatók a regisztrált munkabalesetek, illetve a kiesett munkanapok számát viszonyítják a ledolgozott munkaórákhoz, egységesített szorzó alkalmazásával.</w:t>
      </w:r>
    </w:p>
    <w:p w14:paraId="2F984608" w14:textId="77777777" w:rsidR="00BD159D" w:rsidRPr="00E45723" w:rsidRDefault="00FD7771">
      <w:pPr>
        <w:rPr>
          <w:rFonts w:asciiTheme="minorHAnsi" w:hAnsiTheme="minorHAnsi" w:cs="Calibri"/>
        </w:rPr>
      </w:pPr>
      <w:r w:rsidRPr="00E45723">
        <w:rPr>
          <w:rFonts w:asciiTheme="minorHAnsi" w:hAnsiTheme="minorHAnsi" w:cs="Calibri"/>
        </w:rPr>
        <w:t>A baleseti adatok a jogszabályi előírások és belső munkavédelmi szabályzatok szerinti nyilvántartásokból származnak, míg a ledolgozott munkaórák adatai a HR- és bérnyilvántartási rendszerből kerülnek meghatározásra.</w:t>
      </w:r>
    </w:p>
    <w:p w14:paraId="7FC3719A" w14:textId="77777777" w:rsidR="00BD159D" w:rsidRPr="00E45723" w:rsidRDefault="00FD7771">
      <w:pPr>
        <w:rPr>
          <w:rFonts w:asciiTheme="minorHAnsi" w:hAnsiTheme="minorHAnsi" w:cs="Calibri"/>
        </w:rPr>
      </w:pPr>
      <w:r w:rsidRPr="00E45723">
        <w:rPr>
          <w:rFonts w:asciiTheme="minorHAnsi" w:hAnsiTheme="minorHAnsi" w:cs="Calibri"/>
        </w:rPr>
        <w:t>A 2030-ig meghatározott célértékek kialakításakor a Társaság figyelembe vette a korábbi évek trendjeit, a kockázatértékelések eredményeit, valamint az ISO 45001:2018 szabvány szerinti folyamatos fejlesztési elvet. A célok azon feltételezésen alapulnak, hogy a megelőző intézkedések, oktatások, belső ellenőrzések és vezetőségi felülvizsgálatok hozzájárulnak a munkabaleseti mutatók fokozatos javulásához.</w:t>
      </w:r>
    </w:p>
    <w:p w14:paraId="07EA12D7" w14:textId="77777777" w:rsidR="00BD159D" w:rsidRPr="00E45723" w:rsidRDefault="00FD7771">
      <w:pPr>
        <w:suppressAutoHyphens/>
        <w:rPr>
          <w:rFonts w:asciiTheme="minorHAnsi" w:hAnsiTheme="minorHAnsi" w:cs="Calibri"/>
        </w:rPr>
      </w:pPr>
      <w:r w:rsidRPr="00E45723">
        <w:rPr>
          <w:rFonts w:asciiTheme="minorHAnsi" w:hAnsiTheme="minorHAnsi" w:cs="Calibri"/>
        </w:rPr>
        <w:t>[ESRS 2 bek. 80 i, j), ESRS S1 bek. 47 b)] A jelentéstételi időszakban a Társaság nem hajtott végre módosítást a munkabiztonsági célkitűzésekben, a kapcsolódó mutatók definíciójában, illetve az alkalmazott mérési módszertanban. A TRIR, LTIFR és ISR mutatók számítása változatlan képletek és adatforrások alapján történik, a jogszabályi előírásokkal és az ISO 45001:2018 szabvány követelményeivel összhangban.</w:t>
      </w:r>
    </w:p>
    <w:p w14:paraId="39E1792E" w14:textId="77777777" w:rsidR="00BD159D" w:rsidRPr="00E45723" w:rsidRDefault="00FD7771">
      <w:pPr>
        <w:suppressAutoHyphens/>
        <w:rPr>
          <w:rFonts w:asciiTheme="minorHAnsi" w:hAnsiTheme="minorHAnsi" w:cs="Calibri"/>
        </w:rPr>
      </w:pPr>
      <w:r w:rsidRPr="00E45723">
        <w:rPr>
          <w:rFonts w:asciiTheme="minorHAnsi" w:hAnsiTheme="minorHAnsi" w:cs="Calibri"/>
        </w:rPr>
        <w:t>Az adatgyűjtés továbbra is a belső munkavédelmi nyilvántartásokon, valamint a HR- és bérnyilvántartási rendszerből származó ledolgozott munkaóra-adatokon alapul. A célértékek meghatározásának alapjául szolgáló feltételezések és folyamatok a jelentéstételi időszakban nem változtak.</w:t>
      </w:r>
    </w:p>
    <w:p w14:paraId="19F2A099" w14:textId="77777777" w:rsidR="00BD159D" w:rsidRPr="00E45723" w:rsidRDefault="00FD7771">
      <w:pPr>
        <w:rPr>
          <w:rFonts w:asciiTheme="minorHAnsi" w:hAnsiTheme="minorHAnsi" w:cs="Calibri"/>
        </w:rPr>
      </w:pPr>
      <w:r w:rsidRPr="00E45723">
        <w:rPr>
          <w:rFonts w:asciiTheme="minorHAnsi" w:hAnsiTheme="minorHAnsi" w:cs="Calibri"/>
        </w:rPr>
        <w:lastRenderedPageBreak/>
        <w:t>A 2025. évi adatok a munkavédelmi irányítási rendszer keretében gyűjtött és validált nyilvántartásokból származnak. A következő jelentési időszakokban a Társaság a 2025. évi bázisértékekhez viszonyítva mutatja be a munkabaleseti gyakorisági és súlyossági mutatók alakulását, valamint a 2030-as célértékek eléréséhez szükséges előrehaladást.</w:t>
      </w:r>
    </w:p>
    <w:p w14:paraId="0C07BA9E" w14:textId="77777777" w:rsidR="00BD159D" w:rsidRPr="00E45723" w:rsidRDefault="00FD7771">
      <w:pPr>
        <w:suppressAutoHyphens/>
        <w:rPr>
          <w:rFonts w:asciiTheme="minorHAnsi" w:hAnsiTheme="minorHAnsi" w:cs="Calibri"/>
        </w:rPr>
      </w:pPr>
      <w:r w:rsidRPr="00E45723">
        <w:rPr>
          <w:rFonts w:asciiTheme="minorHAnsi" w:hAnsiTheme="minorHAnsi" w:cs="Calibri"/>
        </w:rPr>
        <w:t>A célkitűzések teljesítését az ISO 45001 szerinti irányítási rendszer éves monitoring és vezetőségi felülvizsgálati folyamata támogatja.</w:t>
      </w:r>
    </w:p>
    <w:p w14:paraId="1F8EF93F" w14:textId="77777777" w:rsidR="00BD159D" w:rsidRPr="00E45723" w:rsidRDefault="00FD7771" w:rsidP="0013302D">
      <w:pPr>
        <w:pStyle w:val="ListParagraph"/>
        <w:ind w:left="0"/>
        <w:rPr>
          <w:rFonts w:asciiTheme="minorHAnsi" w:hAnsiTheme="minorHAnsi" w:cs="Calibri"/>
          <w:bCs/>
        </w:rPr>
      </w:pPr>
      <w:r w:rsidRPr="00E45723">
        <w:rPr>
          <w:rFonts w:asciiTheme="minorHAnsi" w:hAnsiTheme="minorHAnsi" w:cs="Calibri"/>
          <w:bCs/>
        </w:rPr>
        <w:t>A [ESRS S1 bek. 47 b)] A munkabiztonsági célkitűzések meghatározása során a Társaság figyelembe vette a munkavédelmi események elemzésének eredményeit, a kockázatértékelések megállapításait, valamint a munkavállalóktól és vezetőktől származó gyakorlati tapasztalatokat. A célok teljesülésének nyomon követése az ISO 45001 irányítási rendszer keretében történik, amelynek részeként a munkabaleseti mutatók (TRIR, LTIFR, ISR) rendszeres értékelése, valamint a munkavédelmi események és korrekciós intézkedések felülvizsgálata valósul meg.</w:t>
      </w:r>
    </w:p>
    <w:p w14:paraId="4AFCA20E" w14:textId="77777777" w:rsidR="00BD159D" w:rsidRPr="00E45723" w:rsidRDefault="00FD7771" w:rsidP="00EA3B06">
      <w:pPr>
        <w:pStyle w:val="Heading3"/>
        <w:suppressAutoHyphens/>
        <w:rPr>
          <w:rFonts w:asciiTheme="minorHAnsi" w:hAnsiTheme="minorHAnsi" w:cs="Calibri"/>
        </w:rPr>
      </w:pPr>
      <w:bookmarkStart w:id="69" w:name="_Toc239834946"/>
      <w:r w:rsidRPr="00E45723">
        <w:rPr>
          <w:rFonts w:asciiTheme="minorHAnsi" w:hAnsiTheme="minorHAnsi" w:cs="Calibri"/>
        </w:rPr>
        <w:t>S1-6 A vállalkozás alkalmazottainak jellemzői</w:t>
      </w:r>
      <w:bookmarkEnd w:id="69"/>
    </w:p>
    <w:p w14:paraId="58E1C774"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Alkalmazottak teljes létszáma nemek szerint létszámban [ESRS S1 bek. 50 a)]: 28 808,00 </w:t>
      </w:r>
    </w:p>
    <w:p w14:paraId="68AD9B3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7997,00 </w:t>
      </w:r>
    </w:p>
    <w:p w14:paraId="672839E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Női: 20 811,00 </w:t>
      </w:r>
    </w:p>
    <w:p w14:paraId="23944F68" w14:textId="17C18687" w:rsidR="00BD159D" w:rsidRPr="00E45723" w:rsidRDefault="00FD7771" w:rsidP="0013302D">
      <w:pPr>
        <w:suppressAutoHyphens/>
        <w:rPr>
          <w:rFonts w:asciiTheme="minorHAnsi" w:hAnsiTheme="minorHAnsi" w:cs="Calibri"/>
        </w:rPr>
      </w:pPr>
      <w:r w:rsidRPr="00E45723">
        <w:rPr>
          <w:rFonts w:asciiTheme="minorHAnsi" w:hAnsiTheme="minorHAnsi" w:cs="Calibri"/>
          <w:b/>
        </w:rPr>
        <w:t>Liwo FM</w:t>
      </w:r>
      <w:r w:rsidR="0013302D" w:rsidRPr="00E45723">
        <w:rPr>
          <w:rFonts w:asciiTheme="minorHAnsi" w:hAnsiTheme="minorHAnsi" w:cs="Calibri"/>
          <w:b/>
        </w:rPr>
        <w:t xml:space="preserve">: </w:t>
      </w:r>
      <w:r w:rsidRPr="00E45723">
        <w:rPr>
          <w:rFonts w:asciiTheme="minorHAnsi" w:hAnsiTheme="minorHAnsi" w:cs="Calibri"/>
        </w:rPr>
        <w:t>Férfi: 4</w:t>
      </w:r>
      <w:r w:rsidR="0013302D" w:rsidRPr="00E45723">
        <w:rPr>
          <w:rFonts w:asciiTheme="minorHAnsi" w:hAnsiTheme="minorHAnsi" w:cs="Calibri"/>
        </w:rPr>
        <w:t xml:space="preserve"> </w:t>
      </w:r>
      <w:r w:rsidRPr="00E45723">
        <w:rPr>
          <w:rFonts w:asciiTheme="minorHAnsi" w:hAnsiTheme="minorHAnsi" w:cs="Calibri"/>
        </w:rPr>
        <w:t xml:space="preserve">976,00 </w:t>
      </w:r>
      <w:r w:rsidR="0013302D" w:rsidRPr="00E45723">
        <w:rPr>
          <w:rFonts w:asciiTheme="minorHAnsi" w:hAnsiTheme="minorHAnsi" w:cs="Calibri"/>
        </w:rPr>
        <w:t xml:space="preserve">/ </w:t>
      </w:r>
      <w:r w:rsidRPr="00E45723">
        <w:rPr>
          <w:rFonts w:asciiTheme="minorHAnsi" w:hAnsiTheme="minorHAnsi" w:cs="Calibri"/>
        </w:rPr>
        <w:t xml:space="preserve">Női: 12 634,00 </w:t>
      </w:r>
      <w:r w:rsidRPr="00E45723">
        <w:rPr>
          <w:rFonts w:asciiTheme="minorHAnsi" w:hAnsiTheme="minorHAnsi" w:cs="Calibri"/>
          <w:b/>
        </w:rPr>
        <w:t>Liwo GER</w:t>
      </w:r>
      <w:r w:rsidR="0013302D" w:rsidRPr="00E45723">
        <w:rPr>
          <w:rFonts w:asciiTheme="minorHAnsi" w:hAnsiTheme="minorHAnsi" w:cs="Calibri"/>
          <w:b/>
        </w:rPr>
        <w:t xml:space="preserve">: </w:t>
      </w:r>
      <w:r w:rsidRPr="00E45723">
        <w:rPr>
          <w:rFonts w:asciiTheme="minorHAnsi" w:hAnsiTheme="minorHAnsi" w:cs="Calibri"/>
        </w:rPr>
        <w:t xml:space="preserve">Férfi: 441,00 </w:t>
      </w:r>
      <w:r w:rsidR="0013302D" w:rsidRPr="00E45723">
        <w:rPr>
          <w:rFonts w:asciiTheme="minorHAnsi" w:hAnsiTheme="minorHAnsi" w:cs="Calibri"/>
        </w:rPr>
        <w:t xml:space="preserve">/ </w:t>
      </w:r>
      <w:r w:rsidRPr="00E45723">
        <w:rPr>
          <w:rFonts w:asciiTheme="minorHAnsi" w:hAnsiTheme="minorHAnsi" w:cs="Calibri"/>
        </w:rPr>
        <w:t xml:space="preserve">Női: 140,00 </w:t>
      </w:r>
      <w:r w:rsidRPr="00E45723">
        <w:rPr>
          <w:rFonts w:asciiTheme="minorHAnsi" w:hAnsiTheme="minorHAnsi" w:cs="Calibri"/>
          <w:b/>
          <w:bCs/>
        </w:rPr>
        <w:t>Liwo IT</w:t>
      </w:r>
      <w:r w:rsidR="0013302D" w:rsidRPr="00E45723">
        <w:rPr>
          <w:rFonts w:asciiTheme="minorHAnsi" w:hAnsiTheme="minorHAnsi" w:cs="Calibri"/>
          <w:b/>
          <w:bCs/>
        </w:rPr>
        <w:t xml:space="preserve">: </w:t>
      </w:r>
      <w:r w:rsidRPr="00E45723">
        <w:rPr>
          <w:rFonts w:asciiTheme="minorHAnsi" w:hAnsiTheme="minorHAnsi" w:cs="Calibri"/>
        </w:rPr>
        <w:t xml:space="preserve">Férfi: 255,00 </w:t>
      </w:r>
      <w:r w:rsidR="0013302D" w:rsidRPr="00E45723">
        <w:rPr>
          <w:rFonts w:asciiTheme="minorHAnsi" w:hAnsiTheme="minorHAnsi" w:cs="Calibri"/>
        </w:rPr>
        <w:t xml:space="preserve">/ </w:t>
      </w:r>
      <w:r w:rsidRPr="00E45723">
        <w:rPr>
          <w:rFonts w:asciiTheme="minorHAnsi" w:hAnsiTheme="minorHAnsi" w:cs="Calibri"/>
        </w:rPr>
        <w:t xml:space="preserve">Női: 400,00 </w:t>
      </w:r>
      <w:r w:rsidRPr="00E45723">
        <w:rPr>
          <w:rFonts w:asciiTheme="minorHAnsi" w:hAnsiTheme="minorHAnsi" w:cs="Calibri"/>
          <w:b/>
          <w:bCs/>
        </w:rPr>
        <w:t>Liwo RO-BLG</w:t>
      </w:r>
      <w:r w:rsidR="0013302D" w:rsidRPr="00E45723">
        <w:rPr>
          <w:rFonts w:asciiTheme="minorHAnsi" w:hAnsiTheme="minorHAnsi" w:cs="Calibri"/>
          <w:b/>
          <w:bCs/>
        </w:rPr>
        <w:t xml:space="preserve">: </w:t>
      </w:r>
      <w:r w:rsidRPr="00E45723">
        <w:rPr>
          <w:rFonts w:asciiTheme="minorHAnsi" w:hAnsiTheme="minorHAnsi" w:cs="Calibri"/>
        </w:rPr>
        <w:t xml:space="preserve">Férfi: 550,00 </w:t>
      </w:r>
      <w:r w:rsidR="0013302D" w:rsidRPr="00E45723">
        <w:rPr>
          <w:rFonts w:asciiTheme="minorHAnsi" w:hAnsiTheme="minorHAnsi" w:cs="Calibri"/>
        </w:rPr>
        <w:t xml:space="preserve">/ </w:t>
      </w:r>
      <w:r w:rsidRPr="00E45723">
        <w:rPr>
          <w:rFonts w:asciiTheme="minorHAnsi" w:hAnsiTheme="minorHAnsi" w:cs="Calibri"/>
        </w:rPr>
        <w:t xml:space="preserve">Női: 696,00 </w:t>
      </w:r>
      <w:r w:rsidRPr="00E45723">
        <w:rPr>
          <w:rFonts w:asciiTheme="minorHAnsi" w:hAnsiTheme="minorHAnsi" w:cs="Calibri"/>
          <w:b/>
          <w:bCs/>
        </w:rPr>
        <w:t>Liwo SLO</w:t>
      </w:r>
      <w:r w:rsidR="0013302D" w:rsidRPr="00E45723">
        <w:rPr>
          <w:rFonts w:asciiTheme="minorHAnsi" w:hAnsiTheme="minorHAnsi" w:cs="Calibri"/>
          <w:b/>
          <w:bCs/>
        </w:rPr>
        <w:t xml:space="preserve">: </w:t>
      </w:r>
      <w:r w:rsidRPr="00E45723">
        <w:rPr>
          <w:rFonts w:asciiTheme="minorHAnsi" w:hAnsiTheme="minorHAnsi" w:cs="Calibri"/>
        </w:rPr>
        <w:t xml:space="preserve">Férfi: 43,00 </w:t>
      </w:r>
      <w:r w:rsidR="0013302D" w:rsidRPr="00E45723">
        <w:rPr>
          <w:rFonts w:asciiTheme="minorHAnsi" w:hAnsiTheme="minorHAnsi" w:cs="Calibri"/>
        </w:rPr>
        <w:t xml:space="preserve">/ </w:t>
      </w:r>
      <w:r w:rsidRPr="00E45723">
        <w:rPr>
          <w:rFonts w:asciiTheme="minorHAnsi" w:hAnsiTheme="minorHAnsi" w:cs="Calibri"/>
        </w:rPr>
        <w:t>Női: 499,00</w:t>
      </w:r>
      <w:r w:rsidR="0013302D" w:rsidRPr="00E45723">
        <w:rPr>
          <w:rFonts w:asciiTheme="minorHAnsi" w:hAnsiTheme="minorHAnsi" w:cs="Calibri"/>
        </w:rPr>
        <w:t xml:space="preserve"> </w:t>
      </w:r>
      <w:r w:rsidRPr="00E45723">
        <w:rPr>
          <w:rFonts w:asciiTheme="minorHAnsi" w:hAnsiTheme="minorHAnsi" w:cs="Calibri"/>
          <w:b/>
          <w:bCs/>
        </w:rPr>
        <w:t>Liwo CZ</w:t>
      </w:r>
      <w:r w:rsidR="0013302D" w:rsidRPr="00E45723">
        <w:rPr>
          <w:rFonts w:asciiTheme="minorHAnsi" w:hAnsiTheme="minorHAnsi" w:cs="Calibri"/>
          <w:b/>
          <w:bCs/>
        </w:rPr>
        <w:t xml:space="preserve">: </w:t>
      </w:r>
      <w:r w:rsidRPr="00E45723">
        <w:rPr>
          <w:rFonts w:asciiTheme="minorHAnsi" w:hAnsiTheme="minorHAnsi" w:cs="Calibri"/>
        </w:rPr>
        <w:t xml:space="preserve">Férfi: 166,00 </w:t>
      </w:r>
      <w:r w:rsidR="0013302D" w:rsidRPr="00E45723">
        <w:rPr>
          <w:rFonts w:asciiTheme="minorHAnsi" w:hAnsiTheme="minorHAnsi" w:cs="Calibri"/>
        </w:rPr>
        <w:t xml:space="preserve">/ </w:t>
      </w:r>
      <w:r w:rsidRPr="00E45723">
        <w:rPr>
          <w:rFonts w:asciiTheme="minorHAnsi" w:hAnsiTheme="minorHAnsi" w:cs="Calibri"/>
        </w:rPr>
        <w:t xml:space="preserve">Női: 397,00 </w:t>
      </w:r>
      <w:r w:rsidRPr="00E45723">
        <w:rPr>
          <w:rFonts w:asciiTheme="minorHAnsi" w:hAnsiTheme="minorHAnsi" w:cs="Calibri"/>
          <w:b/>
          <w:bCs/>
        </w:rPr>
        <w:t>Liwo SK</w:t>
      </w:r>
      <w:r w:rsidR="0013302D" w:rsidRPr="00E45723">
        <w:rPr>
          <w:rFonts w:asciiTheme="minorHAnsi" w:hAnsiTheme="minorHAnsi" w:cs="Calibri"/>
          <w:b/>
          <w:bCs/>
        </w:rPr>
        <w:t xml:space="preserve">: </w:t>
      </w:r>
      <w:r w:rsidRPr="00E45723">
        <w:rPr>
          <w:rFonts w:asciiTheme="minorHAnsi" w:hAnsiTheme="minorHAnsi" w:cs="Calibri"/>
        </w:rPr>
        <w:t xml:space="preserve">Férfi: 212,00 </w:t>
      </w:r>
      <w:r w:rsidR="0013302D" w:rsidRPr="00E45723">
        <w:rPr>
          <w:rFonts w:asciiTheme="minorHAnsi" w:hAnsiTheme="minorHAnsi" w:cs="Calibri"/>
        </w:rPr>
        <w:t xml:space="preserve">/ </w:t>
      </w:r>
      <w:r w:rsidRPr="00E45723">
        <w:rPr>
          <w:rFonts w:asciiTheme="minorHAnsi" w:hAnsiTheme="minorHAnsi" w:cs="Calibri"/>
        </w:rPr>
        <w:t xml:space="preserve">Női: 356,00 </w:t>
      </w:r>
      <w:r w:rsidRPr="00E45723">
        <w:rPr>
          <w:rFonts w:asciiTheme="minorHAnsi" w:hAnsiTheme="minorHAnsi" w:cs="Calibri"/>
          <w:b/>
          <w:bCs/>
        </w:rPr>
        <w:t>Liwo PL</w:t>
      </w:r>
      <w:r w:rsidR="0013302D" w:rsidRPr="00E45723">
        <w:rPr>
          <w:rFonts w:asciiTheme="minorHAnsi" w:hAnsiTheme="minorHAnsi" w:cs="Calibri"/>
          <w:b/>
          <w:bCs/>
        </w:rPr>
        <w:t xml:space="preserve">: </w:t>
      </w:r>
      <w:r w:rsidRPr="00E45723">
        <w:rPr>
          <w:rFonts w:asciiTheme="minorHAnsi" w:hAnsiTheme="minorHAnsi" w:cs="Calibri"/>
        </w:rPr>
        <w:t xml:space="preserve">Férfi: 1354,00 </w:t>
      </w:r>
      <w:r w:rsidR="0013302D" w:rsidRPr="00E45723">
        <w:rPr>
          <w:rFonts w:asciiTheme="minorHAnsi" w:hAnsiTheme="minorHAnsi" w:cs="Calibri"/>
        </w:rPr>
        <w:t xml:space="preserve">/ </w:t>
      </w:r>
      <w:r w:rsidRPr="00E45723">
        <w:rPr>
          <w:rFonts w:asciiTheme="minorHAnsi" w:hAnsiTheme="minorHAnsi" w:cs="Calibri"/>
        </w:rPr>
        <w:t xml:space="preserve">Női: 5416,00 </w:t>
      </w:r>
    </w:p>
    <w:p w14:paraId="092E5CAA" w14:textId="234D4D4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Állandó alkalmazottak teljes száma : 21</w:t>
      </w:r>
      <w:r w:rsidR="00DA3314" w:rsidRPr="00E45723">
        <w:rPr>
          <w:rFonts w:asciiTheme="minorHAnsi" w:hAnsiTheme="minorHAnsi" w:cs="Calibri"/>
          <w:b/>
        </w:rPr>
        <w:t xml:space="preserve"> </w:t>
      </w:r>
      <w:r w:rsidRPr="00E45723">
        <w:rPr>
          <w:rFonts w:asciiTheme="minorHAnsi" w:hAnsiTheme="minorHAnsi" w:cs="Calibri"/>
          <w:b/>
        </w:rPr>
        <w:t xml:space="preserve">266,00 </w:t>
      </w:r>
    </w:p>
    <w:p w14:paraId="52A5A36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6181,00 </w:t>
      </w:r>
    </w:p>
    <w:p w14:paraId="377B52E2"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Női: 15 085,00</w:t>
      </w:r>
    </w:p>
    <w:p w14:paraId="1989FBA1" w14:textId="6B3F6482" w:rsidR="00BD159D" w:rsidRPr="00E45723" w:rsidRDefault="00FD7771" w:rsidP="0013302D">
      <w:pPr>
        <w:suppressAutoHyphens/>
        <w:rPr>
          <w:rFonts w:asciiTheme="minorHAnsi" w:hAnsiTheme="minorHAnsi" w:cs="Calibri"/>
        </w:rPr>
      </w:pPr>
      <w:r w:rsidRPr="00E45723">
        <w:rPr>
          <w:rFonts w:asciiTheme="minorHAnsi" w:hAnsiTheme="minorHAnsi" w:cs="Calibri"/>
          <w:b/>
          <w:bCs/>
        </w:rPr>
        <w:t>Liwo FM</w:t>
      </w:r>
      <w:r w:rsidR="0013302D" w:rsidRPr="00E45723">
        <w:rPr>
          <w:rFonts w:asciiTheme="minorHAnsi" w:hAnsiTheme="minorHAnsi" w:cs="Calibri"/>
          <w:b/>
          <w:bCs/>
        </w:rPr>
        <w:t xml:space="preserve">: </w:t>
      </w:r>
      <w:r w:rsidRPr="00E45723">
        <w:rPr>
          <w:rFonts w:asciiTheme="minorHAnsi" w:hAnsiTheme="minorHAnsi" w:cs="Calibri"/>
        </w:rPr>
        <w:t xml:space="preserve">Férfi: 4 566,00 </w:t>
      </w:r>
      <w:r w:rsidR="00997F8C" w:rsidRPr="00E45723">
        <w:rPr>
          <w:rFonts w:asciiTheme="minorHAnsi" w:hAnsiTheme="minorHAnsi" w:cs="Calibri"/>
        </w:rPr>
        <w:t xml:space="preserve">/ </w:t>
      </w:r>
      <w:r w:rsidRPr="00E45723">
        <w:rPr>
          <w:rFonts w:asciiTheme="minorHAnsi" w:hAnsiTheme="minorHAnsi" w:cs="Calibri"/>
        </w:rPr>
        <w:t xml:space="preserve">Női: 12 037,00 </w:t>
      </w:r>
      <w:r w:rsidR="00997F8C" w:rsidRPr="00E45723">
        <w:rPr>
          <w:rFonts w:asciiTheme="minorHAnsi" w:hAnsiTheme="minorHAnsi" w:cs="Calibri"/>
        </w:rPr>
        <w:t xml:space="preserve">/ </w:t>
      </w:r>
      <w:r w:rsidRPr="00E45723">
        <w:rPr>
          <w:rFonts w:asciiTheme="minorHAnsi" w:hAnsiTheme="minorHAnsi" w:cs="Calibri"/>
          <w:b/>
          <w:bCs/>
        </w:rPr>
        <w:t>Liwo GER</w:t>
      </w:r>
      <w:r w:rsidR="00997F8C" w:rsidRPr="00E45723">
        <w:rPr>
          <w:rFonts w:asciiTheme="minorHAnsi" w:hAnsiTheme="minorHAnsi" w:cs="Calibri"/>
          <w:b/>
          <w:bCs/>
        </w:rPr>
        <w:t xml:space="preserve">: </w:t>
      </w:r>
      <w:r w:rsidRPr="00E45723">
        <w:rPr>
          <w:rFonts w:asciiTheme="minorHAnsi" w:hAnsiTheme="minorHAnsi" w:cs="Calibri"/>
        </w:rPr>
        <w:t xml:space="preserve">Férfi: </w:t>
      </w:r>
      <w:r w:rsidRPr="00E45723">
        <w:rPr>
          <w:rFonts w:asciiTheme="minorHAnsi" w:hAnsiTheme="minorHAnsi" w:cs="Calibri"/>
          <w:bCs/>
        </w:rPr>
        <w:t>441</w:t>
      </w:r>
      <w:r w:rsidRPr="00E45723">
        <w:rPr>
          <w:rFonts w:asciiTheme="minorHAnsi" w:hAnsiTheme="minorHAnsi" w:cs="Calibri"/>
        </w:rPr>
        <w:t xml:space="preserve">,00 </w:t>
      </w:r>
      <w:r w:rsidR="00997F8C" w:rsidRPr="00E45723">
        <w:rPr>
          <w:rFonts w:asciiTheme="minorHAnsi" w:hAnsiTheme="minorHAnsi" w:cs="Calibri"/>
        </w:rPr>
        <w:t xml:space="preserve">/ </w:t>
      </w:r>
      <w:r w:rsidRPr="00E45723">
        <w:rPr>
          <w:rFonts w:asciiTheme="minorHAnsi" w:hAnsiTheme="minorHAnsi" w:cs="Calibri"/>
        </w:rPr>
        <w:t xml:space="preserve">Női: 140,00 </w:t>
      </w:r>
      <w:r w:rsidRPr="00E45723">
        <w:rPr>
          <w:rFonts w:asciiTheme="minorHAnsi" w:hAnsiTheme="minorHAnsi" w:cs="Calibri"/>
          <w:b/>
          <w:bCs/>
        </w:rPr>
        <w:t>Liwo IT</w:t>
      </w:r>
      <w:r w:rsidR="00997F8C" w:rsidRPr="00E45723">
        <w:rPr>
          <w:rFonts w:asciiTheme="minorHAnsi" w:hAnsiTheme="minorHAnsi" w:cs="Calibri"/>
          <w:b/>
          <w:bCs/>
        </w:rPr>
        <w:t xml:space="preserve">: </w:t>
      </w:r>
      <w:r w:rsidRPr="00E45723">
        <w:rPr>
          <w:rFonts w:asciiTheme="minorHAnsi" w:hAnsiTheme="minorHAnsi" w:cs="Calibri"/>
        </w:rPr>
        <w:t xml:space="preserve">Férfi: 221,00 </w:t>
      </w:r>
      <w:r w:rsidR="00997F8C" w:rsidRPr="00E45723">
        <w:rPr>
          <w:rFonts w:asciiTheme="minorHAnsi" w:hAnsiTheme="minorHAnsi" w:cs="Calibri"/>
        </w:rPr>
        <w:t xml:space="preserve">/ </w:t>
      </w:r>
      <w:r w:rsidRPr="00E45723">
        <w:rPr>
          <w:rFonts w:asciiTheme="minorHAnsi" w:hAnsiTheme="minorHAnsi" w:cs="Calibri"/>
        </w:rPr>
        <w:t>Női: 355,00</w:t>
      </w:r>
      <w:r w:rsidR="00997F8C" w:rsidRPr="00E45723">
        <w:rPr>
          <w:rFonts w:asciiTheme="minorHAnsi" w:hAnsiTheme="minorHAnsi" w:cs="Calibri"/>
        </w:rPr>
        <w:t xml:space="preserve"> </w:t>
      </w:r>
      <w:r w:rsidRPr="00E45723">
        <w:rPr>
          <w:rFonts w:asciiTheme="minorHAnsi" w:hAnsiTheme="minorHAnsi" w:cs="Calibri"/>
          <w:b/>
          <w:bCs/>
        </w:rPr>
        <w:t>Liwo RO-BLG</w:t>
      </w:r>
      <w:r w:rsidR="00997F8C" w:rsidRPr="00E45723">
        <w:rPr>
          <w:rFonts w:asciiTheme="minorHAnsi" w:hAnsiTheme="minorHAnsi" w:cs="Calibri"/>
          <w:b/>
          <w:bCs/>
        </w:rPr>
        <w:t xml:space="preserve">: </w:t>
      </w:r>
      <w:r w:rsidRPr="00E45723">
        <w:rPr>
          <w:rFonts w:asciiTheme="minorHAnsi" w:hAnsiTheme="minorHAnsi" w:cs="Calibri"/>
        </w:rPr>
        <w:t xml:space="preserve">Férfi: 550,00 </w:t>
      </w:r>
      <w:r w:rsidR="00997F8C" w:rsidRPr="00E45723">
        <w:rPr>
          <w:rFonts w:asciiTheme="minorHAnsi" w:hAnsiTheme="minorHAnsi" w:cs="Calibri"/>
        </w:rPr>
        <w:t xml:space="preserve">/ </w:t>
      </w:r>
      <w:r w:rsidRPr="00E45723">
        <w:rPr>
          <w:rFonts w:asciiTheme="minorHAnsi" w:hAnsiTheme="minorHAnsi" w:cs="Calibri"/>
        </w:rPr>
        <w:t xml:space="preserve">Női: 696,00 </w:t>
      </w:r>
      <w:r w:rsidRPr="00E45723">
        <w:rPr>
          <w:rFonts w:asciiTheme="minorHAnsi" w:hAnsiTheme="minorHAnsi" w:cs="Calibri"/>
          <w:b/>
          <w:bCs/>
        </w:rPr>
        <w:t>Liwo SLO</w:t>
      </w:r>
      <w:r w:rsidR="00997F8C" w:rsidRPr="00E45723">
        <w:rPr>
          <w:rFonts w:asciiTheme="minorHAnsi" w:hAnsiTheme="minorHAnsi" w:cs="Calibri"/>
          <w:b/>
          <w:bCs/>
        </w:rPr>
        <w:t xml:space="preserve">: </w:t>
      </w:r>
      <w:r w:rsidRPr="00E45723">
        <w:rPr>
          <w:rFonts w:asciiTheme="minorHAnsi" w:hAnsiTheme="minorHAnsi" w:cs="Calibri"/>
        </w:rPr>
        <w:t xml:space="preserve">Férfi: 25,00 </w:t>
      </w:r>
      <w:r w:rsidR="00997F8C" w:rsidRPr="00E45723">
        <w:rPr>
          <w:rFonts w:asciiTheme="minorHAnsi" w:hAnsiTheme="minorHAnsi" w:cs="Calibri"/>
        </w:rPr>
        <w:t xml:space="preserve">/ </w:t>
      </w:r>
      <w:r w:rsidRPr="00E45723">
        <w:rPr>
          <w:rFonts w:asciiTheme="minorHAnsi" w:hAnsiTheme="minorHAnsi" w:cs="Calibri"/>
        </w:rPr>
        <w:t>Női: 381,00</w:t>
      </w:r>
      <w:r w:rsidR="00997F8C" w:rsidRPr="00E45723">
        <w:rPr>
          <w:rFonts w:asciiTheme="minorHAnsi" w:hAnsiTheme="minorHAnsi" w:cs="Calibri"/>
        </w:rPr>
        <w:t xml:space="preserve"> </w:t>
      </w:r>
      <w:r w:rsidRPr="00E45723">
        <w:rPr>
          <w:rFonts w:asciiTheme="minorHAnsi" w:hAnsiTheme="minorHAnsi" w:cs="Calibri"/>
          <w:b/>
          <w:bCs/>
        </w:rPr>
        <w:t>Liwo CZ</w:t>
      </w:r>
      <w:r w:rsidR="00997F8C" w:rsidRPr="00E45723">
        <w:rPr>
          <w:rFonts w:asciiTheme="minorHAnsi" w:hAnsiTheme="minorHAnsi" w:cs="Calibri"/>
          <w:b/>
          <w:bCs/>
        </w:rPr>
        <w:t xml:space="preserve">: </w:t>
      </w:r>
      <w:r w:rsidRPr="00E45723">
        <w:rPr>
          <w:rFonts w:asciiTheme="minorHAnsi" w:hAnsiTheme="minorHAnsi" w:cs="Calibri"/>
        </w:rPr>
        <w:t xml:space="preserve">Férfi: </w:t>
      </w:r>
      <w:r w:rsidRPr="00E45723">
        <w:rPr>
          <w:rFonts w:asciiTheme="minorHAnsi" w:hAnsiTheme="minorHAnsi" w:cs="Calibri"/>
          <w:bCs/>
        </w:rPr>
        <w:t>166</w:t>
      </w:r>
      <w:r w:rsidRPr="00E45723">
        <w:rPr>
          <w:rFonts w:asciiTheme="minorHAnsi" w:hAnsiTheme="minorHAnsi" w:cs="Calibri"/>
        </w:rPr>
        <w:t xml:space="preserve">,00 </w:t>
      </w:r>
      <w:r w:rsidR="00997F8C" w:rsidRPr="00E45723">
        <w:rPr>
          <w:rFonts w:asciiTheme="minorHAnsi" w:hAnsiTheme="minorHAnsi" w:cs="Calibri"/>
        </w:rPr>
        <w:t xml:space="preserve">/ </w:t>
      </w:r>
      <w:r w:rsidRPr="00E45723">
        <w:rPr>
          <w:rFonts w:asciiTheme="minorHAnsi" w:hAnsiTheme="minorHAnsi" w:cs="Calibri"/>
        </w:rPr>
        <w:t xml:space="preserve">Női: </w:t>
      </w:r>
      <w:r w:rsidRPr="00E45723">
        <w:rPr>
          <w:rFonts w:asciiTheme="minorHAnsi" w:hAnsiTheme="minorHAnsi" w:cs="Calibri"/>
          <w:bCs/>
        </w:rPr>
        <w:t>397</w:t>
      </w:r>
      <w:r w:rsidRPr="00E45723">
        <w:rPr>
          <w:rFonts w:asciiTheme="minorHAnsi" w:hAnsiTheme="minorHAnsi" w:cs="Calibri"/>
        </w:rPr>
        <w:t xml:space="preserve">,00 </w:t>
      </w:r>
      <w:r w:rsidR="00997F8C" w:rsidRPr="00E45723">
        <w:rPr>
          <w:rFonts w:asciiTheme="minorHAnsi" w:hAnsiTheme="minorHAnsi" w:cs="Calibri"/>
        </w:rPr>
        <w:t xml:space="preserve">/ </w:t>
      </w:r>
      <w:r w:rsidRPr="00E45723">
        <w:rPr>
          <w:rFonts w:asciiTheme="minorHAnsi" w:hAnsiTheme="minorHAnsi" w:cs="Calibri"/>
          <w:b/>
          <w:bCs/>
        </w:rPr>
        <w:t>Liwo SK</w:t>
      </w:r>
      <w:r w:rsidR="00997F8C" w:rsidRPr="00E45723">
        <w:rPr>
          <w:rFonts w:asciiTheme="minorHAnsi" w:hAnsiTheme="minorHAnsi" w:cs="Calibri"/>
          <w:b/>
          <w:bCs/>
        </w:rPr>
        <w:t xml:space="preserve">: </w:t>
      </w:r>
      <w:r w:rsidRPr="00E45723">
        <w:rPr>
          <w:rFonts w:asciiTheme="minorHAnsi" w:hAnsiTheme="minorHAnsi" w:cs="Calibri"/>
        </w:rPr>
        <w:t xml:space="preserve">Férfi: </w:t>
      </w:r>
      <w:r w:rsidRPr="00E45723">
        <w:rPr>
          <w:rFonts w:asciiTheme="minorHAnsi" w:hAnsiTheme="minorHAnsi" w:cs="Calibri"/>
          <w:bCs/>
        </w:rPr>
        <w:t>212</w:t>
      </w:r>
      <w:r w:rsidRPr="00E45723">
        <w:rPr>
          <w:rFonts w:asciiTheme="minorHAnsi" w:hAnsiTheme="minorHAnsi" w:cs="Calibri"/>
        </w:rPr>
        <w:t xml:space="preserve">,00 </w:t>
      </w:r>
      <w:r w:rsidR="00997F8C" w:rsidRPr="00E45723">
        <w:rPr>
          <w:rFonts w:asciiTheme="minorHAnsi" w:hAnsiTheme="minorHAnsi" w:cs="Calibri"/>
        </w:rPr>
        <w:t xml:space="preserve">/ </w:t>
      </w:r>
      <w:r w:rsidRPr="00E45723">
        <w:rPr>
          <w:rFonts w:asciiTheme="minorHAnsi" w:hAnsiTheme="minorHAnsi" w:cs="Calibri"/>
        </w:rPr>
        <w:t xml:space="preserve">Női: </w:t>
      </w:r>
      <w:r w:rsidRPr="00E45723">
        <w:rPr>
          <w:rFonts w:asciiTheme="minorHAnsi" w:hAnsiTheme="minorHAnsi" w:cs="Calibri"/>
          <w:bCs/>
        </w:rPr>
        <w:t>356</w:t>
      </w:r>
      <w:r w:rsidRPr="00E45723">
        <w:rPr>
          <w:rFonts w:asciiTheme="minorHAnsi" w:hAnsiTheme="minorHAnsi" w:cs="Calibri"/>
        </w:rPr>
        <w:t xml:space="preserve">,00 </w:t>
      </w:r>
      <w:r w:rsidRPr="00E45723">
        <w:rPr>
          <w:rFonts w:asciiTheme="minorHAnsi" w:hAnsiTheme="minorHAnsi" w:cs="Calibri"/>
          <w:b/>
        </w:rPr>
        <w:t>Liwo PL</w:t>
      </w:r>
      <w:r w:rsidR="00997F8C" w:rsidRPr="00E45723">
        <w:rPr>
          <w:rFonts w:asciiTheme="minorHAnsi" w:hAnsiTheme="minorHAnsi" w:cs="Calibri"/>
          <w:b/>
        </w:rPr>
        <w:t xml:space="preserve">: </w:t>
      </w:r>
      <w:r w:rsidRPr="00E45723">
        <w:rPr>
          <w:rFonts w:asciiTheme="minorHAnsi" w:hAnsiTheme="minorHAnsi" w:cs="Calibri"/>
        </w:rPr>
        <w:t xml:space="preserve">Férfi: 1354,00 </w:t>
      </w:r>
      <w:r w:rsidR="00997F8C" w:rsidRPr="00E45723">
        <w:rPr>
          <w:rFonts w:asciiTheme="minorHAnsi" w:hAnsiTheme="minorHAnsi" w:cs="Calibri"/>
        </w:rPr>
        <w:t xml:space="preserve">/ </w:t>
      </w:r>
      <w:r w:rsidRPr="00E45723">
        <w:rPr>
          <w:rFonts w:asciiTheme="minorHAnsi" w:hAnsiTheme="minorHAnsi" w:cs="Calibri"/>
        </w:rPr>
        <w:t xml:space="preserve">Női: 5416,00 </w:t>
      </w:r>
    </w:p>
    <w:p w14:paraId="0F0ED317" w14:textId="61FCCC5D"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Ideiglenes alkalmazottak teljes száma: 1</w:t>
      </w:r>
      <w:r w:rsidR="00997F8C" w:rsidRPr="00E45723">
        <w:rPr>
          <w:rFonts w:asciiTheme="minorHAnsi" w:hAnsiTheme="minorHAnsi" w:cs="Calibri"/>
          <w:b/>
        </w:rPr>
        <w:t xml:space="preserve"> </w:t>
      </w:r>
      <w:r w:rsidRPr="00E45723">
        <w:rPr>
          <w:rFonts w:asciiTheme="minorHAnsi" w:hAnsiTheme="minorHAnsi" w:cs="Calibri"/>
          <w:b/>
        </w:rPr>
        <w:t xml:space="preserve">967,0 </w:t>
      </w:r>
    </w:p>
    <w:p w14:paraId="46C4DC5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565,00 </w:t>
      </w:r>
    </w:p>
    <w:p w14:paraId="0945DE4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Női: 1402,00 </w:t>
      </w:r>
    </w:p>
    <w:p w14:paraId="586D407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Más: 0,00 </w:t>
      </w:r>
    </w:p>
    <w:p w14:paraId="724F7DB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Nem garanciális munkaórák száma összesen: 1624,0</w:t>
      </w:r>
      <w:r w:rsidRPr="00E45723">
        <w:rPr>
          <w:rFonts w:asciiTheme="minorHAnsi" w:hAnsiTheme="minorHAnsi" w:cs="Calibri"/>
          <w:b/>
          <w:bCs/>
        </w:rPr>
        <w:t>0</w:t>
      </w:r>
      <w:r w:rsidRPr="00E45723">
        <w:rPr>
          <w:rFonts w:asciiTheme="minorHAnsi" w:hAnsiTheme="minorHAnsi" w:cs="Calibri"/>
          <w:b/>
        </w:rPr>
        <w:t xml:space="preserve"> </w:t>
      </w:r>
    </w:p>
    <w:p w14:paraId="6E9760F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366,00 </w:t>
      </w:r>
    </w:p>
    <w:p w14:paraId="40701BF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Női: 1258,00 </w:t>
      </w:r>
    </w:p>
    <w:p w14:paraId="27EE38D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Más: 0,00 </w:t>
      </w:r>
    </w:p>
    <w:p w14:paraId="79073C9C"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
        </w:rPr>
        <w:t>Az alkalmazottak számát a következő helyen közöljük:</w:t>
      </w:r>
      <w:r w:rsidRPr="00E45723">
        <w:rPr>
          <w:rStyle w:val="BadgeCharacter"/>
          <w:rFonts w:asciiTheme="minorHAnsi" w:hAnsiTheme="minorHAnsi" w:cs="Calibri"/>
          <w:bCs/>
        </w:rPr>
        <w:t xml:space="preserve"> Létszám (HC) </w:t>
      </w:r>
    </w:p>
    <w:p w14:paraId="25AD28D4"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
        </w:rPr>
        <w:lastRenderedPageBreak/>
        <w:t>A munkavállalók számát jelentik</w:t>
      </w:r>
      <w:r w:rsidRPr="00E45723">
        <w:rPr>
          <w:rFonts w:asciiTheme="minorHAnsi" w:hAnsiTheme="minorHAnsi" w:cs="Calibri"/>
          <w:bCs/>
        </w:rPr>
        <w:t xml:space="preserve">: </w:t>
      </w:r>
      <w:r w:rsidRPr="00E45723">
        <w:rPr>
          <w:rStyle w:val="BadgeCharacter"/>
          <w:rFonts w:asciiTheme="minorHAnsi" w:hAnsiTheme="minorHAnsi" w:cs="Calibri"/>
          <w:bCs/>
        </w:rPr>
        <w:t xml:space="preserve">a jelentési időszak végén </w:t>
      </w:r>
    </w:p>
    <w:p w14:paraId="7F04261A" w14:textId="77777777" w:rsidR="00BD159D" w:rsidRPr="00E45723" w:rsidRDefault="00FD7771" w:rsidP="00FD7771">
      <w:pPr>
        <w:pStyle w:val="ListParagraph"/>
        <w:numPr>
          <w:ilvl w:val="0"/>
          <w:numId w:val="8"/>
        </w:numPr>
        <w:suppressAutoHyphens/>
        <w:rPr>
          <w:rFonts w:asciiTheme="minorHAnsi" w:hAnsiTheme="minorHAnsi" w:cs="Calibri"/>
        </w:rPr>
      </w:pPr>
      <w:r w:rsidRPr="00E45723">
        <w:rPr>
          <w:rFonts w:asciiTheme="minorHAnsi" w:hAnsiTheme="minorHAnsi" w:cs="Calibri"/>
        </w:rPr>
        <w:t>[ESRS S1 bek. 50 c)]</w:t>
      </w:r>
    </w:p>
    <w:p w14:paraId="5D36B286" w14:textId="33D9D405"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Eltávozott alkalmazottak: 9</w:t>
      </w:r>
      <w:r w:rsidR="00DA3314" w:rsidRPr="00E45723">
        <w:rPr>
          <w:rFonts w:asciiTheme="minorHAnsi" w:hAnsiTheme="minorHAnsi" w:cs="Calibri"/>
          <w:b/>
        </w:rPr>
        <w:t xml:space="preserve"> </w:t>
      </w:r>
      <w:r w:rsidRPr="00E45723">
        <w:rPr>
          <w:rFonts w:asciiTheme="minorHAnsi" w:hAnsiTheme="minorHAnsi" w:cs="Calibri"/>
          <w:b/>
        </w:rPr>
        <w:t xml:space="preserve">810,00 </w:t>
      </w:r>
    </w:p>
    <w:p w14:paraId="166B9AEB" w14:textId="6799ED70"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fluktuáció százalékos aránya: 46,76%</w:t>
      </w:r>
    </w:p>
    <w:p w14:paraId="3922F3DA" w14:textId="77777777" w:rsidR="00BD159D" w:rsidRPr="00E45723" w:rsidRDefault="00FD7771" w:rsidP="00EA3B06">
      <w:pPr>
        <w:pStyle w:val="Heading3"/>
        <w:suppressAutoHyphens/>
        <w:rPr>
          <w:rFonts w:asciiTheme="minorHAnsi" w:hAnsiTheme="minorHAnsi" w:cs="Calibri"/>
        </w:rPr>
      </w:pPr>
      <w:bookmarkStart w:id="70" w:name="_Toc239834947"/>
      <w:r w:rsidRPr="00E45723">
        <w:rPr>
          <w:rFonts w:asciiTheme="minorHAnsi" w:hAnsiTheme="minorHAnsi" w:cs="Calibri"/>
        </w:rPr>
        <w:t>S1-9 Sokszínűségi mutatók</w:t>
      </w:r>
      <w:bookmarkEnd w:id="70"/>
    </w:p>
    <w:p w14:paraId="0CF1BACE"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felsővezetés saját definíciójának közzététele</w:t>
      </w:r>
    </w:p>
    <w:p w14:paraId="309824B0" w14:textId="77777777" w:rsidR="00BD159D" w:rsidRPr="00E45723" w:rsidRDefault="00FD7771">
      <w:pPr>
        <w:suppressAutoHyphens/>
        <w:rPr>
          <w:rFonts w:asciiTheme="minorHAnsi" w:hAnsiTheme="minorHAnsi" w:cs="Calibri"/>
        </w:rPr>
      </w:pPr>
      <w:r w:rsidRPr="00E45723">
        <w:rPr>
          <w:rFonts w:asciiTheme="minorHAnsi" w:hAnsiTheme="minorHAnsi" w:cs="Calibri"/>
        </w:rPr>
        <w:t>A felsővezetés LIWO FM vezérigazgatójából és az Executive Board (anyavállalati menedzsment) tagjaiból áll.</w:t>
      </w:r>
    </w:p>
    <w:p w14:paraId="57C44216" w14:textId="77777777" w:rsidR="00BD159D" w:rsidRPr="00E45723" w:rsidRDefault="00FD7771">
      <w:pPr>
        <w:suppressAutoHyphens/>
        <w:rPr>
          <w:rFonts w:asciiTheme="minorHAnsi" w:hAnsiTheme="minorHAnsi" w:cs="Calibri"/>
        </w:rPr>
      </w:pPr>
      <w:r w:rsidRPr="00E45723">
        <w:rPr>
          <w:rFonts w:asciiTheme="minorHAnsi" w:hAnsiTheme="minorHAnsi" w:cs="Calibri"/>
        </w:rPr>
        <w:t>[ESRS S1 bek. 66 a)]</w:t>
      </w:r>
    </w:p>
    <w:p w14:paraId="1F283124"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felsővezetői szintű alkalmazottak száma (főösszeg) nemenként LIWO FM: 9</w:t>
      </w:r>
    </w:p>
    <w:p w14:paraId="63F2022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5 </w:t>
      </w:r>
    </w:p>
    <w:p w14:paraId="564A58D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Női: 4 </w:t>
      </w:r>
    </w:p>
    <w:p w14:paraId="0D2754D5" w14:textId="2AEFEE4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Alkalmazottak létszáma korcsoportok szerint: 18</w:t>
      </w:r>
      <w:r w:rsidR="00DA3314" w:rsidRPr="00E45723">
        <w:rPr>
          <w:rFonts w:asciiTheme="minorHAnsi" w:hAnsiTheme="minorHAnsi" w:cs="Calibri"/>
          <w:b/>
        </w:rPr>
        <w:t xml:space="preserve"> </w:t>
      </w:r>
      <w:r w:rsidRPr="00E45723">
        <w:rPr>
          <w:rFonts w:asciiTheme="minorHAnsi" w:hAnsiTheme="minorHAnsi" w:cs="Calibri"/>
          <w:b/>
        </w:rPr>
        <w:t xml:space="preserve">370,00 </w:t>
      </w:r>
    </w:p>
    <w:p w14:paraId="38EE38BC" w14:textId="4805F253"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Kevesebb, mint 30: 2</w:t>
      </w:r>
      <w:r w:rsidR="00DA3314" w:rsidRPr="00E45723">
        <w:rPr>
          <w:rFonts w:asciiTheme="minorHAnsi" w:hAnsiTheme="minorHAnsi" w:cs="Calibri"/>
        </w:rPr>
        <w:t xml:space="preserve"> </w:t>
      </w:r>
      <w:r w:rsidRPr="00E45723">
        <w:rPr>
          <w:rFonts w:asciiTheme="minorHAnsi" w:hAnsiTheme="minorHAnsi" w:cs="Calibri"/>
        </w:rPr>
        <w:t xml:space="preserve">139,50 </w:t>
      </w:r>
    </w:p>
    <w:p w14:paraId="26035778" w14:textId="330BE342"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30-tól 50-ig: 6</w:t>
      </w:r>
      <w:r w:rsidR="00DA3314" w:rsidRPr="00E45723">
        <w:rPr>
          <w:rFonts w:asciiTheme="minorHAnsi" w:hAnsiTheme="minorHAnsi" w:cs="Calibri"/>
        </w:rPr>
        <w:t xml:space="preserve"> </w:t>
      </w:r>
      <w:r w:rsidRPr="00E45723">
        <w:rPr>
          <w:rFonts w:asciiTheme="minorHAnsi" w:hAnsiTheme="minorHAnsi" w:cs="Calibri"/>
        </w:rPr>
        <w:t xml:space="preserve">211,90 </w:t>
      </w:r>
    </w:p>
    <w:p w14:paraId="693F61E5" w14:textId="062A787D"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Több mint 50: 10</w:t>
      </w:r>
      <w:r w:rsidR="00DA3314" w:rsidRPr="00E45723">
        <w:rPr>
          <w:rFonts w:asciiTheme="minorHAnsi" w:hAnsiTheme="minorHAnsi" w:cs="Calibri"/>
        </w:rPr>
        <w:t xml:space="preserve"> </w:t>
      </w:r>
      <w:r w:rsidRPr="00E45723">
        <w:rPr>
          <w:rFonts w:asciiTheme="minorHAnsi" w:hAnsiTheme="minorHAnsi" w:cs="Calibri"/>
        </w:rPr>
        <w:t xml:space="preserve">018,60 </w:t>
      </w:r>
    </w:p>
    <w:p w14:paraId="3F9B7D16" w14:textId="77777777" w:rsidR="00BD159D" w:rsidRPr="00E45723" w:rsidRDefault="00FD7771" w:rsidP="00DA3314">
      <w:pPr>
        <w:rPr>
          <w:rFonts w:asciiTheme="minorHAnsi" w:hAnsiTheme="minorHAnsi" w:cs="Calibri"/>
          <w:i/>
          <w:iCs/>
        </w:rPr>
      </w:pPr>
      <w:r w:rsidRPr="00E45723">
        <w:rPr>
          <w:rFonts w:asciiTheme="minorHAnsi" w:hAnsiTheme="minorHAnsi" w:cs="Calibri"/>
          <w:i/>
          <w:iCs/>
        </w:rPr>
        <w:t>Az adatok LIWO Németország, Magyarország és Olaszország alkalmazottaira vonatkoznak</w:t>
      </w:r>
    </w:p>
    <w:p w14:paraId="4B1A883D" w14:textId="77777777" w:rsidR="00BD159D" w:rsidRPr="00E45723" w:rsidRDefault="00FD7771" w:rsidP="00DA3314">
      <w:pPr>
        <w:pStyle w:val="Heading3"/>
        <w:suppressAutoHyphens/>
        <w:spacing w:after="240"/>
        <w:rPr>
          <w:rFonts w:asciiTheme="minorHAnsi" w:hAnsiTheme="minorHAnsi" w:cs="Calibri"/>
        </w:rPr>
      </w:pPr>
      <w:bookmarkStart w:id="71" w:name="_Toc239834948"/>
      <w:r w:rsidRPr="00E45723">
        <w:rPr>
          <w:rFonts w:asciiTheme="minorHAnsi" w:hAnsiTheme="minorHAnsi" w:cs="Calibri"/>
        </w:rPr>
        <w:t>S1-10 Megfelelő bérek</w:t>
      </w:r>
      <w:bookmarkEnd w:id="71"/>
    </w:p>
    <w:p w14:paraId="53E95E6E" w14:textId="77777777" w:rsidR="00BD159D" w:rsidRPr="00E45723" w:rsidRDefault="00FD7771" w:rsidP="00DA3314">
      <w:pPr>
        <w:pStyle w:val="ListParagraph"/>
        <w:suppressAutoHyphens/>
        <w:ind w:left="0"/>
        <w:rPr>
          <w:rFonts w:asciiTheme="minorHAnsi" w:hAnsiTheme="minorHAnsi" w:cs="Calibri"/>
        </w:rPr>
      </w:pPr>
      <w:r w:rsidRPr="00E45723">
        <w:rPr>
          <w:rFonts w:asciiTheme="minorHAnsi" w:hAnsiTheme="minorHAnsi" w:cs="Calibri"/>
        </w:rPr>
        <w:t>[ESRS S1 bek. 69] Minden alkalmazott megfelelő bért kap piaci benchmarknak megfelelően. Minden saját munkaerőn belül nem alkalmazottként foglalkoztatott munkavállaló megfelelő bért kap. Az alkalmazott referenciaértéket a működés szerinti országokban érvényes jogszabályi minimálbér-követelmények jelentik.</w:t>
      </w:r>
    </w:p>
    <w:p w14:paraId="3AD88CBC" w14:textId="77777777" w:rsidR="00BD159D" w:rsidRPr="00E45723" w:rsidRDefault="00FD7771" w:rsidP="00EA3B06">
      <w:pPr>
        <w:pStyle w:val="Heading3"/>
        <w:suppressAutoHyphens/>
        <w:rPr>
          <w:rFonts w:asciiTheme="minorHAnsi" w:hAnsiTheme="minorHAnsi" w:cs="Calibri"/>
        </w:rPr>
      </w:pPr>
      <w:bookmarkStart w:id="72" w:name="_Toc239834949"/>
      <w:r w:rsidRPr="00E45723">
        <w:rPr>
          <w:rFonts w:asciiTheme="minorHAnsi" w:hAnsiTheme="minorHAnsi" w:cs="Calibri"/>
        </w:rPr>
        <w:t>S1-11 Társadalmi védelem</w:t>
      </w:r>
      <w:bookmarkEnd w:id="72"/>
    </w:p>
    <w:p w14:paraId="209BDBEB" w14:textId="77777777" w:rsidR="00BD159D" w:rsidRPr="00E45723" w:rsidRDefault="00FD7771" w:rsidP="00EA3B06">
      <w:pPr>
        <w:pStyle w:val="BodyText"/>
        <w:rPr>
          <w:rFonts w:asciiTheme="minorHAnsi" w:hAnsiTheme="minorHAnsi" w:cs="Calibri"/>
          <w:b/>
          <w:bCs/>
        </w:rPr>
      </w:pPr>
      <w:r w:rsidRPr="00E45723">
        <w:rPr>
          <w:rFonts w:asciiTheme="minorHAnsi" w:hAnsiTheme="minorHAnsi" w:cs="Calibri"/>
          <w:b/>
          <w:bCs/>
        </w:rPr>
        <w:t>A LIWO Group tagvállalatainál minden saját munkaerő-állományú alkalmazott szociális védelemben részesül, állami programokon vagy felajánlott juttatásokon keresztül, így minden munkavállaló számára biztosítottak azok a juttatások, amelyek a jelentős életeseményekhez (betegség, munkanélküliség, munkahelyi sérülés, gyermekvállalás, nyugdíjazás) kapcsolódó jövedelemkiesés elleni védelmet szolgálják. Egyes esetekben ezen felül további juttatásokat vagy kedvezményeket is biztosítanak.</w:t>
      </w:r>
    </w:p>
    <w:p w14:paraId="16509520" w14:textId="77777777" w:rsidR="00BD159D" w:rsidRPr="00E45723" w:rsidRDefault="00FD7771" w:rsidP="00DA3314">
      <w:pPr>
        <w:pStyle w:val="Heading3"/>
        <w:suppressAutoHyphens/>
        <w:spacing w:after="240"/>
        <w:rPr>
          <w:rFonts w:asciiTheme="minorHAnsi" w:hAnsiTheme="minorHAnsi" w:cs="Calibri"/>
        </w:rPr>
      </w:pPr>
      <w:bookmarkStart w:id="73" w:name="_Toc239834950"/>
      <w:r w:rsidRPr="00E45723">
        <w:rPr>
          <w:rFonts w:asciiTheme="minorHAnsi" w:hAnsiTheme="minorHAnsi" w:cs="Calibri"/>
        </w:rPr>
        <w:t>S1-12 Képzési és készségfejlesztési mutatók</w:t>
      </w:r>
      <w:bookmarkEnd w:id="73"/>
    </w:p>
    <w:p w14:paraId="2C759C6E" w14:textId="77777777" w:rsidR="00BD159D" w:rsidRPr="00E45723" w:rsidRDefault="00FD7771">
      <w:pPr>
        <w:suppressAutoHyphens/>
        <w:rPr>
          <w:rFonts w:asciiTheme="minorHAnsi" w:hAnsiTheme="minorHAnsi" w:cs="Calibri"/>
        </w:rPr>
      </w:pPr>
      <w:r w:rsidRPr="00E45723">
        <w:rPr>
          <w:rFonts w:asciiTheme="minorHAnsi" w:hAnsiTheme="minorHAnsi" w:cs="Calibri"/>
          <w:bCs/>
        </w:rPr>
        <w:t>[ESRS S1 bek. 83 a)] [ESRS S1 bek. 84.] [ESRS S1 bek. 85.]</w:t>
      </w:r>
    </w:p>
    <w:p w14:paraId="36FEFD74" w14:textId="77531002"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rendszeres teljesítmény- és karrierfejlesztési értékelésekben részt vevő alkalmazottak száma nemek szerint: 1</w:t>
      </w:r>
      <w:r w:rsidR="00DA3314" w:rsidRPr="00E45723">
        <w:rPr>
          <w:rFonts w:asciiTheme="minorHAnsi" w:hAnsiTheme="minorHAnsi" w:cs="Calibri"/>
          <w:b/>
        </w:rPr>
        <w:t xml:space="preserve"> </w:t>
      </w:r>
      <w:r w:rsidRPr="00E45723">
        <w:rPr>
          <w:rFonts w:asciiTheme="minorHAnsi" w:hAnsiTheme="minorHAnsi" w:cs="Calibri"/>
          <w:b/>
        </w:rPr>
        <w:t xml:space="preserve">519,00 </w:t>
      </w:r>
    </w:p>
    <w:p w14:paraId="6F4E2EA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550,00 </w:t>
      </w:r>
    </w:p>
    <w:p w14:paraId="2560522D"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 xml:space="preserve">Női: 969,00 </w:t>
      </w:r>
    </w:p>
    <w:p w14:paraId="7B3D40E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Más: 0,00 </w:t>
      </w:r>
    </w:p>
    <w:p w14:paraId="77F0568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Neme nincs megadva: 0,00 </w:t>
      </w:r>
    </w:p>
    <w:p w14:paraId="5A346D41" w14:textId="77777777" w:rsidR="00BD159D" w:rsidRPr="00E45723" w:rsidRDefault="00FD7771" w:rsidP="00DA3314">
      <w:pPr>
        <w:suppressAutoHyphens/>
        <w:rPr>
          <w:rFonts w:asciiTheme="minorHAnsi" w:hAnsiTheme="minorHAnsi" w:cs="Calibri"/>
          <w:i/>
          <w:iCs/>
        </w:rPr>
      </w:pPr>
      <w:r w:rsidRPr="00E45723">
        <w:rPr>
          <w:rFonts w:asciiTheme="minorHAnsi" w:hAnsiTheme="minorHAnsi" w:cs="Calibri"/>
          <w:i/>
          <w:iCs/>
        </w:rPr>
        <w:t>Az adatok kizárólag a LIWO Romániára és Bulgáriára vonatkoznak.</w:t>
      </w:r>
    </w:p>
    <w:p w14:paraId="2B8CF3B4" w14:textId="2D7186F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képzési órák teljes száma nemek szerint: 63</w:t>
      </w:r>
      <w:r w:rsidR="00DA3314" w:rsidRPr="00E45723">
        <w:rPr>
          <w:rFonts w:asciiTheme="minorHAnsi" w:hAnsiTheme="minorHAnsi" w:cs="Calibri"/>
          <w:b/>
        </w:rPr>
        <w:t xml:space="preserve"> </w:t>
      </w:r>
      <w:r w:rsidRPr="00E45723">
        <w:rPr>
          <w:rFonts w:asciiTheme="minorHAnsi" w:hAnsiTheme="minorHAnsi" w:cs="Calibri"/>
          <w:b/>
        </w:rPr>
        <w:t xml:space="preserve">132,50 </w:t>
      </w:r>
    </w:p>
    <w:p w14:paraId="596E1B47" w14:textId="16EDF724"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Férfi: 26</w:t>
      </w:r>
      <w:r w:rsidR="00DA3314" w:rsidRPr="00E45723">
        <w:rPr>
          <w:rFonts w:asciiTheme="minorHAnsi" w:hAnsiTheme="minorHAnsi" w:cs="Calibri"/>
        </w:rPr>
        <w:t xml:space="preserve"> </w:t>
      </w:r>
      <w:r w:rsidRPr="00E45723">
        <w:rPr>
          <w:rFonts w:asciiTheme="minorHAnsi" w:hAnsiTheme="minorHAnsi" w:cs="Calibri"/>
        </w:rPr>
        <w:t xml:space="preserve">351,00 </w:t>
      </w:r>
    </w:p>
    <w:p w14:paraId="7019594B" w14:textId="1D39B4F0"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Női: 36</w:t>
      </w:r>
      <w:r w:rsidR="00DA3314" w:rsidRPr="00E45723">
        <w:rPr>
          <w:rFonts w:asciiTheme="minorHAnsi" w:hAnsiTheme="minorHAnsi" w:cs="Calibri"/>
        </w:rPr>
        <w:t xml:space="preserve"> </w:t>
      </w:r>
      <w:r w:rsidRPr="00E45723">
        <w:rPr>
          <w:rFonts w:asciiTheme="minorHAnsi" w:hAnsiTheme="minorHAnsi" w:cs="Calibri"/>
        </w:rPr>
        <w:t xml:space="preserve">781,50 </w:t>
      </w:r>
    </w:p>
    <w:p w14:paraId="17837EA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Más: 0,00 </w:t>
      </w:r>
    </w:p>
    <w:p w14:paraId="2A9F39A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Neme nincs megadva: 0,00 </w:t>
      </w:r>
    </w:p>
    <w:p w14:paraId="39741CE7" w14:textId="77777777" w:rsidR="00BD159D" w:rsidRPr="00E45723" w:rsidRDefault="00FD7771" w:rsidP="00DA3314">
      <w:pPr>
        <w:suppressAutoHyphens/>
        <w:rPr>
          <w:rFonts w:asciiTheme="minorHAnsi" w:hAnsiTheme="minorHAnsi" w:cs="Calibri"/>
          <w:i/>
          <w:iCs/>
        </w:rPr>
      </w:pPr>
      <w:r w:rsidRPr="00E45723">
        <w:rPr>
          <w:rFonts w:asciiTheme="minorHAnsi" w:hAnsiTheme="minorHAnsi" w:cs="Calibri"/>
          <w:i/>
          <w:iCs/>
        </w:rPr>
        <w:t>Az adatok kizárólag a LIWO Németországra, Romániára és Bulgáriára, Magyarországra és Szlovéniára vonatkoznak.</w:t>
      </w:r>
    </w:p>
    <w:p w14:paraId="3FF95A5F" w14:textId="04A0F206"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Az alkalmazottankénti átlagos képzési órák száma nemek szerint: 23,90 </w:t>
      </w:r>
    </w:p>
    <w:p w14:paraId="7368DF9A" w14:textId="7C6C8DC6"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rendszeres teljesítmény- és karrierfejlesztési értékelésekben részt vevő alkalmazottak száma alkalmazotti kategóriák szerint: 1</w:t>
      </w:r>
      <w:r w:rsidR="00CE3D94" w:rsidRPr="00E45723">
        <w:rPr>
          <w:rFonts w:asciiTheme="minorHAnsi" w:hAnsiTheme="minorHAnsi" w:cs="Calibri"/>
          <w:b/>
        </w:rPr>
        <w:t xml:space="preserve"> </w:t>
      </w:r>
      <w:r w:rsidRPr="00E45723">
        <w:rPr>
          <w:rFonts w:asciiTheme="minorHAnsi" w:hAnsiTheme="minorHAnsi" w:cs="Calibri"/>
          <w:b/>
        </w:rPr>
        <w:t xml:space="preserve">539,00 </w:t>
      </w:r>
    </w:p>
    <w:p w14:paraId="19571A4C"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Műszaki: 164,00 </w:t>
      </w:r>
    </w:p>
    <w:p w14:paraId="3D98991F"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Közigazgatási: 73,00 </w:t>
      </w:r>
    </w:p>
    <w:p w14:paraId="223706FE" w14:textId="20E0565F"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Termelés: 1</w:t>
      </w:r>
      <w:r w:rsidR="00CE3D94" w:rsidRPr="00E45723">
        <w:rPr>
          <w:rFonts w:asciiTheme="minorHAnsi" w:hAnsiTheme="minorHAnsi" w:cs="Calibri"/>
        </w:rPr>
        <w:t xml:space="preserve"> </w:t>
      </w:r>
      <w:r w:rsidRPr="00E45723">
        <w:rPr>
          <w:rFonts w:asciiTheme="minorHAnsi" w:hAnsiTheme="minorHAnsi" w:cs="Calibri"/>
        </w:rPr>
        <w:t xml:space="preserve">296,00 </w:t>
      </w:r>
    </w:p>
    <w:p w14:paraId="3413F1C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Felsővezetés: 6,00 </w:t>
      </w:r>
    </w:p>
    <w:p w14:paraId="7C2E246B" w14:textId="77777777" w:rsidR="00BD159D" w:rsidRPr="00E45723" w:rsidRDefault="00FD7771" w:rsidP="00CE3D94">
      <w:pPr>
        <w:suppressAutoHyphens/>
        <w:rPr>
          <w:rFonts w:asciiTheme="minorHAnsi" w:hAnsiTheme="minorHAnsi" w:cs="Calibri"/>
          <w:i/>
          <w:iCs/>
        </w:rPr>
      </w:pPr>
      <w:r w:rsidRPr="00E45723">
        <w:rPr>
          <w:rFonts w:asciiTheme="minorHAnsi" w:hAnsiTheme="minorHAnsi" w:cs="Calibri"/>
          <w:i/>
          <w:iCs/>
        </w:rPr>
        <w:t>Az adatok kizárólag a LIWO Romániára és Bulgáriára vonatkoznak.</w:t>
      </w:r>
    </w:p>
    <w:p w14:paraId="30AEF46D" w14:textId="6B87D9AA"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alkalmazottak teljes száma alkalmazotti kategóriák szerint: 2</w:t>
      </w:r>
      <w:r w:rsidR="00CE3D94" w:rsidRPr="00E45723">
        <w:rPr>
          <w:rFonts w:asciiTheme="minorHAnsi" w:hAnsiTheme="minorHAnsi" w:cs="Calibri"/>
          <w:b/>
        </w:rPr>
        <w:t xml:space="preserve"> </w:t>
      </w:r>
      <w:r w:rsidRPr="00E45723">
        <w:rPr>
          <w:rFonts w:asciiTheme="minorHAnsi" w:hAnsiTheme="minorHAnsi" w:cs="Calibri"/>
          <w:b/>
        </w:rPr>
        <w:t xml:space="preserve">851,00 </w:t>
      </w:r>
    </w:p>
    <w:p w14:paraId="42E3CC52" w14:textId="25F39D5A"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Műszaki: 1</w:t>
      </w:r>
      <w:r w:rsidR="00CE3D94" w:rsidRPr="00E45723">
        <w:rPr>
          <w:rFonts w:asciiTheme="minorHAnsi" w:hAnsiTheme="minorHAnsi" w:cs="Calibri"/>
        </w:rPr>
        <w:t xml:space="preserve"> </w:t>
      </w:r>
      <w:r w:rsidRPr="00E45723">
        <w:rPr>
          <w:rFonts w:asciiTheme="minorHAnsi" w:hAnsiTheme="minorHAnsi" w:cs="Calibri"/>
        </w:rPr>
        <w:t xml:space="preserve">210,00 </w:t>
      </w:r>
    </w:p>
    <w:p w14:paraId="38222DA5"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Közigazgatási: 329,00 </w:t>
      </w:r>
    </w:p>
    <w:p w14:paraId="123DF434" w14:textId="254CEBF6"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Termelés: 1</w:t>
      </w:r>
      <w:r w:rsidR="00CE3D94" w:rsidRPr="00E45723">
        <w:rPr>
          <w:rFonts w:asciiTheme="minorHAnsi" w:hAnsiTheme="minorHAnsi" w:cs="Calibri"/>
        </w:rPr>
        <w:t xml:space="preserve"> </w:t>
      </w:r>
      <w:r w:rsidRPr="00E45723">
        <w:rPr>
          <w:rFonts w:asciiTheme="minorHAnsi" w:hAnsiTheme="minorHAnsi" w:cs="Calibri"/>
        </w:rPr>
        <w:t xml:space="preserve">300,00 </w:t>
      </w:r>
    </w:p>
    <w:p w14:paraId="6DCE1986"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Felsővezetés: 12,00</w:t>
      </w:r>
    </w:p>
    <w:p w14:paraId="16B61115" w14:textId="77777777" w:rsidR="00BD159D" w:rsidRPr="00E45723" w:rsidRDefault="00FD7771" w:rsidP="00CE3D94">
      <w:pPr>
        <w:suppressAutoHyphens/>
        <w:rPr>
          <w:rFonts w:asciiTheme="minorHAnsi" w:hAnsiTheme="minorHAnsi" w:cs="Calibri"/>
          <w:i/>
          <w:iCs/>
        </w:rPr>
      </w:pPr>
      <w:r w:rsidRPr="00E45723">
        <w:rPr>
          <w:rFonts w:asciiTheme="minorHAnsi" w:hAnsiTheme="minorHAnsi" w:cs="Calibri"/>
          <w:i/>
          <w:iCs/>
        </w:rPr>
        <w:t>Az adatok kizárólag a LIWO Németországra, Romániára és Bulgáriára, Magyarországra és Szlovéniára vonatkoznak.</w:t>
      </w:r>
    </w:p>
    <w:p w14:paraId="3C5A5F83" w14:textId="71969A3D"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rendszeres teljesítmény- és karrierfejlesztési értékelésekben részt vevő alkalmazottak aránya alkalmazotti kategóriák szerint: 53,98%</w:t>
      </w:r>
    </w:p>
    <w:p w14:paraId="412FF711" w14:textId="39A7FB9D"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átlagos képzési óraszám alkalmazotti kategóriák szerint: 2</w:t>
      </w:r>
      <w:r w:rsidR="00CE3D94" w:rsidRPr="00E45723">
        <w:rPr>
          <w:rFonts w:asciiTheme="minorHAnsi" w:hAnsiTheme="minorHAnsi" w:cs="Calibri"/>
          <w:b/>
        </w:rPr>
        <w:t xml:space="preserve"> </w:t>
      </w:r>
      <w:r w:rsidRPr="00E45723">
        <w:rPr>
          <w:rFonts w:asciiTheme="minorHAnsi" w:hAnsiTheme="minorHAnsi" w:cs="Calibri"/>
          <w:b/>
        </w:rPr>
        <w:t>851,00 hrs</w:t>
      </w:r>
    </w:p>
    <w:p w14:paraId="1C3A4C31" w14:textId="2BD3A611"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 nem alkalmazottként foglalkoztatott munkavállalók képzési óráinak teljes száma nemek szerint: 135,50 </w:t>
      </w:r>
    </w:p>
    <w:p w14:paraId="0389C56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Férfi: 130,50 </w:t>
      </w:r>
    </w:p>
    <w:p w14:paraId="5766AC7A"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 xml:space="preserve">Női: 5,00 </w:t>
      </w:r>
    </w:p>
    <w:p w14:paraId="18F396A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Más: 0,00 </w:t>
      </w:r>
    </w:p>
    <w:p w14:paraId="53E7E980"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Neme nincs megadva: 0,00 </w:t>
      </w:r>
    </w:p>
    <w:p w14:paraId="02F5A301" w14:textId="77777777" w:rsidR="00BD159D" w:rsidRPr="00E45723" w:rsidRDefault="00FD7771" w:rsidP="00CE3D94">
      <w:pPr>
        <w:suppressAutoHyphens/>
        <w:rPr>
          <w:rFonts w:asciiTheme="minorHAnsi" w:hAnsiTheme="minorHAnsi" w:cs="Calibri"/>
          <w:i/>
          <w:iCs/>
        </w:rPr>
      </w:pPr>
      <w:r w:rsidRPr="00E45723">
        <w:rPr>
          <w:rFonts w:asciiTheme="minorHAnsi" w:hAnsiTheme="minorHAnsi" w:cs="Calibri"/>
          <w:i/>
          <w:iCs/>
        </w:rPr>
        <w:t>Az adatok kizárólag a LIWO Lengyelországra vonatkoznak.</w:t>
      </w:r>
    </w:p>
    <w:p w14:paraId="1EA6CC47" w14:textId="77777777" w:rsidR="00BD159D" w:rsidRPr="00E45723" w:rsidRDefault="00FD7771" w:rsidP="00EA3B06">
      <w:pPr>
        <w:pStyle w:val="Heading3"/>
        <w:suppressAutoHyphens/>
        <w:rPr>
          <w:rFonts w:asciiTheme="minorHAnsi" w:hAnsiTheme="minorHAnsi" w:cs="Calibri"/>
        </w:rPr>
      </w:pPr>
      <w:bookmarkStart w:id="74" w:name="_Toc239835015"/>
      <w:r w:rsidRPr="00E45723">
        <w:rPr>
          <w:rFonts w:asciiTheme="minorHAnsi" w:hAnsiTheme="minorHAnsi" w:cs="Calibri"/>
        </w:rPr>
        <w:t>S1-14 Egészségügyi és biztonsági mutatók</w:t>
      </w:r>
      <w:bookmarkEnd w:id="74"/>
    </w:p>
    <w:p w14:paraId="7FF7715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S1 bek. 88 b, c, d, e)] [ESRS S1 bek. 90]</w:t>
      </w:r>
    </w:p>
    <w:p w14:paraId="52C3331A" w14:textId="7A68FC8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vállalat saját munkaerejének száma, amelyre kiterjed a munka- és egészségvédelmi irányítási rendszer.: 19</w:t>
      </w:r>
      <w:r w:rsidR="00B84336" w:rsidRPr="00E45723">
        <w:rPr>
          <w:rFonts w:asciiTheme="minorHAnsi" w:hAnsiTheme="minorHAnsi" w:cs="Calibri"/>
          <w:b/>
        </w:rPr>
        <w:t xml:space="preserve"> </w:t>
      </w:r>
      <w:r w:rsidRPr="00E45723">
        <w:rPr>
          <w:rFonts w:asciiTheme="minorHAnsi" w:hAnsiTheme="minorHAnsi" w:cs="Calibri"/>
          <w:b/>
        </w:rPr>
        <w:t xml:space="preserve">572,00 </w:t>
      </w:r>
    </w:p>
    <w:p w14:paraId="258C3DE5" w14:textId="0910DA4B"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Alkalmazottak: 18</w:t>
      </w:r>
      <w:r w:rsidR="00B84336" w:rsidRPr="00E45723">
        <w:rPr>
          <w:rFonts w:asciiTheme="minorHAnsi" w:hAnsiTheme="minorHAnsi" w:cs="Calibri"/>
        </w:rPr>
        <w:t xml:space="preserve"> </w:t>
      </w:r>
      <w:r w:rsidRPr="00E45723">
        <w:rPr>
          <w:rFonts w:asciiTheme="minorHAnsi" w:hAnsiTheme="minorHAnsi" w:cs="Calibri"/>
        </w:rPr>
        <w:t xml:space="preserve">773,00 </w:t>
      </w:r>
    </w:p>
    <w:p w14:paraId="102F3EAE"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 alkalmazottak: 799,00 </w:t>
      </w:r>
    </w:p>
    <w:p w14:paraId="7F844D6F" w14:textId="77777777" w:rsidR="00BD159D" w:rsidRPr="00E45723" w:rsidRDefault="00FD7771" w:rsidP="00B84336">
      <w:pPr>
        <w:rPr>
          <w:rFonts w:asciiTheme="minorHAnsi" w:hAnsiTheme="minorHAnsi" w:cs="Calibri"/>
          <w:i/>
          <w:iCs/>
        </w:rPr>
      </w:pPr>
      <w:r w:rsidRPr="00E45723">
        <w:rPr>
          <w:rFonts w:asciiTheme="minorHAnsi" w:hAnsiTheme="minorHAnsi" w:cs="Calibri"/>
          <w:i/>
          <w:iCs/>
        </w:rPr>
        <w:t>Az adatok a LIWO Németországra, Magyarországra, Olaszországra, Romániára, Bulgáriára és Szlovéniára vonatkoznak.</w:t>
      </w:r>
    </w:p>
    <w:p w14:paraId="1762D5F9" w14:textId="358E060B"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Azon nem alkalmazottként foglalkoztatott munkavállalók százalékos aránya, akik részt vettek rendszeres teljesítmény- és karrierfejlesztési értékelésekben.: 19</w:t>
      </w:r>
      <w:r w:rsidR="00B84336" w:rsidRPr="00E45723">
        <w:rPr>
          <w:rFonts w:asciiTheme="minorHAnsi" w:hAnsiTheme="minorHAnsi" w:cs="Calibri"/>
          <w:b/>
        </w:rPr>
        <w:t xml:space="preserve"> </w:t>
      </w:r>
      <w:r w:rsidRPr="00E45723">
        <w:rPr>
          <w:rFonts w:asciiTheme="minorHAnsi" w:hAnsiTheme="minorHAnsi" w:cs="Calibri"/>
          <w:b/>
        </w:rPr>
        <w:t xml:space="preserve">254,00 </w:t>
      </w:r>
    </w:p>
    <w:p w14:paraId="45B75D11" w14:textId="76F99F63"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Saját munkaerő: 19</w:t>
      </w:r>
      <w:r w:rsidR="00B84336" w:rsidRPr="00E45723">
        <w:rPr>
          <w:rFonts w:asciiTheme="minorHAnsi" w:hAnsiTheme="minorHAnsi" w:cs="Calibri"/>
          <w:b/>
        </w:rPr>
        <w:t xml:space="preserve"> </w:t>
      </w:r>
      <w:r w:rsidRPr="00E45723">
        <w:rPr>
          <w:rFonts w:asciiTheme="minorHAnsi" w:hAnsiTheme="minorHAnsi" w:cs="Calibri"/>
          <w:b/>
        </w:rPr>
        <w:t>254,00</w:t>
      </w:r>
    </w:p>
    <w:p w14:paraId="267A2414" w14:textId="77777777" w:rsidR="00BD159D" w:rsidRPr="00E45723" w:rsidRDefault="00FD7771" w:rsidP="00B84336">
      <w:pPr>
        <w:suppressAutoHyphens/>
        <w:rPr>
          <w:rFonts w:asciiTheme="minorHAnsi" w:hAnsiTheme="minorHAnsi" w:cs="Calibri"/>
          <w:i/>
          <w:iCs/>
        </w:rPr>
      </w:pPr>
      <w:r w:rsidRPr="00E45723">
        <w:rPr>
          <w:rFonts w:asciiTheme="minorHAnsi" w:hAnsiTheme="minorHAnsi" w:cs="Calibri"/>
          <w:i/>
          <w:iCs/>
        </w:rPr>
        <w:t>Az adatok kizárólag a LIWO Németországra, Magyarországra, Olaszországra, Romániára, Bulgáriára és Szlovéniára vonatkoznak.</w:t>
      </w:r>
    </w:p>
    <w:p w14:paraId="044D06F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Saját munkaerő körében regisztrálható munkahelyi balesetek száma: 575,00 </w:t>
      </w:r>
    </w:p>
    <w:p w14:paraId="1A118914"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Alkalmazottak: 575,00 </w:t>
      </w:r>
    </w:p>
    <w:p w14:paraId="2DC4791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 alkalmazottak: 0,00 </w:t>
      </w:r>
    </w:p>
    <w:p w14:paraId="6566435E" w14:textId="77777777" w:rsidR="00BD159D" w:rsidRPr="00E45723" w:rsidRDefault="00FD7771" w:rsidP="00B84336">
      <w:pPr>
        <w:suppressAutoHyphens/>
        <w:rPr>
          <w:rFonts w:asciiTheme="minorHAnsi" w:hAnsiTheme="minorHAnsi" w:cs="Calibri"/>
          <w:i/>
          <w:iCs/>
        </w:rPr>
      </w:pPr>
      <w:r w:rsidRPr="00E45723">
        <w:rPr>
          <w:rFonts w:asciiTheme="minorHAnsi" w:hAnsiTheme="minorHAnsi" w:cs="Calibri"/>
          <w:i/>
          <w:iCs/>
        </w:rPr>
        <w:t>Az adatok kizárólag a LIWO Németországra, Magyarországra, Olaszországra, Romániára, Bulgáriára, Lengyelországra és Szlovéniára vonatkoznak.</w:t>
      </w:r>
    </w:p>
    <w:p w14:paraId="0D87A5F7" w14:textId="574BBDE3"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saját munkaerő által ledolgozott összes munkaóra: 24</w:t>
      </w:r>
      <w:r w:rsidR="00B84336" w:rsidRPr="00E45723">
        <w:rPr>
          <w:rFonts w:asciiTheme="minorHAnsi" w:hAnsiTheme="minorHAnsi" w:cs="Calibri"/>
          <w:b/>
        </w:rPr>
        <w:t xml:space="preserve"> </w:t>
      </w:r>
      <w:r w:rsidRPr="00E45723">
        <w:rPr>
          <w:rFonts w:asciiTheme="minorHAnsi" w:hAnsiTheme="minorHAnsi" w:cs="Calibri"/>
          <w:b/>
        </w:rPr>
        <w:t>642</w:t>
      </w:r>
      <w:r w:rsidR="00B84336" w:rsidRPr="00E45723">
        <w:rPr>
          <w:rFonts w:asciiTheme="minorHAnsi" w:hAnsiTheme="minorHAnsi" w:cs="Calibri"/>
          <w:b/>
        </w:rPr>
        <w:t xml:space="preserve"> </w:t>
      </w:r>
      <w:r w:rsidRPr="00E45723">
        <w:rPr>
          <w:rFonts w:asciiTheme="minorHAnsi" w:hAnsiTheme="minorHAnsi" w:cs="Calibri"/>
          <w:b/>
        </w:rPr>
        <w:t xml:space="preserve">021,00 </w:t>
      </w:r>
    </w:p>
    <w:p w14:paraId="27F6A775" w14:textId="505DC456"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Alkalmazottak: </w:t>
      </w:r>
      <w:r w:rsidR="00B84336" w:rsidRPr="00E45723">
        <w:rPr>
          <w:rFonts w:asciiTheme="minorHAnsi" w:hAnsiTheme="minorHAnsi" w:cs="Calibri"/>
        </w:rPr>
        <w:t>24 449 020.00</w:t>
      </w:r>
      <w:r w:rsidRPr="00E45723">
        <w:rPr>
          <w:rFonts w:asciiTheme="minorHAnsi" w:hAnsiTheme="minorHAnsi" w:cs="Calibri"/>
        </w:rPr>
        <w:t xml:space="preserve"> </w:t>
      </w:r>
      <w:r w:rsidR="00B84336" w:rsidRPr="00E45723">
        <w:rPr>
          <w:rFonts w:asciiTheme="minorHAnsi" w:hAnsiTheme="minorHAnsi" w:cs="Calibri"/>
        </w:rPr>
        <w:t>óra</w:t>
      </w:r>
    </w:p>
    <w:p w14:paraId="3C830C38" w14:textId="4C9F39AB"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Nem alkalmazottak: 193</w:t>
      </w:r>
      <w:r w:rsidR="00B84336" w:rsidRPr="00E45723">
        <w:rPr>
          <w:rFonts w:asciiTheme="minorHAnsi" w:hAnsiTheme="minorHAnsi" w:cs="Calibri"/>
        </w:rPr>
        <w:t xml:space="preserve"> </w:t>
      </w:r>
      <w:r w:rsidRPr="00E45723">
        <w:rPr>
          <w:rFonts w:asciiTheme="minorHAnsi" w:hAnsiTheme="minorHAnsi" w:cs="Calibri"/>
        </w:rPr>
        <w:t xml:space="preserve">001,00 </w:t>
      </w:r>
      <w:r w:rsidR="00B84336" w:rsidRPr="00E45723">
        <w:rPr>
          <w:rFonts w:asciiTheme="minorHAnsi" w:hAnsiTheme="minorHAnsi" w:cs="Calibri"/>
        </w:rPr>
        <w:t>óra</w:t>
      </w:r>
      <w:r w:rsidRPr="00E45723">
        <w:rPr>
          <w:rFonts w:asciiTheme="minorHAnsi" w:hAnsiTheme="minorHAnsi" w:cs="Calibri"/>
        </w:rPr>
        <w:t>s</w:t>
      </w:r>
    </w:p>
    <w:p w14:paraId="0A789C96" w14:textId="244F5F60"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FM ZRT.: 22</w:t>
      </w:r>
      <w:r w:rsidR="00B84336" w:rsidRPr="00E45723">
        <w:rPr>
          <w:rFonts w:asciiTheme="minorHAnsi" w:hAnsiTheme="minorHAnsi" w:cs="Calibri"/>
          <w:b/>
        </w:rPr>
        <w:t xml:space="preserve"> </w:t>
      </w:r>
      <w:r w:rsidRPr="00E45723">
        <w:rPr>
          <w:rFonts w:asciiTheme="minorHAnsi" w:hAnsiTheme="minorHAnsi" w:cs="Calibri"/>
          <w:b/>
        </w:rPr>
        <w:t>195</w:t>
      </w:r>
      <w:r w:rsidR="00B84336" w:rsidRPr="00E45723">
        <w:rPr>
          <w:rFonts w:asciiTheme="minorHAnsi" w:hAnsiTheme="minorHAnsi" w:cs="Calibri"/>
          <w:b/>
        </w:rPr>
        <w:t xml:space="preserve"> </w:t>
      </w:r>
      <w:r w:rsidRPr="00E45723">
        <w:rPr>
          <w:rFonts w:asciiTheme="minorHAnsi" w:hAnsiTheme="minorHAnsi" w:cs="Calibri"/>
          <w:b/>
        </w:rPr>
        <w:t xml:space="preserve">417,00 </w:t>
      </w:r>
      <w:r w:rsidR="00B84336" w:rsidRPr="00E45723">
        <w:rPr>
          <w:rFonts w:asciiTheme="minorHAnsi" w:hAnsiTheme="minorHAnsi" w:cs="Calibri"/>
          <w:b/>
        </w:rPr>
        <w:t>óra</w:t>
      </w:r>
    </w:p>
    <w:p w14:paraId="501BCA9B" w14:textId="2F85AA32"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Alkalmazottak: 22</w:t>
      </w:r>
      <w:r w:rsidR="00B84336" w:rsidRPr="00E45723">
        <w:rPr>
          <w:rFonts w:asciiTheme="minorHAnsi" w:hAnsiTheme="minorHAnsi" w:cs="Calibri"/>
        </w:rPr>
        <w:t xml:space="preserve"> </w:t>
      </w:r>
      <w:r w:rsidRPr="00E45723">
        <w:rPr>
          <w:rFonts w:asciiTheme="minorHAnsi" w:hAnsiTheme="minorHAnsi" w:cs="Calibri"/>
        </w:rPr>
        <w:t>002</w:t>
      </w:r>
      <w:r w:rsidR="00B84336" w:rsidRPr="00E45723">
        <w:rPr>
          <w:rFonts w:asciiTheme="minorHAnsi" w:hAnsiTheme="minorHAnsi" w:cs="Calibri"/>
        </w:rPr>
        <w:t xml:space="preserve"> </w:t>
      </w:r>
      <w:r w:rsidRPr="00E45723">
        <w:rPr>
          <w:rFonts w:asciiTheme="minorHAnsi" w:hAnsiTheme="minorHAnsi" w:cs="Calibri"/>
        </w:rPr>
        <w:t xml:space="preserve">416,00 </w:t>
      </w:r>
      <w:r w:rsidR="00B84336" w:rsidRPr="00E45723">
        <w:rPr>
          <w:rFonts w:asciiTheme="minorHAnsi" w:hAnsiTheme="minorHAnsi" w:cs="Calibri"/>
        </w:rPr>
        <w:t>óra</w:t>
      </w:r>
    </w:p>
    <w:p w14:paraId="55388B47" w14:textId="4A7F8F56"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Nem alkalmazottak: 193</w:t>
      </w:r>
      <w:r w:rsidR="00B84336" w:rsidRPr="00E45723">
        <w:rPr>
          <w:rFonts w:asciiTheme="minorHAnsi" w:hAnsiTheme="minorHAnsi" w:cs="Calibri"/>
        </w:rPr>
        <w:t xml:space="preserve"> </w:t>
      </w:r>
      <w:r w:rsidRPr="00E45723">
        <w:rPr>
          <w:rFonts w:asciiTheme="minorHAnsi" w:hAnsiTheme="minorHAnsi" w:cs="Calibri"/>
        </w:rPr>
        <w:t xml:space="preserve">001,00 </w:t>
      </w:r>
      <w:r w:rsidR="00B84336" w:rsidRPr="00E45723">
        <w:rPr>
          <w:rFonts w:asciiTheme="minorHAnsi" w:hAnsiTheme="minorHAnsi" w:cs="Calibri"/>
        </w:rPr>
        <w:t>óra</w:t>
      </w:r>
    </w:p>
    <w:p w14:paraId="7543FD01" w14:textId="4240ECA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SLO: 799</w:t>
      </w:r>
      <w:r w:rsidR="00B84336" w:rsidRPr="00E45723">
        <w:rPr>
          <w:rFonts w:asciiTheme="minorHAnsi" w:hAnsiTheme="minorHAnsi" w:cs="Calibri"/>
          <w:b/>
        </w:rPr>
        <w:t xml:space="preserve"> </w:t>
      </w:r>
      <w:r w:rsidRPr="00E45723">
        <w:rPr>
          <w:rFonts w:asciiTheme="minorHAnsi" w:hAnsiTheme="minorHAnsi" w:cs="Calibri"/>
          <w:b/>
        </w:rPr>
        <w:t xml:space="preserve">401,00 </w:t>
      </w:r>
      <w:r w:rsidR="00B84336" w:rsidRPr="00E45723">
        <w:rPr>
          <w:rFonts w:asciiTheme="minorHAnsi" w:hAnsiTheme="minorHAnsi" w:cs="Calibri"/>
          <w:b/>
        </w:rPr>
        <w:t>óra</w:t>
      </w:r>
    </w:p>
    <w:p w14:paraId="4C4E03E0" w14:textId="2DE42769"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Alkalmazottak: 799</w:t>
      </w:r>
      <w:r w:rsidR="00B84336" w:rsidRPr="00E45723">
        <w:rPr>
          <w:rFonts w:asciiTheme="minorHAnsi" w:hAnsiTheme="minorHAnsi" w:cs="Calibri"/>
        </w:rPr>
        <w:t xml:space="preserve"> </w:t>
      </w:r>
      <w:r w:rsidRPr="00E45723">
        <w:rPr>
          <w:rFonts w:asciiTheme="minorHAnsi" w:hAnsiTheme="minorHAnsi" w:cs="Calibri"/>
        </w:rPr>
        <w:t xml:space="preserve">401,00 </w:t>
      </w:r>
      <w:r w:rsidR="00B84336" w:rsidRPr="00E45723">
        <w:rPr>
          <w:rFonts w:asciiTheme="minorHAnsi" w:hAnsiTheme="minorHAnsi" w:cs="Calibri"/>
        </w:rPr>
        <w:t>óra</w:t>
      </w:r>
    </w:p>
    <w:p w14:paraId="67F79398" w14:textId="0CABC5BE"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 alkalmazottak: 0,00 </w:t>
      </w:r>
      <w:r w:rsidR="00B84336" w:rsidRPr="00E45723">
        <w:rPr>
          <w:rFonts w:asciiTheme="minorHAnsi" w:hAnsiTheme="minorHAnsi" w:cs="Calibri"/>
        </w:rPr>
        <w:t>óra</w:t>
      </w:r>
    </w:p>
    <w:p w14:paraId="1FE62BA7" w14:textId="34D0AA0F"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IT: 726</w:t>
      </w:r>
      <w:r w:rsidR="00B84336" w:rsidRPr="00E45723">
        <w:rPr>
          <w:rFonts w:asciiTheme="minorHAnsi" w:hAnsiTheme="minorHAnsi" w:cs="Calibri"/>
          <w:b/>
        </w:rPr>
        <w:t xml:space="preserve"> </w:t>
      </w:r>
      <w:r w:rsidRPr="00E45723">
        <w:rPr>
          <w:rFonts w:asciiTheme="minorHAnsi" w:hAnsiTheme="minorHAnsi" w:cs="Calibri"/>
          <w:b/>
        </w:rPr>
        <w:t xml:space="preserve">623,00 </w:t>
      </w:r>
      <w:r w:rsidR="00B84336" w:rsidRPr="00E45723">
        <w:rPr>
          <w:rFonts w:asciiTheme="minorHAnsi" w:hAnsiTheme="minorHAnsi" w:cs="Calibri"/>
          <w:b/>
        </w:rPr>
        <w:t>óra</w:t>
      </w:r>
    </w:p>
    <w:p w14:paraId="5C255BB1" w14:textId="55152E5F"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lastRenderedPageBreak/>
        <w:t>Alkalmazottak: 726</w:t>
      </w:r>
      <w:r w:rsidR="00B84336" w:rsidRPr="00E45723">
        <w:rPr>
          <w:rFonts w:asciiTheme="minorHAnsi" w:hAnsiTheme="minorHAnsi" w:cs="Calibri"/>
        </w:rPr>
        <w:t xml:space="preserve"> </w:t>
      </w:r>
      <w:r w:rsidRPr="00E45723">
        <w:rPr>
          <w:rFonts w:asciiTheme="minorHAnsi" w:hAnsiTheme="minorHAnsi" w:cs="Calibri"/>
        </w:rPr>
        <w:t xml:space="preserve">623,00 </w:t>
      </w:r>
      <w:r w:rsidR="00B84336" w:rsidRPr="00E45723">
        <w:rPr>
          <w:rFonts w:asciiTheme="minorHAnsi" w:hAnsiTheme="minorHAnsi" w:cs="Calibri"/>
        </w:rPr>
        <w:t>óra</w:t>
      </w:r>
    </w:p>
    <w:p w14:paraId="203B6DB8" w14:textId="646A200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LIWO GER: 920</w:t>
      </w:r>
      <w:r w:rsidR="00B84336" w:rsidRPr="00E45723">
        <w:rPr>
          <w:rFonts w:asciiTheme="minorHAnsi" w:hAnsiTheme="minorHAnsi" w:cs="Calibri"/>
          <w:b/>
        </w:rPr>
        <w:t xml:space="preserve"> </w:t>
      </w:r>
      <w:r w:rsidRPr="00E45723">
        <w:rPr>
          <w:rFonts w:asciiTheme="minorHAnsi" w:hAnsiTheme="minorHAnsi" w:cs="Calibri"/>
          <w:b/>
        </w:rPr>
        <w:t xml:space="preserve">580,00 </w:t>
      </w:r>
      <w:r w:rsidR="00B84336" w:rsidRPr="00E45723">
        <w:rPr>
          <w:rFonts w:asciiTheme="minorHAnsi" w:hAnsiTheme="minorHAnsi" w:cs="Calibri"/>
          <w:b/>
        </w:rPr>
        <w:t>óra</w:t>
      </w:r>
    </w:p>
    <w:p w14:paraId="22ECEC36" w14:textId="0F9B217C"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Alkalmazottak: 920</w:t>
      </w:r>
      <w:r w:rsidR="00B84336" w:rsidRPr="00E45723">
        <w:rPr>
          <w:rFonts w:asciiTheme="minorHAnsi" w:hAnsiTheme="minorHAnsi" w:cs="Calibri"/>
        </w:rPr>
        <w:t xml:space="preserve"> </w:t>
      </w:r>
      <w:r w:rsidRPr="00E45723">
        <w:rPr>
          <w:rFonts w:asciiTheme="minorHAnsi" w:hAnsiTheme="minorHAnsi" w:cs="Calibri"/>
        </w:rPr>
        <w:t xml:space="preserve">580,00 </w:t>
      </w:r>
      <w:r w:rsidR="00B84336" w:rsidRPr="00E45723">
        <w:rPr>
          <w:rFonts w:asciiTheme="minorHAnsi" w:hAnsiTheme="minorHAnsi" w:cs="Calibri"/>
        </w:rPr>
        <w:t>óra</w:t>
      </w:r>
    </w:p>
    <w:p w14:paraId="762E8837" w14:textId="3FA8C816"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Nem alkalmazottak: 0,00 </w:t>
      </w:r>
      <w:r w:rsidR="00B84336" w:rsidRPr="00E45723">
        <w:rPr>
          <w:rFonts w:asciiTheme="minorHAnsi" w:hAnsiTheme="minorHAnsi" w:cs="Calibri"/>
        </w:rPr>
        <w:t>óra</w:t>
      </w:r>
    </w:p>
    <w:p w14:paraId="722C9373"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 xml:space="preserve">A munkával kapcsolatos, nyilvántartható megbetegedések száma, amelyekre az adatgyűjtésben vonatkozó jogi korlátozások vonatkoznak (csak alkalmazottak): 0,00 </w:t>
      </w:r>
    </w:p>
    <w:p w14:paraId="28E4320F" w14:textId="21E69662"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Munkabalesetek, munkával kapcsolatos megbetegedések és azokból eredő halálesetek miatt elvesztegetett napok száma (csak alkalmazottak) : 8</w:t>
      </w:r>
      <w:r w:rsidR="00B84336" w:rsidRPr="00E45723">
        <w:rPr>
          <w:rFonts w:asciiTheme="minorHAnsi" w:hAnsiTheme="minorHAnsi" w:cs="Calibri"/>
          <w:b/>
        </w:rPr>
        <w:t xml:space="preserve"> </w:t>
      </w:r>
      <w:r w:rsidRPr="00E45723">
        <w:rPr>
          <w:rFonts w:asciiTheme="minorHAnsi" w:hAnsiTheme="minorHAnsi" w:cs="Calibri"/>
          <w:b/>
        </w:rPr>
        <w:t xml:space="preserve">793,00 </w:t>
      </w:r>
    </w:p>
    <w:p w14:paraId="55612996" w14:textId="4E585611"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Munkabalesetek miatt: 8</w:t>
      </w:r>
      <w:r w:rsidR="00B84336" w:rsidRPr="00E45723">
        <w:rPr>
          <w:rFonts w:asciiTheme="minorHAnsi" w:hAnsiTheme="minorHAnsi" w:cs="Calibri"/>
        </w:rPr>
        <w:t xml:space="preserve"> </w:t>
      </w:r>
      <w:r w:rsidRPr="00E45723">
        <w:rPr>
          <w:rFonts w:asciiTheme="minorHAnsi" w:hAnsiTheme="minorHAnsi" w:cs="Calibri"/>
        </w:rPr>
        <w:t xml:space="preserve">793,00 </w:t>
      </w:r>
    </w:p>
    <w:p w14:paraId="0B854BE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Munkahelyi betegség miatt: 0,00 </w:t>
      </w:r>
    </w:p>
    <w:p w14:paraId="13BE237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Rossz egészségi állapotból eredő halálesetek miatt: 0,00 </w:t>
      </w:r>
    </w:p>
    <w:p w14:paraId="138E748D" w14:textId="20FB989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vállalkozás belsőleg auditált egészségvédelmi és biztonsági irányítási rendszere által lefedett saját alkalmazottak száma: 16</w:t>
      </w:r>
      <w:r w:rsidR="00B84336" w:rsidRPr="00E45723">
        <w:rPr>
          <w:rFonts w:asciiTheme="minorHAnsi" w:hAnsiTheme="minorHAnsi" w:cs="Calibri"/>
          <w:b/>
        </w:rPr>
        <w:t xml:space="preserve"> </w:t>
      </w:r>
      <w:r w:rsidRPr="00E45723">
        <w:rPr>
          <w:rFonts w:asciiTheme="minorHAnsi" w:hAnsiTheme="minorHAnsi" w:cs="Calibri"/>
          <w:b/>
        </w:rPr>
        <w:t xml:space="preserve">157,00 </w:t>
      </w:r>
    </w:p>
    <w:p w14:paraId="0DA353DD" w14:textId="6F198B6E" w:rsidR="00BD159D" w:rsidRPr="00E45723" w:rsidRDefault="00FD7771" w:rsidP="00EA3B06">
      <w:pPr>
        <w:pStyle w:val="BodyText"/>
        <w:rPr>
          <w:rFonts w:asciiTheme="minorHAnsi" w:hAnsiTheme="minorHAnsi" w:cs="Calibri"/>
          <w:b/>
          <w:bCs/>
        </w:rPr>
      </w:pPr>
      <w:r w:rsidRPr="00E45723">
        <w:rPr>
          <w:rFonts w:asciiTheme="minorHAnsi" w:hAnsiTheme="minorHAnsi" w:cs="Calibri"/>
          <w:b/>
          <w:bCs/>
        </w:rPr>
        <w:t>A saját alkalmazottak azon százalékos aránya, akikre jogszabályi követelményeken és/vagy elismert szabványokon vagy irányelveken alapuló, belső auditon átesett egészségvédelmi és biztonsági irányítási rendszer vonatkozik: 83,92%</w:t>
      </w:r>
    </w:p>
    <w:p w14:paraId="007D29D1" w14:textId="1E9C8614"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vállalkozás külső fél által auditált vagy tanúsított egészségvédelmi és biztonsági irányítási rendszere által lefedett saját alkalmazottak száma: 16</w:t>
      </w:r>
      <w:r w:rsidR="00B84336" w:rsidRPr="00E45723">
        <w:rPr>
          <w:rFonts w:asciiTheme="minorHAnsi" w:hAnsiTheme="minorHAnsi" w:cs="Calibri"/>
          <w:b/>
        </w:rPr>
        <w:t xml:space="preserve"> </w:t>
      </w:r>
      <w:r w:rsidRPr="00E45723">
        <w:rPr>
          <w:rFonts w:asciiTheme="minorHAnsi" w:hAnsiTheme="minorHAnsi" w:cs="Calibri"/>
          <w:b/>
        </w:rPr>
        <w:t xml:space="preserve">599,00 </w:t>
      </w:r>
    </w:p>
    <w:p w14:paraId="60574623" w14:textId="75D05E91"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saját alkalmazottak azon százalékos aránya, akikre jogszabályi követelményeken és/vagy elismert szabványokon vagy irányelveken alapuló, külső fél által auditált vagy tanúsított egészségvédelmi és biztonsági irányítási rendszer vonatkozik: 86,21%</w:t>
      </w:r>
    </w:p>
    <w:p w14:paraId="0F2A95D8" w14:textId="77777777" w:rsidR="00BD159D" w:rsidRPr="00E45723" w:rsidRDefault="00FD7771" w:rsidP="00B84336">
      <w:pPr>
        <w:pStyle w:val="Heading3"/>
        <w:suppressAutoHyphens/>
        <w:spacing w:after="240"/>
        <w:rPr>
          <w:rFonts w:asciiTheme="minorHAnsi" w:hAnsiTheme="minorHAnsi" w:cs="Calibri"/>
        </w:rPr>
      </w:pPr>
      <w:bookmarkStart w:id="75" w:name="_Toc239835016"/>
      <w:r w:rsidRPr="00E45723">
        <w:rPr>
          <w:rFonts w:asciiTheme="minorHAnsi" w:hAnsiTheme="minorHAnsi" w:cs="Calibri"/>
        </w:rPr>
        <w:t>S1-15 Munka-magánélet egyensúlyának mutatói</w:t>
      </w:r>
      <w:bookmarkEnd w:id="75"/>
    </w:p>
    <w:p w14:paraId="6FC32CDF" w14:textId="77777777" w:rsidR="00BD159D" w:rsidRPr="00E45723" w:rsidRDefault="00FD7771" w:rsidP="00B84336">
      <w:pPr>
        <w:pStyle w:val="ListParagraph"/>
        <w:suppressAutoHyphens/>
        <w:ind w:left="0"/>
        <w:rPr>
          <w:rFonts w:asciiTheme="minorHAnsi" w:hAnsiTheme="minorHAnsi" w:cs="Calibri"/>
          <w:bCs/>
        </w:rPr>
      </w:pPr>
      <w:r w:rsidRPr="00E45723">
        <w:rPr>
          <w:rFonts w:asciiTheme="minorHAnsi" w:hAnsiTheme="minorHAnsi" w:cs="Calibri"/>
          <w:bCs/>
        </w:rPr>
        <w:t>[ESRS S1 bek. 94] Minden alkalmazott jogosult családi okokból járó szabadságra, akár szociális szabályozó eljáráson, akár kollektív szerződéseken keresztül.</w:t>
      </w:r>
    </w:p>
    <w:p w14:paraId="2D9D6A10" w14:textId="77777777" w:rsidR="00BD159D" w:rsidRPr="00E45723" w:rsidRDefault="00FD7771" w:rsidP="00EA3B06">
      <w:pPr>
        <w:pStyle w:val="Heading3"/>
        <w:suppressAutoHyphens/>
        <w:rPr>
          <w:rFonts w:asciiTheme="minorHAnsi" w:hAnsiTheme="minorHAnsi" w:cs="Calibri"/>
        </w:rPr>
      </w:pPr>
      <w:bookmarkStart w:id="76" w:name="_Toc239835017"/>
      <w:r w:rsidRPr="00E45723">
        <w:rPr>
          <w:rFonts w:asciiTheme="minorHAnsi" w:hAnsiTheme="minorHAnsi" w:cs="Calibri"/>
        </w:rPr>
        <w:t>S1-16 Javadalmazási mutatók (bérkülönbség és teljes javadalmazás)</w:t>
      </w:r>
      <w:bookmarkEnd w:id="76"/>
    </w:p>
    <w:p w14:paraId="0AFAB5D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LIWO FM esetében a férfi munkavállalók átlagos bruttó órabére 3 539 Ft, míg a női munkavállalóké 2 611 Ft. A román–bolgár működésben a férfiak átlagos bruttó órabére 5,10 EUR, a nőké 3,56 EUR, míg a német működésben a férfi munkavállalók átlagos bruttó órabére 23,66 EUR. </w:t>
      </w:r>
    </w:p>
    <w:p w14:paraId="4F1DC9C6" w14:textId="77777777" w:rsidR="00BD159D" w:rsidRPr="00E45723" w:rsidRDefault="00FD7771">
      <w:pPr>
        <w:suppressAutoHyphens/>
        <w:spacing w:before="120" w:after="0"/>
        <w:rPr>
          <w:rFonts w:asciiTheme="minorHAnsi" w:hAnsiTheme="minorHAnsi" w:cs="Calibri"/>
        </w:rPr>
      </w:pPr>
      <w:r w:rsidRPr="00E45723">
        <w:rPr>
          <w:rFonts w:asciiTheme="minorHAnsi" w:hAnsiTheme="minorHAnsi" w:cs="Calibri"/>
        </w:rPr>
        <w:t>[ESRS S1 bek. 97 c)] Az anyavállalat esetében az átlagos órabér alapja az adatszolgáltatással érintett időszak utolsó hónapjában a munkaviszonyban álló munkavállalók által elért jövedelem 1 munkaórára vetített bruttó összege</w:t>
      </w:r>
    </w:p>
    <w:p w14:paraId="44D28945" w14:textId="226947F2"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LIWO FM esetében a legjobban fizetett személy éves teljes javadalmazása 583 134 994 Ft (MNB középárfolyamon kb. 1</w:t>
      </w:r>
      <w:r w:rsidR="00B84336" w:rsidRPr="00E45723">
        <w:rPr>
          <w:rFonts w:asciiTheme="minorHAnsi" w:hAnsiTheme="minorHAnsi" w:cs="Calibri"/>
        </w:rPr>
        <w:t xml:space="preserve"> </w:t>
      </w:r>
      <w:r w:rsidRPr="00E45723">
        <w:rPr>
          <w:rFonts w:asciiTheme="minorHAnsi" w:hAnsiTheme="minorHAnsi" w:cs="Calibri"/>
        </w:rPr>
        <w:t>584 000 EUR). A</w:t>
      </w:r>
      <w:r w:rsidR="00B84336" w:rsidRPr="00E45723">
        <w:rPr>
          <w:rFonts w:asciiTheme="minorHAnsi" w:hAnsiTheme="minorHAnsi" w:cs="Calibri"/>
        </w:rPr>
        <w:t xml:space="preserve"> </w:t>
      </w:r>
      <w:r w:rsidRPr="00E45723">
        <w:rPr>
          <w:rFonts w:asciiTheme="minorHAnsi" w:hAnsiTheme="minorHAnsi" w:cs="Calibri"/>
        </w:rPr>
        <w:t>román–bolgár működésben ez az érték 75 442 EUR, míg a német működésben 264 393,16 EUR.</w:t>
      </w:r>
    </w:p>
    <w:p w14:paraId="5BE8FBD3" w14:textId="77777777" w:rsidR="00BD159D" w:rsidRPr="00E45723" w:rsidRDefault="00FD7771" w:rsidP="00EA3B06">
      <w:pPr>
        <w:pStyle w:val="Heading3"/>
        <w:suppressAutoHyphens/>
        <w:rPr>
          <w:rFonts w:asciiTheme="minorHAnsi" w:hAnsiTheme="minorHAnsi" w:cs="Calibri"/>
        </w:rPr>
      </w:pPr>
      <w:bookmarkStart w:id="77" w:name="_Toc239835018"/>
      <w:r w:rsidRPr="00E45723">
        <w:rPr>
          <w:rFonts w:asciiTheme="minorHAnsi" w:hAnsiTheme="minorHAnsi" w:cs="Calibri"/>
        </w:rPr>
        <w:t>S1-17 Incidensek, panaszok és súlyos emberi jogi hatások</w:t>
      </w:r>
      <w:bookmarkEnd w:id="77"/>
    </w:p>
    <w:p w14:paraId="1411ACB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S1 bek. 103 a, b, c )]</w:t>
      </w:r>
    </w:p>
    <w:p w14:paraId="051C9565"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 xml:space="preserve">A jelentési időszakban jelentett diszkriminációs, beleértve a zaklatási esetek száma: 0,00 </w:t>
      </w:r>
    </w:p>
    <w:p w14:paraId="6117DF41"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 panaszok száma, amelyeket a vállalat saját munkaerejének tagjai a problémák jelentésére létrehozott csatornákon nyújtottak be.: 65,00 </w:t>
      </w:r>
    </w:p>
    <w:p w14:paraId="0A4ED81C"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Az OECD multinacionális vállalatok nemzeti kapcsolattartó pontjaihoz benyújtott panaszok száma: 0,00 </w:t>
      </w:r>
    </w:p>
    <w:p w14:paraId="655C155B" w14:textId="3BF9C2FD"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szociális és emberi jogi tényezők megsértéséből eredő anyagi bírságok, büntetések és kártérítések összege</w:t>
      </w:r>
      <w:r w:rsidRPr="00E45723">
        <w:rPr>
          <w:rFonts w:asciiTheme="minorHAnsi" w:hAnsiTheme="minorHAnsi" w:cs="Calibri"/>
        </w:rPr>
        <w:t xml:space="preserve">: </w:t>
      </w:r>
      <w:r w:rsidRPr="00E45723">
        <w:rPr>
          <w:rFonts w:asciiTheme="minorHAnsi" w:hAnsiTheme="minorHAnsi" w:cs="Calibri"/>
          <w:b/>
        </w:rPr>
        <w:t>0,00 EUR</w:t>
      </w:r>
    </w:p>
    <w:p w14:paraId="18AC4084" w14:textId="77777777" w:rsidR="00BD159D" w:rsidRPr="00E45723" w:rsidRDefault="00FD7771" w:rsidP="00B84336">
      <w:pPr>
        <w:pStyle w:val="BodyText"/>
        <w:rPr>
          <w:rFonts w:asciiTheme="minorHAnsi" w:hAnsiTheme="minorHAnsi" w:cs="Calibri"/>
          <w:b/>
        </w:rPr>
      </w:pPr>
      <w:r w:rsidRPr="00E45723">
        <w:rPr>
          <w:rFonts w:asciiTheme="minorHAnsi" w:hAnsiTheme="minorHAnsi" w:cs="Calibri"/>
        </w:rPr>
        <w:t>[ESRS S1 bek. 103 d)] A panaszok számába a jelentéstételi időszak során a munkavállalók által a rendelkezésre álló belső csatornákon – ideértve a HR-funkció felé érkező bejelentéseket, a vezetői jelzéseket, a munkavállalói észrevételeket, valamint a formális panaszkezelési és visszajelzési folyamatokon keresztül érkező ügyeket – benyújtott esetek tartoznak. Az adatok a Társaság belső nyilvántartásaiból származnak, és valamennyi, a jelentési időszakban rögzített ügyet tartalmaznak, függetlenül azok jellegétől vagy megalapozottságától. A jelentési időszakban diszkriminációval, zaklatással, emberi jogi jogsértéssel, illetve az OECD multinacionális vállalatokra vonatkozó irányelvei szerinti nemzeti kapcsolattartó pontokhoz benyújtott panasszal összefüggő ügy nem került azonosításra, továbbá a Társaságot nem sújtották szociális vagy emberi jogi tényezők megsértéséből eredő bírságok, büntetések vagy kártérítések.</w:t>
      </w:r>
    </w:p>
    <w:p w14:paraId="7B8949B5" w14:textId="77777777" w:rsidR="00BD159D" w:rsidRPr="00E2778D" w:rsidRDefault="00FD7771">
      <w:pPr>
        <w:pStyle w:val="Heading2"/>
        <w:suppressAutoHyphens/>
        <w:rPr>
          <w:rFonts w:asciiTheme="minorHAnsi" w:hAnsiTheme="minorHAnsi" w:cs="Calibri"/>
          <w:szCs w:val="28"/>
        </w:rPr>
      </w:pPr>
      <w:bookmarkStart w:id="78" w:name="_Toc239835019"/>
      <w:r w:rsidRPr="00E2778D">
        <w:rPr>
          <w:rFonts w:asciiTheme="minorHAnsi" w:hAnsiTheme="minorHAnsi" w:cs="Calibri"/>
          <w:szCs w:val="28"/>
        </w:rPr>
        <w:t>S2 Az értékláncban dolgozók</w:t>
      </w:r>
      <w:bookmarkEnd w:id="78"/>
    </w:p>
    <w:p w14:paraId="5CDD9B10" w14:textId="27FBD92A" w:rsidR="00BD159D" w:rsidRPr="00E45723" w:rsidRDefault="00FD7771" w:rsidP="00EA3B06">
      <w:pPr>
        <w:pStyle w:val="BodyText"/>
        <w:rPr>
          <w:rFonts w:asciiTheme="minorHAnsi" w:hAnsiTheme="minorHAnsi" w:cs="Calibri"/>
          <w:b/>
          <w:bCs/>
        </w:rPr>
      </w:pPr>
      <w:bookmarkStart w:id="79" w:name="_Toc230770589"/>
      <w:r w:rsidRPr="00E45723">
        <w:rPr>
          <w:rFonts w:asciiTheme="minorHAnsi" w:hAnsiTheme="minorHAnsi" w:cs="Calibri"/>
          <w:b/>
          <w:bCs/>
        </w:rPr>
        <w:t>A LIWO Cégcsoport kettős lényegességi elemzése (DMA) alapján az értékláncban dolgozókhoz kapcsolódó témák elsősorban a beszállítók és alvállalkozók foglalkoztatási gyakorlataival, munkabiztonsági teljesítményével és munkakörülményeivel összefüggésben minősültek lényegesnek. A Cégcsoport szolgáltatásainak jelentős része beszállítói és alvállalkozói együttműködésekre épül, ezért az értékláncban jelentkező munkaügyi, egészségvédelmi és biztonsági kockázatok közvetetten a működési, jogi és reputációs kockázatokat is befolyásolhatják. A DMA egyaránt azonosított pozitív hatásokat – például a munkabiztonsági képzések és a jogkövető foglalkoztatás előmozdítását –, valamint a túlzott munkaidő-terheléshez és a vegyi anyagokkal való érintkezéshez kapcsolódó kockázatokat. A Cégcsoport ennek megfelelően törekszik a beszállítói elvárások érvényesítésére, a megfelelőségi követelmények kommunikálására és a partneri kockázatok nyomon követésére.</w:t>
      </w:r>
      <w:bookmarkStart w:id="80" w:name="_Toc230770590"/>
      <w:bookmarkEnd w:id="79"/>
    </w:p>
    <w:p w14:paraId="3C92ADD2" w14:textId="77777777" w:rsidR="00BD159D" w:rsidRPr="00E45723" w:rsidRDefault="00FD7771" w:rsidP="00EA3B06">
      <w:pPr>
        <w:pStyle w:val="BodyText"/>
        <w:rPr>
          <w:rFonts w:asciiTheme="minorHAnsi" w:hAnsiTheme="minorHAnsi" w:cs="Calibri"/>
          <w:b/>
          <w:bCs/>
        </w:rPr>
      </w:pPr>
      <w:r w:rsidRPr="00E45723">
        <w:rPr>
          <w:rFonts w:asciiTheme="minorHAnsi" w:hAnsiTheme="minorHAnsi" w:cs="Calibri"/>
          <w:b/>
          <w:bCs/>
        </w:rPr>
        <w:t>A LIWO Group elkötelezett, hogy az értékláncában dolgozók, a szolgáltatási és munkavégzési területein tartózkodó harmadik felek – például szerződéses partnerek, beszállítók, látogatók – egészségének és biztonságának védelme biztosított legyen. A Cégcsoport tagvállalatai a jogszabályokat, a saját vállalati előírásokat betartják, a szabálykövetést partnereiktől is elvárják.</w:t>
      </w:r>
      <w:bookmarkEnd w:id="80"/>
    </w:p>
    <w:p w14:paraId="6223388A" w14:textId="77777777" w:rsidR="00BD159D" w:rsidRPr="00E45723" w:rsidRDefault="00FD7771" w:rsidP="00EA3B06">
      <w:pPr>
        <w:pStyle w:val="Heading3"/>
        <w:suppressAutoHyphens/>
        <w:rPr>
          <w:rFonts w:asciiTheme="minorHAnsi" w:hAnsiTheme="minorHAnsi" w:cs="Calibri"/>
        </w:rPr>
      </w:pPr>
      <w:bookmarkStart w:id="81" w:name="_Toc239835020"/>
      <w:r w:rsidRPr="00E45723">
        <w:rPr>
          <w:rFonts w:asciiTheme="minorHAnsi" w:hAnsiTheme="minorHAnsi" w:cs="Calibri"/>
        </w:rPr>
        <w:t>S2-1 Az értékláncban dolgozókra vonatkozó szabályzatok</w:t>
      </w:r>
      <w:bookmarkEnd w:id="81"/>
    </w:p>
    <w:p w14:paraId="7C3CEB82" w14:textId="77777777" w:rsidR="00BD159D" w:rsidRPr="00E45723" w:rsidRDefault="00FD7771" w:rsidP="00EA3B06">
      <w:pPr>
        <w:pStyle w:val="BodyText"/>
        <w:rPr>
          <w:rFonts w:asciiTheme="minorHAnsi" w:hAnsiTheme="minorHAnsi" w:cs="Calibri"/>
          <w:b/>
          <w:bCs/>
        </w:rPr>
      </w:pPr>
      <w:r w:rsidRPr="00E45723">
        <w:rPr>
          <w:rFonts w:asciiTheme="minorHAnsi" w:hAnsiTheme="minorHAnsi" w:cs="Calibri"/>
          <w:b/>
          <w:bCs/>
        </w:rPr>
        <w:t>A LIWO Group kifejezetten az értékláncban dolgozókra irányuló csoport- vagy tagvállalatszintű politikával nem rendelkezik. A LIWO Magyarország Etikai Kódexe és Partneri/Beszállítói Etikai és Magatartási Kódexe tartalmazza azokat az értékeket, elveket, amelyek mentén a vállalatcsoport elképzeli és folytatja a működését, illetve amely értékeket üzleti partnereitől elvár. Az Etikai Kódexeket, adott esetben a tagvállalati etikai kódexet a tagvállalatok megismertetik a beszállítóikkal. Az általános beszerzési szabályzatok, szerződési feltételek szintén tartalmaznak megfelelési előírásokat a szerződő partnerek munkavállalóira vonatkozóan.</w:t>
      </w:r>
    </w:p>
    <w:p w14:paraId="211DEF8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lastRenderedPageBreak/>
        <w:t>[ESRS S2 bek. 18] A LIWO FM és az összes többi Magyarországhoz tartozó operáció rendelkezik Beszállítói Etikai és Magatartási Kódexszel, mely tartalma kiterjed az alábbi témákra:</w:t>
      </w:r>
    </w:p>
    <w:p w14:paraId="147B62B1" w14:textId="77777777" w:rsidR="00BD159D" w:rsidRPr="00E45723" w:rsidRDefault="00FD7771" w:rsidP="00B84336">
      <w:pPr>
        <w:pStyle w:val="BodyText"/>
        <w:numPr>
          <w:ilvl w:val="0"/>
          <w:numId w:val="38"/>
        </w:numPr>
        <w:suppressAutoHyphens/>
        <w:rPr>
          <w:rFonts w:asciiTheme="minorHAnsi" w:hAnsiTheme="minorHAnsi" w:cs="Calibri"/>
          <w:bCs/>
        </w:rPr>
      </w:pPr>
      <w:r w:rsidRPr="00E45723">
        <w:rPr>
          <w:rStyle w:val="BadgeCharacter"/>
          <w:rFonts w:asciiTheme="minorHAnsi" w:hAnsiTheme="minorHAnsi" w:cs="Calibri"/>
          <w:b w:val="0"/>
          <w:bCs/>
        </w:rPr>
        <w:t xml:space="preserve">munkavállalók biztonsága </w:t>
      </w:r>
    </w:p>
    <w:p w14:paraId="5C85E6CF" w14:textId="77777777" w:rsidR="00BD159D" w:rsidRPr="00E45723" w:rsidRDefault="00FD7771" w:rsidP="00B84336">
      <w:pPr>
        <w:pStyle w:val="BodyText"/>
        <w:numPr>
          <w:ilvl w:val="0"/>
          <w:numId w:val="38"/>
        </w:numPr>
        <w:suppressAutoHyphens/>
        <w:rPr>
          <w:rFonts w:asciiTheme="minorHAnsi" w:hAnsiTheme="minorHAnsi" w:cs="Calibri"/>
          <w:bCs/>
        </w:rPr>
      </w:pPr>
      <w:r w:rsidRPr="00E45723">
        <w:rPr>
          <w:rFonts w:asciiTheme="minorHAnsi" w:hAnsiTheme="minorHAnsi" w:cs="Calibri"/>
          <w:bCs/>
        </w:rPr>
        <w:t>bizonytalan foglalkoztatás</w:t>
      </w:r>
    </w:p>
    <w:p w14:paraId="17F46A1E" w14:textId="77777777" w:rsidR="00BD159D" w:rsidRPr="00E45723" w:rsidRDefault="00FD7771" w:rsidP="00B84336">
      <w:pPr>
        <w:pStyle w:val="BodyText"/>
        <w:numPr>
          <w:ilvl w:val="0"/>
          <w:numId w:val="38"/>
        </w:numPr>
        <w:suppressAutoHyphens/>
        <w:rPr>
          <w:rFonts w:asciiTheme="minorHAnsi" w:hAnsiTheme="minorHAnsi" w:cs="Calibri"/>
          <w:bCs/>
        </w:rPr>
      </w:pPr>
      <w:r w:rsidRPr="00E45723">
        <w:rPr>
          <w:rFonts w:asciiTheme="minorHAnsi" w:hAnsiTheme="minorHAnsi" w:cs="Calibri"/>
          <w:bCs/>
        </w:rPr>
        <w:t>emberkereskedelem</w:t>
      </w:r>
    </w:p>
    <w:p w14:paraId="1697CF5A" w14:textId="77777777" w:rsidR="00BD159D" w:rsidRPr="00E45723" w:rsidRDefault="00FD7771" w:rsidP="00B84336">
      <w:pPr>
        <w:pStyle w:val="BodyText"/>
        <w:numPr>
          <w:ilvl w:val="0"/>
          <w:numId w:val="38"/>
        </w:numPr>
        <w:suppressAutoHyphens/>
        <w:rPr>
          <w:rFonts w:asciiTheme="minorHAnsi" w:hAnsiTheme="minorHAnsi" w:cs="Calibri"/>
          <w:bCs/>
        </w:rPr>
      </w:pPr>
      <w:r w:rsidRPr="00E45723">
        <w:rPr>
          <w:rFonts w:asciiTheme="minorHAnsi" w:hAnsiTheme="minorHAnsi" w:cs="Calibri"/>
          <w:bCs/>
        </w:rPr>
        <w:t>kényszermunka vagy a gyermekmunka alkalmazása.</w:t>
      </w:r>
    </w:p>
    <w:p w14:paraId="58FA69FD"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bCs/>
        </w:rPr>
        <w:t xml:space="preserve">[ESRS S2 bek. 17, 17 a)] </w:t>
      </w:r>
      <w:r w:rsidRPr="00E45723">
        <w:rPr>
          <w:rFonts w:asciiTheme="minorHAnsi" w:hAnsiTheme="minorHAnsi" w:cs="Calibri"/>
          <w:b/>
        </w:rPr>
        <w:t>Etikai Kódexben elismert nemzetközi standardok</w:t>
      </w:r>
    </w:p>
    <w:p w14:paraId="19C0F4E4" w14:textId="77777777" w:rsidR="00BD159D" w:rsidRPr="00E45723" w:rsidRDefault="00FD7771" w:rsidP="00EA3B06">
      <w:pPr>
        <w:pStyle w:val="BodyText"/>
        <w:suppressAutoHyphens/>
        <w:rPr>
          <w:rFonts w:asciiTheme="minorHAnsi" w:hAnsiTheme="minorHAnsi" w:cs="Calibri"/>
        </w:rPr>
      </w:pPr>
      <w:r w:rsidRPr="00E45723">
        <w:rPr>
          <w:rStyle w:val="BadgeCharacter"/>
          <w:rFonts w:asciiTheme="minorHAnsi" w:hAnsiTheme="minorHAnsi" w:cs="Calibri"/>
        </w:rPr>
        <w:t>ENSZ üzleti és emberi jogokra vonatkozó irányelvei</w:t>
      </w:r>
      <w:r w:rsidRPr="00E45723">
        <w:rPr>
          <w:rFonts w:asciiTheme="minorHAnsi" w:hAnsiTheme="minorHAnsi" w:cs="Calibri"/>
        </w:rPr>
        <w:t xml:space="preserve">, </w:t>
      </w:r>
      <w:r w:rsidRPr="00E45723">
        <w:rPr>
          <w:rFonts w:asciiTheme="minorHAnsi" w:hAnsiTheme="minorHAnsi" w:cs="Calibri"/>
          <w:bCs/>
        </w:rPr>
        <w:t>az</w:t>
      </w:r>
      <w:r w:rsidRPr="00E45723">
        <w:rPr>
          <w:rStyle w:val="BadgeCharacter"/>
          <w:rFonts w:asciiTheme="minorHAnsi" w:hAnsiTheme="minorHAnsi" w:cs="Calibri"/>
        </w:rPr>
        <w:t xml:space="preserve"> OECD irányelvek multinacionális vállalatok számára</w:t>
      </w:r>
      <w:r w:rsidRPr="00E45723">
        <w:rPr>
          <w:rFonts w:asciiTheme="minorHAnsi" w:hAnsiTheme="minorHAnsi" w:cs="Calibri"/>
        </w:rPr>
        <w:t xml:space="preserve">, </w:t>
      </w:r>
      <w:r w:rsidRPr="00E45723">
        <w:rPr>
          <w:rFonts w:asciiTheme="minorHAnsi" w:hAnsiTheme="minorHAnsi" w:cs="Calibri"/>
          <w:bCs/>
        </w:rPr>
        <w:t>az</w:t>
      </w:r>
      <w:r w:rsidRPr="00E45723">
        <w:rPr>
          <w:rStyle w:val="BadgeCharacter"/>
          <w:rFonts w:asciiTheme="minorHAnsi" w:hAnsiTheme="minorHAnsi" w:cs="Calibri"/>
          <w:bCs/>
        </w:rPr>
        <w:t xml:space="preserve"> </w:t>
      </w:r>
      <w:r w:rsidRPr="00E45723">
        <w:rPr>
          <w:rStyle w:val="BadgeCharacter"/>
          <w:rFonts w:asciiTheme="minorHAnsi" w:hAnsiTheme="minorHAnsi" w:cs="Calibri"/>
        </w:rPr>
        <w:t>ILO-nyilatkozat az alapvető munkahelyi elvekről és jogokról</w:t>
      </w:r>
      <w:r w:rsidRPr="00E45723">
        <w:rPr>
          <w:rFonts w:asciiTheme="minorHAnsi" w:hAnsiTheme="minorHAnsi" w:cs="Calibri"/>
        </w:rPr>
        <w:t xml:space="preserve">, </w:t>
      </w:r>
      <w:r w:rsidRPr="00E45723">
        <w:rPr>
          <w:rStyle w:val="BadgeCharacter"/>
          <w:rFonts w:asciiTheme="minorHAnsi" w:hAnsiTheme="minorHAnsi" w:cs="Calibri"/>
        </w:rPr>
        <w:t xml:space="preserve">az Emberi Jogok Egyetemes Nyilatkozata és a két végrehajtási egyezmény,  </w:t>
      </w:r>
    </w:p>
    <w:p w14:paraId="1A7F8A79" w14:textId="77777777" w:rsidR="00BD159D" w:rsidRPr="00E45723" w:rsidRDefault="00FD7771" w:rsidP="00EA3B06">
      <w:pPr>
        <w:pStyle w:val="Heading3"/>
        <w:suppressAutoHyphens/>
        <w:rPr>
          <w:rFonts w:asciiTheme="minorHAnsi" w:hAnsiTheme="minorHAnsi" w:cs="Calibri"/>
        </w:rPr>
      </w:pPr>
      <w:bookmarkStart w:id="82" w:name="_Toc239835021"/>
      <w:r w:rsidRPr="00E45723">
        <w:rPr>
          <w:rFonts w:asciiTheme="minorHAnsi" w:hAnsiTheme="minorHAnsi" w:cs="Calibri"/>
        </w:rPr>
        <w:t>S2-2 Az értékláncban dolgozók bevonásának folyamatai a vállalat hatásaival kapcsolatban.</w:t>
      </w:r>
      <w:bookmarkEnd w:id="82"/>
    </w:p>
    <w:p w14:paraId="29F00DE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Társaság nem fogadott el általános folyamatot az értékláncban dolgozókkal való együttműködésre. Ezzel kapcsolatban a fenntarthatósági stratégia részeként 2026-ban tervezi létrehozni a megfelelő szabályozást. A Társaság 2025-ben kiadta Partneri etikai és magatartási kódexét, ennek kiterjesztése tervezett a teljes cégcsoportra 2026-ban, ezen túlmenően a magyarországi operáció tekintetében megkezdődött a beszállítók fenntarthatósági átvilágítása és ennek részeként az üzleti partnerek edukációja tervezett. </w:t>
      </w:r>
    </w:p>
    <w:p w14:paraId="79528832" w14:textId="77777777" w:rsidR="00BD159D" w:rsidRPr="00E45723" w:rsidRDefault="00FD7771" w:rsidP="00EA3B06">
      <w:pPr>
        <w:pStyle w:val="Heading3"/>
        <w:suppressAutoHyphens/>
        <w:rPr>
          <w:rFonts w:asciiTheme="minorHAnsi" w:hAnsiTheme="minorHAnsi" w:cs="Calibri"/>
        </w:rPr>
      </w:pPr>
      <w:bookmarkStart w:id="83" w:name="_Toc239835022"/>
      <w:r w:rsidRPr="00E45723">
        <w:rPr>
          <w:rFonts w:asciiTheme="minorHAnsi" w:hAnsiTheme="minorHAnsi" w:cs="Calibri"/>
        </w:rPr>
        <w:t>S2-3 Folyamatok a negatív hatások orvoslására és csatornák a beszállítói lánc munkavállalói számára a problémák jelzésére</w:t>
      </w:r>
      <w:bookmarkEnd w:id="83"/>
    </w:p>
    <w:p w14:paraId="6E3FDD39" w14:textId="77777777" w:rsidR="00BD159D" w:rsidRPr="00E45723" w:rsidRDefault="00FD7771" w:rsidP="00EA3B06">
      <w:pPr>
        <w:pStyle w:val="BodyText"/>
        <w:suppressAutoHyphens/>
        <w:rPr>
          <w:rStyle w:val="BadgeCharacter"/>
          <w:rFonts w:asciiTheme="minorHAnsi" w:hAnsiTheme="minorHAnsi" w:cs="Calibri"/>
          <w:bCs/>
          <w:spacing w:val="0"/>
        </w:rPr>
      </w:pPr>
      <w:r w:rsidRPr="00E45723">
        <w:rPr>
          <w:rStyle w:val="BadgeCharacter"/>
          <w:rFonts w:asciiTheme="minorHAnsi" w:hAnsiTheme="minorHAnsi" w:cs="Calibri"/>
        </w:rPr>
        <w:t>[ESRS 2 bek. 68 a)] A Cégcsoport anonim bejelentési lehetőséget biztosít a Whisly alapú visszaélés-bejelentési rendszeren keresztül (https://liwo.whisly.io/reporting/main-page), amely lehetővé teszi etikai, megfelelőségi, munkajogi vagy egyéb jogsértéssel kapcsolatos aggályok biztonságos és bizalmas bejelentését. A bejelentéseket a Compliance terület vizsgálja ki a vonatkozó belső szabályozások szerint, biztosítva a bejelentő védelmét és a retorzió tilalmát.</w:t>
      </w:r>
    </w:p>
    <w:p w14:paraId="2316C5AD" w14:textId="77777777" w:rsidR="00BD159D" w:rsidRPr="00E45723" w:rsidRDefault="00FD7771" w:rsidP="00EA3B06">
      <w:pPr>
        <w:pStyle w:val="BodyText"/>
        <w:suppressAutoHyphens/>
        <w:rPr>
          <w:rStyle w:val="BadgeCharacter"/>
          <w:rFonts w:asciiTheme="minorHAnsi" w:hAnsiTheme="minorHAnsi" w:cs="Calibri"/>
          <w:bCs/>
          <w:spacing w:val="0"/>
        </w:rPr>
      </w:pPr>
      <w:r w:rsidRPr="00E45723">
        <w:rPr>
          <w:rStyle w:val="BadgeCharacter"/>
          <w:rFonts w:asciiTheme="minorHAnsi" w:hAnsiTheme="minorHAnsi" w:cs="Calibri"/>
          <w:bCs/>
          <w:spacing w:val="0"/>
        </w:rPr>
        <w:t>Egyebekben a beszállítói lánc munkavállalóival kapcsolatos kockázatok az általános kockázatkezelési mechanizmus keretében működnek, külön folyamatok nem kerültek kiépítésre.</w:t>
      </w:r>
    </w:p>
    <w:p w14:paraId="3BAA3BF7" w14:textId="77777777" w:rsidR="00BD159D" w:rsidRPr="00E45723" w:rsidRDefault="00FD7771" w:rsidP="008A457A">
      <w:pPr>
        <w:pStyle w:val="Heading3"/>
        <w:suppressAutoHyphens/>
        <w:spacing w:after="240"/>
        <w:rPr>
          <w:rFonts w:asciiTheme="minorHAnsi" w:hAnsiTheme="minorHAnsi" w:cs="Calibri"/>
        </w:rPr>
      </w:pPr>
      <w:bookmarkStart w:id="84" w:name="_Toc239835023"/>
      <w:r w:rsidRPr="00E45723">
        <w:rPr>
          <w:rFonts w:asciiTheme="minorHAnsi" w:hAnsiTheme="minorHAnsi" w:cs="Calibri"/>
        </w:rPr>
        <w:t>S2-4 Az értékláncban dolgozókat érintő lényeges hatásokkal kapcsolatos intézkedések, valamint az értékláncban dolgozókkal kapcsolatos lényeges kockázatok enyhítésére és a lényeges lehetőségek kiaknázására irányuló megközelítések, és ezen intézkedések hatékonysága</w:t>
      </w:r>
      <w:bookmarkEnd w:id="84"/>
    </w:p>
    <w:p w14:paraId="0CCB3C77" w14:textId="77777777" w:rsidR="00BD159D" w:rsidRPr="00E45723" w:rsidRDefault="00FD7771">
      <w:pPr>
        <w:rPr>
          <w:rFonts w:asciiTheme="minorHAnsi" w:hAnsiTheme="minorHAnsi" w:cs="Calibri"/>
        </w:rPr>
      </w:pPr>
      <w:r w:rsidRPr="00E45723">
        <w:rPr>
          <w:rFonts w:asciiTheme="minorHAnsi" w:hAnsiTheme="minorHAnsi" w:cs="Calibri"/>
        </w:rPr>
        <w:t xml:space="preserve">[ESRS 2 bek. 68 a, c)] A LIWO FM az értékláncban dolgozókat érintő lényeges hatások kezelését elsősorban szerződéses, megfelelőségi és partnerkapcsolati eszközökkel támogatja. A Beszállítói Etikai és Magatartási Kódex elkészítése volt a legfontosabb eredmény 2025-ben, ennek minden tagvállalatra történő kiterjesztése, tudatosítása és az üzleti partnerek felé történő kommunikációja kiemelt feladat lesz 2026-ban. A főbb intézkedések közé tartozik a partneri elvárások érvényesítése, különösen a tisztességes foglalkoztatási gyakorlatok, a megfelelő díjazás és a szerződéses kötelezettségek teljesítésének elvárása, valamint a munkaegészségügyi, munkabiztonsági és egyéb vonatkozó jogszabályi követelmények betartásának elősegítése. Az intézkedések részét képezi továbbá a kockázatok nyomon követése, valamint a felmerülő problémák kezelését </w:t>
      </w:r>
      <w:r w:rsidRPr="00E45723">
        <w:rPr>
          <w:rFonts w:asciiTheme="minorHAnsi" w:hAnsiTheme="minorHAnsi" w:cs="Calibri"/>
        </w:rPr>
        <w:lastRenderedPageBreak/>
        <w:t>célzó egyeztetések és szükség szerinti intézkedések alkalmazása. Az intézkedések fókusza a tisztességes foglalkoztatás, munkabiztonság és az egészségvédelemhez kapcsolódó jogszabályi kötelezettségek elvárása és biztosítása.</w:t>
      </w:r>
    </w:p>
    <w:p w14:paraId="6BDB4A8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Cégcsoport értékláncban dolgozókat érintő fenntarthatósági célkitűzéseinek és kapcsolódó időhorizontjainak meghatározása jelenleg folyamatban van az elfogadás alatt álló fenntarthatósági stratégia keretében. A következő jelentéstételi időszak kiemelt feladata a kapcsolódó célok, mérőszámok és megvalósítási időhorizontok kijelölése és jóváhagyása. Az értékláncban dolgozó munkavállalók tekintetében társaságunk kiemelt figyelmet fordít a tisztességes foglalkoztatás, a jogszabályi megfelelés és a munkavédelmi előírások érvényesítésére. Alvállalkozóinktól elvárjuk a vonatkozó munkajogi és foglalkoztatási szabályok maradéktalan betartását, különös tekintettel a munkavállalók jogszerű bejelentésére és a foglalkoztatási feltételek átláthatóságára. A jogkövető működés biztosítása érdekében rendszeres compliance vizsgálatokat végzünk, amelyek célja a kockázatok feltárása, a megfelelés ellenőrzése és az esetleges hiányosságok korrekciója. A vizsgálatok kiterjednek többek között az alkalmazandó jogszabályi és belső szabályozási követelmények teljesülésének ellenőrzésére, a minőségirányítási rendszerek működésének felülvizsgálatára, a kockázatértékelési folyamatok értékelésére, a panaszkezelési és bejelentési mechanizmusok működésére, valamint a beszállítói és alvállalkozói megfelelőségi követelmények teljesülésére. Ezen intézkedések hozzájárulnak a jogi és reputációs kockázatok csökkentéséhez, a stabilabb üzleti kapcsolatok kialakításához, valamint a hosszú távon fenntartható és megbízható értéklánc működéséhez.</w:t>
      </w:r>
    </w:p>
    <w:p w14:paraId="56C68703"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alvállalkozók rendszeres munkabiztonsági és egészségvédelmi képzésben részesülnek, továbbá auditálási folyamat keretében ellenőrizzük a munkavédelmi előírások gyakorlati érvényesülését. E lépések célja a munkahelyi balesetek és egészségkárosodások megelőzése, a felelősségi és jogi kitettség mérséklése, valamint a működési stabilitás erősítése. Az egészségvédelmi intézkedések különösen fontosak az értéklánc azon területein, ahol a munkavállalók vegyszerekkel és takarítószerekkel kerülnek rendszeres kapcsolatba. A kontrollmechanizmusok alkalmazásával törekszünk a kockázatok minimalizálására és a biztonságos munkavégzés feltételeinek folyamatos javítására.</w:t>
      </w:r>
    </w:p>
    <w:p w14:paraId="19366F0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értékláncban jelentkező túlóraterhelés – különösen egyes külföldi munkavállalói csoportok esetében – potenciális munkaügyi és reputációs kockázatot jelenthet. Bár a jogszabályi megfelelés biztosított, a kockázatok azonosítása és monitorozása érdekében folyamatosan vizsgáljuk a foglalkoztatási gyakorlatokat, és szükség esetén intézkedéseket teszünk a fenntarthatóbb munkaszervezés előmozdítására. Ezzel csökkentjük a hosszú távú munkaügyi viták, hatósági eljárások és kapcsolódó költségek kockázatát.</w:t>
      </w:r>
    </w:p>
    <w:p w14:paraId="584D6F4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Társaságunk tevékenysége révén aktívan hozzájárul a társadalmi felzárkóztatáshoz azáltal, hogy az értékláncban is lehetőséget teremt hátrányos helyzetű munkavállalók foglalkoztatására és integrációjára. Ez nemcsak a társadalmi egyenlőség és esélyteremtés előmozdítását szolgálja, hanem hosszú távon támogatja a stabil munkaerő-ellátást és erősíti vállalatunk társadalmi megítélését. Az ilyen típusú foglalkoztatás egyes esetekben állami támogatások és kedvezmények igénybevételére is lehetőséget biztosít, ami hozzájárulhat a működés pénzügyi fenntarthatóságához.</w:t>
      </w:r>
    </w:p>
    <w:p w14:paraId="2DB3B311"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fenti intézkedések és kontrollfolyamatok eredményeinek rendszeres nyomon követése és közzététele biztosítja az átláthatóságot, valamint lehetővé teszi annak bemutatását, hogy tevékenységünk miként járul hozzá a tisztességes munkafeltételek, a munkavállalói egészségvédelem, az esélyegyenlőség és a felelős értéklánc-működés szakpolitikai céljainak eléréséhez. Ezzel társaságunk nemcsak a szabályozási megfelelést erősíti, hanem a hosszú távú üzleti stabilitást és fenntartható értékteremtést is támogatja.</w:t>
      </w:r>
    </w:p>
    <w:p w14:paraId="61E961B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[ESRS 2 bek. 68 b)] Az értékláncban dolgozó munkavállalókat érintő intézkedéseink kiterjednek mind az upstream, mind a downstream üzleti kapcsolatokra, különös tekintettel az alvállalkozók </w:t>
      </w:r>
      <w:r w:rsidRPr="00E45723">
        <w:rPr>
          <w:rFonts w:asciiTheme="minorHAnsi" w:hAnsiTheme="minorHAnsi" w:cs="Calibri"/>
        </w:rPr>
        <w:lastRenderedPageBreak/>
        <w:t>által foglalkoztatott munkavállalókra. A hatókör magában foglalja a munkajogi megfelelés ellenőrzését, a foglalkoztatási feltételek átláthatóságát, a munkabiztonsági és egészségvédelmi követelmények érvényesítését, valamint az esélyegyenlőségi és társadalmi integrációs szempontok figyelembevételét.</w:t>
      </w:r>
    </w:p>
    <w:p w14:paraId="5155F7A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Intézkedéseink az alábbi területekre terjednek ki:</w:t>
      </w:r>
    </w:p>
    <w:p w14:paraId="6A0AA386" w14:textId="77777777" w:rsidR="00BD159D" w:rsidRPr="00E45723" w:rsidRDefault="00FD7771" w:rsidP="008A457A">
      <w:pPr>
        <w:pStyle w:val="BodyText"/>
        <w:numPr>
          <w:ilvl w:val="0"/>
          <w:numId w:val="39"/>
        </w:numPr>
        <w:suppressAutoHyphens/>
        <w:rPr>
          <w:rFonts w:asciiTheme="minorHAnsi" w:hAnsiTheme="minorHAnsi" w:cs="Calibri"/>
        </w:rPr>
      </w:pPr>
      <w:r w:rsidRPr="00E45723">
        <w:rPr>
          <w:rFonts w:asciiTheme="minorHAnsi" w:hAnsiTheme="minorHAnsi" w:cs="Calibri"/>
        </w:rPr>
        <w:t>jogszabályi megfelelés és munkajogi előírások betartatása az alvállalkozóknál,</w:t>
      </w:r>
    </w:p>
    <w:p w14:paraId="35302E10" w14:textId="77777777" w:rsidR="00BD159D" w:rsidRPr="00E45723" w:rsidRDefault="00FD7771" w:rsidP="008A457A">
      <w:pPr>
        <w:pStyle w:val="BodyText"/>
        <w:numPr>
          <w:ilvl w:val="0"/>
          <w:numId w:val="39"/>
        </w:numPr>
        <w:suppressAutoHyphens/>
        <w:rPr>
          <w:rFonts w:asciiTheme="minorHAnsi" w:hAnsiTheme="minorHAnsi" w:cs="Calibri"/>
        </w:rPr>
      </w:pPr>
      <w:r w:rsidRPr="00E45723">
        <w:rPr>
          <w:rFonts w:asciiTheme="minorHAnsi" w:hAnsiTheme="minorHAnsi" w:cs="Calibri"/>
        </w:rPr>
        <w:t>rendszeres compliance ellenőrzések,</w:t>
      </w:r>
    </w:p>
    <w:p w14:paraId="1463E240" w14:textId="77777777" w:rsidR="00BD159D" w:rsidRPr="00E45723" w:rsidRDefault="00FD7771" w:rsidP="008A457A">
      <w:pPr>
        <w:pStyle w:val="BodyText"/>
        <w:numPr>
          <w:ilvl w:val="0"/>
          <w:numId w:val="39"/>
        </w:numPr>
        <w:suppressAutoHyphens/>
        <w:rPr>
          <w:rFonts w:asciiTheme="minorHAnsi" w:hAnsiTheme="minorHAnsi" w:cs="Calibri"/>
        </w:rPr>
      </w:pPr>
      <w:r w:rsidRPr="00E45723">
        <w:rPr>
          <w:rFonts w:asciiTheme="minorHAnsi" w:hAnsiTheme="minorHAnsi" w:cs="Calibri"/>
        </w:rPr>
        <w:t>munkavédelmi és egészségvédelmi képzések és auditok,</w:t>
      </w:r>
    </w:p>
    <w:p w14:paraId="56EB5AD6" w14:textId="77777777" w:rsidR="00BD159D" w:rsidRPr="00E45723" w:rsidRDefault="00FD7771" w:rsidP="008A457A">
      <w:pPr>
        <w:pStyle w:val="BodyText"/>
        <w:numPr>
          <w:ilvl w:val="0"/>
          <w:numId w:val="39"/>
        </w:numPr>
        <w:suppressAutoHyphens/>
        <w:rPr>
          <w:rFonts w:asciiTheme="minorHAnsi" w:hAnsiTheme="minorHAnsi" w:cs="Calibri"/>
        </w:rPr>
      </w:pPr>
      <w:r w:rsidRPr="00E45723">
        <w:rPr>
          <w:rFonts w:asciiTheme="minorHAnsi" w:hAnsiTheme="minorHAnsi" w:cs="Calibri"/>
        </w:rPr>
        <w:t>a túlóraterhelésből fakadó kockázatok monitorozása,</w:t>
      </w:r>
    </w:p>
    <w:p w14:paraId="1E089651" w14:textId="77777777" w:rsidR="00BD159D" w:rsidRPr="00E45723" w:rsidRDefault="00FD7771" w:rsidP="008A457A">
      <w:pPr>
        <w:pStyle w:val="BodyText"/>
        <w:numPr>
          <w:ilvl w:val="0"/>
          <w:numId w:val="39"/>
        </w:numPr>
        <w:suppressAutoHyphens/>
        <w:rPr>
          <w:rFonts w:asciiTheme="minorHAnsi" w:hAnsiTheme="minorHAnsi" w:cs="Calibri"/>
        </w:rPr>
      </w:pPr>
      <w:r w:rsidRPr="00E45723">
        <w:rPr>
          <w:rFonts w:asciiTheme="minorHAnsi" w:hAnsiTheme="minorHAnsi" w:cs="Calibri"/>
        </w:rPr>
        <w:t>hátrányos helyzetű munkavállalók integrációjának támogatása az értékláncban,</w:t>
      </w:r>
    </w:p>
    <w:p w14:paraId="4A7B5B58" w14:textId="77777777" w:rsidR="00BD159D" w:rsidRPr="00E45723" w:rsidRDefault="00FD7771" w:rsidP="008A457A">
      <w:pPr>
        <w:pStyle w:val="BodyText"/>
        <w:numPr>
          <w:ilvl w:val="0"/>
          <w:numId w:val="39"/>
        </w:numPr>
        <w:rPr>
          <w:rFonts w:asciiTheme="minorHAnsi" w:hAnsiTheme="minorHAnsi" w:cs="Calibri"/>
        </w:rPr>
      </w:pPr>
      <w:r w:rsidRPr="00E45723">
        <w:rPr>
          <w:rFonts w:asciiTheme="minorHAnsi" w:hAnsiTheme="minorHAnsi" w:cs="Calibri"/>
        </w:rPr>
        <w:t>beszállítói adatszolgáltatáson alapuló ESG-szempontú beszállítói kockázatkezelésen és -értékelésen keresztül a beszállítók fenntartható és átlátható működésének a támogatása.</w:t>
      </w:r>
    </w:p>
    <w:p w14:paraId="796C287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hatókör valamennyi olyan üzleti partnerre kiterjed, amely tevékenységével közvetlenül vagy közvetetten hozzájárul szolgáltatásaink teljesítéséhez.</w:t>
      </w:r>
    </w:p>
    <w:p w14:paraId="455953D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tényleges anyagi hatások által károsultak jogorvoslatának biztosítása, az abban való együttműködés vagy annak támogatása érdekében megtett főbb intézkedések és azok eredményeinek leírása</w:t>
      </w:r>
    </w:p>
    <w:p w14:paraId="0EF24DA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68 d)] A tényleges negatív hatások – különösen a túlzott túlóráztatásból vagy a vegyszerekkel való érintkezésből eredő egészségügyi kockázatokból fakadó esetek – kezelése érdekében társaságunk több szintű megközelítést alkalmaz.</w:t>
      </w:r>
    </w:p>
    <w:p w14:paraId="0098C9E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Biztosítjuk, hogy:</w:t>
      </w:r>
    </w:p>
    <w:p w14:paraId="008616B5" w14:textId="77777777" w:rsidR="00BD159D" w:rsidRPr="00E45723" w:rsidRDefault="00FD7771" w:rsidP="008A457A">
      <w:pPr>
        <w:pStyle w:val="BodyText"/>
        <w:numPr>
          <w:ilvl w:val="0"/>
          <w:numId w:val="40"/>
        </w:numPr>
        <w:suppressAutoHyphens/>
        <w:rPr>
          <w:rFonts w:asciiTheme="minorHAnsi" w:hAnsiTheme="minorHAnsi" w:cs="Calibri"/>
        </w:rPr>
      </w:pPr>
      <w:r w:rsidRPr="00E45723">
        <w:rPr>
          <w:rFonts w:asciiTheme="minorHAnsi" w:hAnsiTheme="minorHAnsi" w:cs="Calibri"/>
        </w:rPr>
        <w:t>alvállalkozóink működése megfeleljen a hatályos munkajogi és munkavédelmi szabályozásnak,</w:t>
      </w:r>
    </w:p>
    <w:p w14:paraId="3321E04B" w14:textId="77777777" w:rsidR="00BD159D" w:rsidRPr="00E45723" w:rsidRDefault="00FD7771" w:rsidP="008A457A">
      <w:pPr>
        <w:pStyle w:val="BodyText"/>
        <w:numPr>
          <w:ilvl w:val="0"/>
          <w:numId w:val="40"/>
        </w:numPr>
        <w:suppressAutoHyphens/>
        <w:rPr>
          <w:rFonts w:asciiTheme="minorHAnsi" w:hAnsiTheme="minorHAnsi" w:cs="Calibri"/>
        </w:rPr>
      </w:pPr>
      <w:r w:rsidRPr="00E45723">
        <w:rPr>
          <w:rFonts w:asciiTheme="minorHAnsi" w:hAnsiTheme="minorHAnsi" w:cs="Calibri"/>
        </w:rPr>
        <w:t>a munkavállalók számára rendelkezésre álljanak a jogszabályban meghatározott panasz- és jogorvoslati lehetőségek,</w:t>
      </w:r>
    </w:p>
    <w:p w14:paraId="35A6679C" w14:textId="77777777" w:rsidR="00BD159D" w:rsidRPr="00E45723" w:rsidRDefault="00FD7771" w:rsidP="008A457A">
      <w:pPr>
        <w:pStyle w:val="BodyText"/>
        <w:numPr>
          <w:ilvl w:val="0"/>
          <w:numId w:val="40"/>
        </w:numPr>
        <w:suppressAutoHyphens/>
        <w:rPr>
          <w:rFonts w:asciiTheme="minorHAnsi" w:hAnsiTheme="minorHAnsi" w:cs="Calibri"/>
        </w:rPr>
      </w:pPr>
      <w:r w:rsidRPr="00E45723">
        <w:rPr>
          <w:rFonts w:asciiTheme="minorHAnsi" w:hAnsiTheme="minorHAnsi" w:cs="Calibri"/>
        </w:rPr>
        <w:t>a compliance vizsgálatok során feltárt hiányosságok esetén korrekciós intézkedések kerüljenek bevezetésre.</w:t>
      </w:r>
    </w:p>
    <w:p w14:paraId="4BE1AC5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jogorvoslathoz való hozzáférés támogatása érdekében elvárjuk üzleti partnereinktől az átlátható foglalkoztatási gyakorlatot, valamint az együttműködést az esetleges vizsgálatok és hatósági eljárások során. A rendszeres auditok és ellenőrzések eredményeként csökkent a jogszabályi megfelelésből fakadó kockázati kitettség, és erősödött az üzleti kapcsolatok stabilitása.</w:t>
      </w:r>
    </w:p>
    <w:p w14:paraId="2B9E6878"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értékláncban dolgozókat érintő lényeges negatív hatások megelőzése, enyhítése vagy orvoslása érdekében tervezett vagy folyamatban lévő intézkedések leírása</w:t>
      </w:r>
    </w:p>
    <w:p w14:paraId="771A80A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S2 bek. 32] Az értékláncban dolgozókat érintő lényeges negatív hatások közé tartozik:</w:t>
      </w:r>
    </w:p>
    <w:p w14:paraId="4EC6AEA8" w14:textId="77777777" w:rsidR="00BD159D" w:rsidRPr="00E45723" w:rsidRDefault="00FD7771" w:rsidP="008A457A">
      <w:pPr>
        <w:pStyle w:val="BodyText"/>
        <w:numPr>
          <w:ilvl w:val="0"/>
          <w:numId w:val="41"/>
        </w:numPr>
        <w:suppressAutoHyphens/>
        <w:rPr>
          <w:rFonts w:asciiTheme="minorHAnsi" w:hAnsiTheme="minorHAnsi" w:cs="Calibri"/>
        </w:rPr>
      </w:pPr>
      <w:r w:rsidRPr="00E45723">
        <w:rPr>
          <w:rFonts w:asciiTheme="minorHAnsi" w:hAnsiTheme="minorHAnsi" w:cs="Calibri"/>
        </w:rPr>
        <w:t>a túlóraterhelésből eredő munkaügyi kockázat,</w:t>
      </w:r>
    </w:p>
    <w:p w14:paraId="3727462A" w14:textId="77777777" w:rsidR="00BD159D" w:rsidRPr="00E45723" w:rsidRDefault="00FD7771" w:rsidP="008A457A">
      <w:pPr>
        <w:pStyle w:val="BodyText"/>
        <w:numPr>
          <w:ilvl w:val="0"/>
          <w:numId w:val="41"/>
        </w:numPr>
        <w:suppressAutoHyphens/>
        <w:rPr>
          <w:rFonts w:asciiTheme="minorHAnsi" w:hAnsiTheme="minorHAnsi" w:cs="Calibri"/>
        </w:rPr>
      </w:pPr>
      <w:r w:rsidRPr="00E45723">
        <w:rPr>
          <w:rFonts w:asciiTheme="minorHAnsi" w:hAnsiTheme="minorHAnsi" w:cs="Calibri"/>
        </w:rPr>
        <w:t>a vegyszerekkel való rendszeres érintkezésből fakadó egészségügyi kitettség.</w:t>
      </w:r>
    </w:p>
    <w:p w14:paraId="78BB78A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 hatások kezelése érdekében:</w:t>
      </w:r>
    </w:p>
    <w:p w14:paraId="4B104568" w14:textId="77777777" w:rsidR="00BD159D" w:rsidRPr="00E45723" w:rsidRDefault="00FD7771" w:rsidP="008A457A">
      <w:pPr>
        <w:pStyle w:val="BodyText"/>
        <w:numPr>
          <w:ilvl w:val="0"/>
          <w:numId w:val="42"/>
        </w:numPr>
        <w:suppressAutoHyphens/>
        <w:rPr>
          <w:rFonts w:asciiTheme="minorHAnsi" w:hAnsiTheme="minorHAnsi" w:cs="Calibri"/>
        </w:rPr>
      </w:pPr>
      <w:r w:rsidRPr="00E45723">
        <w:rPr>
          <w:rFonts w:asciiTheme="minorHAnsi" w:hAnsiTheme="minorHAnsi" w:cs="Calibri"/>
        </w:rPr>
        <w:lastRenderedPageBreak/>
        <w:t>rendszeresen monitorozzuk az alvállalkozói elszámolásokat és foglalkoztatási gyakorlatokat,</w:t>
      </w:r>
    </w:p>
    <w:p w14:paraId="4A437D2C" w14:textId="77777777" w:rsidR="00BD159D" w:rsidRPr="00E45723" w:rsidRDefault="00FD7771" w:rsidP="008A457A">
      <w:pPr>
        <w:pStyle w:val="BodyText"/>
        <w:numPr>
          <w:ilvl w:val="0"/>
          <w:numId w:val="42"/>
        </w:numPr>
        <w:suppressAutoHyphens/>
        <w:rPr>
          <w:rFonts w:asciiTheme="minorHAnsi" w:hAnsiTheme="minorHAnsi" w:cs="Calibri"/>
        </w:rPr>
      </w:pPr>
      <w:r w:rsidRPr="00E45723">
        <w:rPr>
          <w:rFonts w:asciiTheme="minorHAnsi" w:hAnsiTheme="minorHAnsi" w:cs="Calibri"/>
        </w:rPr>
        <w:t>munkavédelmi és egészségvédelmi képzéseket biztosítunk,</w:t>
      </w:r>
    </w:p>
    <w:p w14:paraId="1A25EB63" w14:textId="77777777" w:rsidR="00BD159D" w:rsidRPr="00E45723" w:rsidRDefault="00FD7771" w:rsidP="008A457A">
      <w:pPr>
        <w:pStyle w:val="BodyText"/>
        <w:numPr>
          <w:ilvl w:val="0"/>
          <w:numId w:val="42"/>
        </w:numPr>
        <w:suppressAutoHyphens/>
        <w:rPr>
          <w:rFonts w:asciiTheme="minorHAnsi" w:hAnsiTheme="minorHAnsi" w:cs="Calibri"/>
        </w:rPr>
      </w:pPr>
      <w:r w:rsidRPr="00E45723">
        <w:rPr>
          <w:rFonts w:asciiTheme="minorHAnsi" w:hAnsiTheme="minorHAnsi" w:cs="Calibri"/>
        </w:rPr>
        <w:t>auditáljuk az egészségvédelmi előírások betartását,</w:t>
      </w:r>
    </w:p>
    <w:p w14:paraId="3BC3E5BE" w14:textId="77777777" w:rsidR="00BD159D" w:rsidRPr="00E45723" w:rsidRDefault="00FD7771" w:rsidP="008A457A">
      <w:pPr>
        <w:pStyle w:val="BodyText"/>
        <w:numPr>
          <w:ilvl w:val="0"/>
          <w:numId w:val="42"/>
        </w:numPr>
        <w:suppressAutoHyphens/>
        <w:rPr>
          <w:rFonts w:asciiTheme="minorHAnsi" w:hAnsiTheme="minorHAnsi" w:cs="Calibri"/>
        </w:rPr>
      </w:pPr>
      <w:r w:rsidRPr="00E45723">
        <w:rPr>
          <w:rFonts w:asciiTheme="minorHAnsi" w:hAnsiTheme="minorHAnsi" w:cs="Calibri"/>
        </w:rPr>
        <w:t>ösztönözzük a biztonságos munkaszervezési gyakorlatok alkalmazását,</w:t>
      </w:r>
    </w:p>
    <w:p w14:paraId="65518D60" w14:textId="77777777" w:rsidR="00BD159D" w:rsidRPr="00E45723" w:rsidRDefault="00FD7771" w:rsidP="008A457A">
      <w:pPr>
        <w:pStyle w:val="BodyText"/>
        <w:numPr>
          <w:ilvl w:val="0"/>
          <w:numId w:val="42"/>
        </w:numPr>
        <w:suppressAutoHyphens/>
        <w:rPr>
          <w:rFonts w:asciiTheme="minorHAnsi" w:hAnsiTheme="minorHAnsi" w:cs="Calibri"/>
        </w:rPr>
      </w:pPr>
      <w:r w:rsidRPr="00E45723">
        <w:rPr>
          <w:rFonts w:asciiTheme="minorHAnsi" w:hAnsiTheme="minorHAnsi" w:cs="Calibri"/>
        </w:rPr>
        <w:t>támogatjuk a védőeszközök és biztonságos munkavégzési protokollok következetes használatát.</w:t>
      </w:r>
    </w:p>
    <w:p w14:paraId="04A99689"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cél a munkavállalói egészségkárosodás, a munkaügyi viták és a hosszú távú reputációs kockázatok megelőzése, valamint a fenntarthatóbb foglalkoztatási gyakorlat előmozdítása az értéklánc egészében.</w:t>
      </w:r>
    </w:p>
    <w:p w14:paraId="7900C68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intézkedések hatékonyságát a tervezett munkavállalói elégedettség-felmérés alapján fogja vizsgálni a társaság.</w:t>
      </w:r>
    </w:p>
    <w:p w14:paraId="2DCC40A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Az értékláncban dolgozókat érintő konkrét tényleges vagy potenciális lényeges negatív hatásokra adott válaszként szükséges és megfelelő intézkedések azonosítására szolgáló folyamatok leírása</w:t>
      </w:r>
    </w:p>
    <w:p w14:paraId="0FD9B910"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S2 bek. 33 a)] A társaság az értékláncban dolgozókat érintő konkrét, tényleges vagy potenciális lényeges negatív hatások kezelésére irányuló szükséges és megfelelő intézkedések azonosítását az érintett szakterületek bevonásával létrehozott munkacsoportok útján végzi.</w:t>
      </w:r>
    </w:p>
    <w:p w14:paraId="2E9D659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 munkacsoportok tagjai jellemzően a HR, a beszerzés, a megfelelőség (compliance), a jogi, a fenntarthatósági, valamint – indokolt esetben – a munkavédelmi és operatív területek képviselői. Feladatuk az azonosított kockázatok részletes elemzése, a hatás súlyosságának és valószínűségének értékelése, továbbá a megfelelő megelőző, enyhítő vagy helyreállító intézkedések meghatározása, azok felelőseinek kijelölése, végrehajtási határidejének rögzítése, valamint a megvalósítás nyomon követésének és rendszeres felülvizsgálatának biztosítása.</w:t>
      </w:r>
    </w:p>
    <w:p w14:paraId="674F3655"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[ESRS S2 bek. 33 b)] </w:t>
      </w:r>
      <w:r w:rsidRPr="00E45723">
        <w:rPr>
          <w:rStyle w:val="Strong"/>
          <w:rFonts w:asciiTheme="minorHAnsi" w:hAnsiTheme="minorHAnsi" w:cs="Calibri"/>
          <w:b w:val="0"/>
          <w:bCs w:val="0"/>
        </w:rPr>
        <w:t>A LIWO FM az értékláncban dolgozókat érintő konkrét lényeges hatásokkal kapcsolatos intézkedések megtételét elsősorban kockázatalapú, partnerkapcsolati és megfelelőségi megközelítés mentén valósítja meg.</w:t>
      </w:r>
      <w:r w:rsidRPr="00E45723">
        <w:rPr>
          <w:rFonts w:asciiTheme="minorHAnsi" w:hAnsiTheme="minorHAnsi" w:cs="Calibri"/>
          <w:b/>
          <w:bCs/>
        </w:rPr>
        <w:t xml:space="preserve"> </w:t>
      </w:r>
      <w:r w:rsidRPr="00E45723">
        <w:rPr>
          <w:rFonts w:asciiTheme="minorHAnsi" w:hAnsiTheme="minorHAnsi" w:cs="Calibri"/>
        </w:rPr>
        <w:t>A Társaság a feltárt vagy jelzett problémákat a beszállítói és alvállalkozói kapcsolatok, a szerződéses elvárások, valamint a kapcsolódó kontroll- és egyeztetési folyamatok keretében értékeli, és szükség esetén korrekciós vagy kockázatcsökkentő intézkedéseket kezdeményez.</w:t>
      </w:r>
    </w:p>
    <w:p w14:paraId="64E44AF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megközelítés célja, hogy az értékláncban dolgozókat érintő lényeges negatív hatások azonosítása, kezelése és mérséklése a működésbe beépített, arányos és nyomon követhető módon történjen.</w:t>
      </w:r>
    </w:p>
    <w:p w14:paraId="251D021C"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Társaságunk megközelítése a jogorvoslati lehetőségek biztosítása terén az alábbi elemekre épül:</w:t>
      </w:r>
    </w:p>
    <w:p w14:paraId="64E6A2DE" w14:textId="77777777" w:rsidR="00BD159D" w:rsidRPr="00E45723" w:rsidRDefault="00FD7771" w:rsidP="008A457A">
      <w:pPr>
        <w:pStyle w:val="BodyText"/>
        <w:numPr>
          <w:ilvl w:val="0"/>
          <w:numId w:val="43"/>
        </w:numPr>
        <w:suppressAutoHyphens/>
        <w:rPr>
          <w:rFonts w:asciiTheme="minorHAnsi" w:hAnsiTheme="minorHAnsi" w:cs="Calibri"/>
        </w:rPr>
      </w:pPr>
      <w:r w:rsidRPr="00E45723">
        <w:rPr>
          <w:rFonts w:asciiTheme="minorHAnsi" w:hAnsiTheme="minorHAnsi" w:cs="Calibri"/>
        </w:rPr>
        <w:t>jogszabályi megfelelés kikényszerítése az alvállalkozói szerződésekben,</w:t>
      </w:r>
    </w:p>
    <w:p w14:paraId="7F030F69" w14:textId="77777777" w:rsidR="00BD159D" w:rsidRPr="00E45723" w:rsidRDefault="00FD7771" w:rsidP="008A457A">
      <w:pPr>
        <w:pStyle w:val="BodyText"/>
        <w:numPr>
          <w:ilvl w:val="0"/>
          <w:numId w:val="43"/>
        </w:numPr>
        <w:suppressAutoHyphens/>
        <w:rPr>
          <w:rFonts w:asciiTheme="minorHAnsi" w:hAnsiTheme="minorHAnsi" w:cs="Calibri"/>
        </w:rPr>
      </w:pPr>
      <w:r w:rsidRPr="00E45723">
        <w:rPr>
          <w:rFonts w:asciiTheme="minorHAnsi" w:hAnsiTheme="minorHAnsi" w:cs="Calibri"/>
        </w:rPr>
        <w:t>rendszeres compliance vizsgálatok,</w:t>
      </w:r>
    </w:p>
    <w:p w14:paraId="33733D82" w14:textId="77777777" w:rsidR="00BD159D" w:rsidRPr="00E45723" w:rsidRDefault="00FD7771" w:rsidP="008A457A">
      <w:pPr>
        <w:pStyle w:val="BodyText"/>
        <w:numPr>
          <w:ilvl w:val="0"/>
          <w:numId w:val="43"/>
        </w:numPr>
        <w:suppressAutoHyphens/>
        <w:rPr>
          <w:rFonts w:asciiTheme="minorHAnsi" w:hAnsiTheme="minorHAnsi" w:cs="Calibri"/>
        </w:rPr>
      </w:pPr>
      <w:r w:rsidRPr="00E45723">
        <w:rPr>
          <w:rFonts w:asciiTheme="minorHAnsi" w:hAnsiTheme="minorHAnsi" w:cs="Calibri"/>
        </w:rPr>
        <w:t>együttműködés a hatóságokkal és üzleti partnerekkel,</w:t>
      </w:r>
    </w:p>
    <w:p w14:paraId="670B828F" w14:textId="77777777" w:rsidR="00BD159D" w:rsidRPr="00E45723" w:rsidRDefault="00FD7771" w:rsidP="008A457A">
      <w:pPr>
        <w:pStyle w:val="BodyText"/>
        <w:numPr>
          <w:ilvl w:val="0"/>
          <w:numId w:val="43"/>
        </w:numPr>
        <w:suppressAutoHyphens/>
        <w:rPr>
          <w:rFonts w:asciiTheme="minorHAnsi" w:hAnsiTheme="minorHAnsi" w:cs="Calibri"/>
        </w:rPr>
      </w:pPr>
      <w:r w:rsidRPr="00E45723">
        <w:rPr>
          <w:rFonts w:asciiTheme="minorHAnsi" w:hAnsiTheme="minorHAnsi" w:cs="Calibri"/>
        </w:rPr>
        <w:t>a munkavállalók számára elérhető panaszmechanizmusok meglétének elvárása az alvállalkozóknál.</w:t>
      </w:r>
    </w:p>
    <w:p w14:paraId="3F9C9C1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hatékonyság biztosítása érdekében:</w:t>
      </w:r>
    </w:p>
    <w:p w14:paraId="761CE6A9" w14:textId="77777777" w:rsidR="00BD159D" w:rsidRPr="00E45723" w:rsidRDefault="00FD7771" w:rsidP="008A457A">
      <w:pPr>
        <w:pStyle w:val="BodyText"/>
        <w:numPr>
          <w:ilvl w:val="0"/>
          <w:numId w:val="44"/>
        </w:numPr>
        <w:suppressAutoHyphens/>
        <w:rPr>
          <w:rFonts w:asciiTheme="minorHAnsi" w:hAnsiTheme="minorHAnsi" w:cs="Calibri"/>
        </w:rPr>
      </w:pPr>
      <w:r w:rsidRPr="00E45723">
        <w:rPr>
          <w:rFonts w:asciiTheme="minorHAnsi" w:hAnsiTheme="minorHAnsi" w:cs="Calibri"/>
        </w:rPr>
        <w:lastRenderedPageBreak/>
        <w:t>dokumentált auditfolyamatokat működtetünk,</w:t>
      </w:r>
    </w:p>
    <w:p w14:paraId="4DC9C619" w14:textId="77777777" w:rsidR="00BD159D" w:rsidRPr="00E45723" w:rsidRDefault="00FD7771" w:rsidP="008A457A">
      <w:pPr>
        <w:pStyle w:val="BodyText"/>
        <w:numPr>
          <w:ilvl w:val="0"/>
          <w:numId w:val="44"/>
        </w:numPr>
        <w:suppressAutoHyphens/>
        <w:rPr>
          <w:rFonts w:asciiTheme="minorHAnsi" w:hAnsiTheme="minorHAnsi" w:cs="Calibri"/>
        </w:rPr>
      </w:pPr>
      <w:r w:rsidRPr="00E45723">
        <w:rPr>
          <w:rFonts w:asciiTheme="minorHAnsi" w:hAnsiTheme="minorHAnsi" w:cs="Calibri"/>
        </w:rPr>
        <w:t>nyomon követjük a feltárt hiányosságokhoz kapcsolódó korrekciós intézkedések végrehajtását,</w:t>
      </w:r>
    </w:p>
    <w:p w14:paraId="50C18BB7" w14:textId="77777777" w:rsidR="00BD159D" w:rsidRPr="00E45723" w:rsidRDefault="00FD7771" w:rsidP="008A457A">
      <w:pPr>
        <w:pStyle w:val="BodyText"/>
        <w:numPr>
          <w:ilvl w:val="0"/>
          <w:numId w:val="44"/>
        </w:numPr>
        <w:suppressAutoHyphens/>
        <w:rPr>
          <w:rFonts w:asciiTheme="minorHAnsi" w:hAnsiTheme="minorHAnsi" w:cs="Calibri"/>
        </w:rPr>
      </w:pPr>
      <w:r w:rsidRPr="00E45723">
        <w:rPr>
          <w:rFonts w:asciiTheme="minorHAnsi" w:hAnsiTheme="minorHAnsi" w:cs="Calibri"/>
        </w:rPr>
        <w:t>értékeljük a visszatérő kockázati mintázatokat.</w:t>
      </w:r>
    </w:p>
    <w:p w14:paraId="2C19D522"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Ez a megközelítés hozzájárul a jogi és reputációs kockázatok mérsékléséhez, valamint az értéklánc működésének átláthatóságához és stabilitásához.</w:t>
      </w:r>
    </w:p>
    <w:p w14:paraId="7612312C"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Az értékláncban dolgozókra gyakorolt hatásokból és függőségekből eredő lényeges kockázatok enyhítésére tervezett vagy folyamatban lévő intézkedések leírása, és a hatékonyság nyomon követésének módja</w:t>
      </w:r>
    </w:p>
    <w:p w14:paraId="32F54B30" w14:textId="0D5735EF"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S2 bek. 34] A társaság érintett szakterületei által kialakított munkacsoportok létrehozása segíti a kockázatok enyhítéséhez szükséges intézkedések megvalósítását.</w:t>
      </w:r>
    </w:p>
    <w:p w14:paraId="075240FD"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Az értékláncban dolgozókra gyakorolt hatásokból eredő lényeges kockázatok elsősorban:</w:t>
      </w:r>
    </w:p>
    <w:p w14:paraId="7993E77F" w14:textId="77777777" w:rsidR="00BD159D" w:rsidRPr="00E45723" w:rsidRDefault="00FD7771" w:rsidP="008A457A">
      <w:pPr>
        <w:pStyle w:val="BodyText"/>
        <w:numPr>
          <w:ilvl w:val="0"/>
          <w:numId w:val="45"/>
        </w:numPr>
        <w:suppressAutoHyphens/>
        <w:rPr>
          <w:rFonts w:asciiTheme="minorHAnsi" w:hAnsiTheme="minorHAnsi" w:cs="Calibri"/>
        </w:rPr>
      </w:pPr>
      <w:r w:rsidRPr="00E45723">
        <w:rPr>
          <w:rFonts w:asciiTheme="minorHAnsi" w:hAnsiTheme="minorHAnsi" w:cs="Calibri"/>
        </w:rPr>
        <w:t>az alvállalkozók és beszállítók jogkövető foglalkoztatási gyakorlatához és a munkavállalói jogok érvényesüléséhez kapcsolódó kockázatok;</w:t>
      </w:r>
    </w:p>
    <w:p w14:paraId="3A24FF2E" w14:textId="77777777" w:rsidR="00BD159D" w:rsidRPr="00E45723" w:rsidRDefault="00FD7771" w:rsidP="008A457A">
      <w:pPr>
        <w:pStyle w:val="BodyText"/>
        <w:numPr>
          <w:ilvl w:val="0"/>
          <w:numId w:val="45"/>
        </w:numPr>
        <w:suppressAutoHyphens/>
        <w:rPr>
          <w:rFonts w:asciiTheme="minorHAnsi" w:hAnsiTheme="minorHAnsi" w:cs="Calibri"/>
        </w:rPr>
      </w:pPr>
      <w:r w:rsidRPr="00E45723">
        <w:rPr>
          <w:rFonts w:asciiTheme="minorHAnsi" w:hAnsiTheme="minorHAnsi" w:cs="Calibri"/>
        </w:rPr>
        <w:t>a túlzott munkaidő-terhelésből és a nem megfelelő munkaszervezésből eredő egészségvédelmi, munkabiztonsági és megfelelőségi kockázatok;</w:t>
      </w:r>
    </w:p>
    <w:p w14:paraId="385E4DEB" w14:textId="77777777" w:rsidR="00BD159D" w:rsidRPr="00E45723" w:rsidRDefault="00FD7771" w:rsidP="008A457A">
      <w:pPr>
        <w:pStyle w:val="BodyText"/>
        <w:numPr>
          <w:ilvl w:val="0"/>
          <w:numId w:val="45"/>
        </w:numPr>
        <w:rPr>
          <w:rFonts w:asciiTheme="minorHAnsi" w:hAnsiTheme="minorHAnsi" w:cs="Calibri"/>
        </w:rPr>
      </w:pPr>
      <w:r w:rsidRPr="00E45723">
        <w:rPr>
          <w:rFonts w:asciiTheme="minorHAnsi" w:hAnsiTheme="minorHAnsi" w:cs="Calibri"/>
        </w:rPr>
        <w:t>az értékláncban dolgozók vegyi anyagokkal való érintkezéséből eredő egészségügyi és munkabiztonsági kockázatok;</w:t>
      </w:r>
    </w:p>
    <w:p w14:paraId="14E011C8" w14:textId="77777777" w:rsidR="00BD159D" w:rsidRPr="00E45723" w:rsidRDefault="00FD7771" w:rsidP="008A457A">
      <w:pPr>
        <w:pStyle w:val="BodyText"/>
        <w:numPr>
          <w:ilvl w:val="0"/>
          <w:numId w:val="45"/>
        </w:numPr>
        <w:suppressAutoHyphens/>
        <w:rPr>
          <w:rFonts w:asciiTheme="minorHAnsi" w:hAnsiTheme="minorHAnsi" w:cs="Calibri"/>
        </w:rPr>
      </w:pPr>
      <w:r w:rsidRPr="00E45723">
        <w:rPr>
          <w:rFonts w:asciiTheme="minorHAnsi" w:hAnsiTheme="minorHAnsi" w:cs="Calibri"/>
        </w:rPr>
        <w:t>a munkabiztonsági képzések, ellenőrzések és megelőző intézkedések alkalmazásából származó pozitív hatások és működési előnyök;</w:t>
      </w:r>
    </w:p>
    <w:p w14:paraId="7316DE39" w14:textId="77777777" w:rsidR="00BD159D" w:rsidRPr="00E45723" w:rsidRDefault="00FD7771" w:rsidP="008A457A">
      <w:pPr>
        <w:pStyle w:val="BodyText"/>
        <w:numPr>
          <w:ilvl w:val="0"/>
          <w:numId w:val="45"/>
        </w:numPr>
        <w:rPr>
          <w:rFonts w:asciiTheme="minorHAnsi" w:hAnsiTheme="minorHAnsi" w:cs="Calibri"/>
        </w:rPr>
      </w:pPr>
      <w:r w:rsidRPr="00E45723">
        <w:rPr>
          <w:rFonts w:asciiTheme="minorHAnsi" w:hAnsiTheme="minorHAnsi" w:cs="Calibri"/>
        </w:rPr>
        <w:t>a jogi, reputációs és pénzügyi kockázatok, amelyek az értékláncban dolgozókat érintő kedvezőtlen munkaügyi vagy munkabiztonsági eseményekből eredhetnek.</w:t>
      </w:r>
    </w:p>
    <w:p w14:paraId="4F58363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 kockázatok enyhítése érdekében:</w:t>
      </w:r>
    </w:p>
    <w:p w14:paraId="0625434A" w14:textId="77777777" w:rsidR="00BD159D" w:rsidRPr="00E45723" w:rsidRDefault="00FD7771" w:rsidP="008A457A">
      <w:pPr>
        <w:pStyle w:val="BodyText"/>
        <w:numPr>
          <w:ilvl w:val="0"/>
          <w:numId w:val="46"/>
        </w:numPr>
        <w:suppressAutoHyphens/>
        <w:rPr>
          <w:rFonts w:asciiTheme="minorHAnsi" w:hAnsiTheme="minorHAnsi" w:cs="Calibri"/>
        </w:rPr>
      </w:pPr>
      <w:r w:rsidRPr="00E45723">
        <w:rPr>
          <w:rFonts w:asciiTheme="minorHAnsi" w:hAnsiTheme="minorHAnsi" w:cs="Calibri"/>
        </w:rPr>
        <w:t>rendszeres auditokat és ellenőrzéseket végzünk,</w:t>
      </w:r>
    </w:p>
    <w:p w14:paraId="5E9316CB" w14:textId="77777777" w:rsidR="00BD159D" w:rsidRPr="00E45723" w:rsidRDefault="00FD7771" w:rsidP="008A457A">
      <w:pPr>
        <w:pStyle w:val="BodyText"/>
        <w:numPr>
          <w:ilvl w:val="0"/>
          <w:numId w:val="46"/>
        </w:numPr>
        <w:suppressAutoHyphens/>
        <w:rPr>
          <w:rFonts w:asciiTheme="minorHAnsi" w:hAnsiTheme="minorHAnsi" w:cs="Calibri"/>
        </w:rPr>
      </w:pPr>
      <w:r w:rsidRPr="00E45723">
        <w:rPr>
          <w:rFonts w:asciiTheme="minorHAnsi" w:hAnsiTheme="minorHAnsi" w:cs="Calibri"/>
        </w:rPr>
        <w:t>munkavédelmi képzéseket biztosítunk,</w:t>
      </w:r>
    </w:p>
    <w:p w14:paraId="4BDE4A54" w14:textId="77777777" w:rsidR="00BD159D" w:rsidRPr="00E45723" w:rsidRDefault="00FD7771" w:rsidP="008A457A">
      <w:pPr>
        <w:pStyle w:val="BodyText"/>
        <w:numPr>
          <w:ilvl w:val="0"/>
          <w:numId w:val="46"/>
        </w:numPr>
        <w:suppressAutoHyphens/>
        <w:rPr>
          <w:rFonts w:asciiTheme="minorHAnsi" w:hAnsiTheme="minorHAnsi" w:cs="Calibri"/>
        </w:rPr>
      </w:pPr>
      <w:r w:rsidRPr="00E45723">
        <w:rPr>
          <w:rFonts w:asciiTheme="minorHAnsi" w:hAnsiTheme="minorHAnsi" w:cs="Calibri"/>
        </w:rPr>
        <w:t>erősítjük a szerződéses megfelelési követelményeket,</w:t>
      </w:r>
    </w:p>
    <w:p w14:paraId="29D65787" w14:textId="77777777" w:rsidR="00BD159D" w:rsidRPr="00E45723" w:rsidRDefault="00FD7771" w:rsidP="008A457A">
      <w:pPr>
        <w:pStyle w:val="BodyText"/>
        <w:numPr>
          <w:ilvl w:val="0"/>
          <w:numId w:val="46"/>
        </w:numPr>
        <w:suppressAutoHyphens/>
        <w:rPr>
          <w:rFonts w:asciiTheme="minorHAnsi" w:hAnsiTheme="minorHAnsi" w:cs="Calibri"/>
        </w:rPr>
      </w:pPr>
      <w:r w:rsidRPr="00E45723">
        <w:rPr>
          <w:rFonts w:asciiTheme="minorHAnsi" w:hAnsiTheme="minorHAnsi" w:cs="Calibri"/>
        </w:rPr>
        <w:t>támogatjuk a társadalmi integrációt és a stabil munkaerő-ellátást.</w:t>
      </w:r>
    </w:p>
    <w:p w14:paraId="1EE895C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hatékonyság nyomon követése több eszközzel történik:</w:t>
      </w:r>
    </w:p>
    <w:p w14:paraId="5BC7EFC7" w14:textId="77777777" w:rsidR="00BD159D" w:rsidRPr="00E45723" w:rsidRDefault="00FD7771" w:rsidP="008A457A">
      <w:pPr>
        <w:pStyle w:val="BodyText"/>
        <w:numPr>
          <w:ilvl w:val="0"/>
          <w:numId w:val="47"/>
        </w:numPr>
        <w:suppressAutoHyphens/>
        <w:rPr>
          <w:rFonts w:asciiTheme="minorHAnsi" w:hAnsiTheme="minorHAnsi" w:cs="Calibri"/>
        </w:rPr>
      </w:pPr>
      <w:r w:rsidRPr="00E45723">
        <w:rPr>
          <w:rFonts w:asciiTheme="minorHAnsi" w:hAnsiTheme="minorHAnsi" w:cs="Calibri"/>
        </w:rPr>
        <w:t>compliance vizsgálati eredmények értékelése,</w:t>
      </w:r>
    </w:p>
    <w:p w14:paraId="20468D5F" w14:textId="77777777" w:rsidR="00BD159D" w:rsidRPr="00E45723" w:rsidRDefault="00FD7771" w:rsidP="008A457A">
      <w:pPr>
        <w:pStyle w:val="BodyText"/>
        <w:numPr>
          <w:ilvl w:val="0"/>
          <w:numId w:val="47"/>
        </w:numPr>
        <w:suppressAutoHyphens/>
        <w:rPr>
          <w:rFonts w:asciiTheme="minorHAnsi" w:hAnsiTheme="minorHAnsi" w:cs="Calibri"/>
        </w:rPr>
      </w:pPr>
      <w:r w:rsidRPr="00E45723">
        <w:rPr>
          <w:rFonts w:asciiTheme="minorHAnsi" w:hAnsiTheme="minorHAnsi" w:cs="Calibri"/>
        </w:rPr>
        <w:t>feltárt hiányosságok számának és jellegének elemzése,</w:t>
      </w:r>
    </w:p>
    <w:p w14:paraId="4DAA3473" w14:textId="77777777" w:rsidR="00BD159D" w:rsidRPr="00E45723" w:rsidRDefault="00FD7771" w:rsidP="008A457A">
      <w:pPr>
        <w:pStyle w:val="BodyText"/>
        <w:numPr>
          <w:ilvl w:val="0"/>
          <w:numId w:val="47"/>
        </w:numPr>
        <w:suppressAutoHyphens/>
        <w:rPr>
          <w:rFonts w:asciiTheme="minorHAnsi" w:hAnsiTheme="minorHAnsi" w:cs="Calibri"/>
        </w:rPr>
      </w:pPr>
      <w:r w:rsidRPr="00E45723">
        <w:rPr>
          <w:rFonts w:asciiTheme="minorHAnsi" w:hAnsiTheme="minorHAnsi" w:cs="Calibri"/>
        </w:rPr>
        <w:t>munkaügyi incidensek és jogviták alakulásának monitorozása,</w:t>
      </w:r>
    </w:p>
    <w:p w14:paraId="15AB0FCC" w14:textId="77777777" w:rsidR="00BD159D" w:rsidRPr="00E45723" w:rsidRDefault="00FD7771" w:rsidP="008A457A">
      <w:pPr>
        <w:pStyle w:val="BodyText"/>
        <w:numPr>
          <w:ilvl w:val="0"/>
          <w:numId w:val="47"/>
        </w:numPr>
        <w:suppressAutoHyphens/>
        <w:rPr>
          <w:rFonts w:asciiTheme="minorHAnsi" w:hAnsiTheme="minorHAnsi" w:cs="Calibri"/>
        </w:rPr>
      </w:pPr>
      <w:r w:rsidRPr="00E45723">
        <w:rPr>
          <w:rFonts w:asciiTheme="minorHAnsi" w:hAnsiTheme="minorHAnsi" w:cs="Calibri"/>
        </w:rPr>
        <w:t>üzleti kapcsolatok stabilitásának vizsgálata.</w:t>
      </w:r>
    </w:p>
    <w:p w14:paraId="5E89CDC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monitoring eredményeit rendszeresen értékeljük, és szükség esetén módosítjuk kontrollmechanizmusainkat annak érdekében, hogy az értékláncban dolgozók védelme, valamint a vállalat hosszú távú pénzügyi és működési stabilitása egyaránt biztosított legyen.</w:t>
      </w:r>
    </w:p>
    <w:p w14:paraId="67A89F90"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lastRenderedPageBreak/>
        <w:t>[ESRS S2 bek. 36.] A jelentéstételi időszakban nem számoltak be súlyos emberi jogi problémákról és incidensekről az upstream és downstream értékláncokban.</w:t>
      </w:r>
    </w:p>
    <w:p w14:paraId="4AFE47B4"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lényeges hatások kezelésére elkülönített erőforrások közzététele</w:t>
      </w:r>
    </w:p>
    <w:p w14:paraId="1811AFE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S2 bek. 38] A lényeges hatások kezelésére, azaz az ESG-stratégiában a társadalmi pillérhez külön nem rendelt a Társaság erőforrásokat, azokat a megvalósulásuk alapján tudják költségekre bontani. A munkaerőre fordított költségekről bővebb információ a Társaság éves beszámolójában található.</w:t>
      </w:r>
    </w:p>
    <w:p w14:paraId="79967095" w14:textId="77777777" w:rsidR="00BD159D" w:rsidRPr="00E45723" w:rsidRDefault="00FD7771" w:rsidP="00EA3B06">
      <w:pPr>
        <w:pStyle w:val="Heading3"/>
        <w:suppressAutoHyphens/>
        <w:rPr>
          <w:rFonts w:asciiTheme="minorHAnsi" w:hAnsiTheme="minorHAnsi" w:cs="Calibri"/>
        </w:rPr>
      </w:pPr>
      <w:bookmarkStart w:id="85" w:name="_Toc239835024"/>
      <w:r w:rsidRPr="00E45723">
        <w:rPr>
          <w:rFonts w:asciiTheme="minorHAnsi" w:hAnsiTheme="minorHAnsi" w:cs="Calibri"/>
        </w:rPr>
        <w:t>S2-5 A lényeges negatív hatások kezelésével, a pozitív hatások előmozdításával, valamint a lényeges kockázatok és lehetőségek kezelésével kapcsolatos célok</w:t>
      </w:r>
      <w:bookmarkEnd w:id="85"/>
    </w:p>
    <w:p w14:paraId="1B69F666"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rPr>
        <w:t xml:space="preserve">[ESRS 2 bek. 81.] LIWO Group ESG stratégiájának elfogadása és kiterjesztése a tagvállalatokra 2026. első félévében várható. A jelentéstételi időszakban a tagvállalatok önállóan tűzték ki az értékláncaikkal kapcsolatos céljaikat. </w:t>
      </w:r>
    </w:p>
    <w:p w14:paraId="4984DD70" w14:textId="1059E74C" w:rsidR="00BD159D" w:rsidRPr="00E45723" w:rsidRDefault="00FD7771" w:rsidP="008A457A">
      <w:pPr>
        <w:pStyle w:val="BodyText"/>
        <w:suppressAutoHyphens/>
        <w:rPr>
          <w:rFonts w:asciiTheme="minorHAnsi" w:hAnsiTheme="minorHAnsi" w:cs="Calibri"/>
        </w:rPr>
      </w:pPr>
      <w:r w:rsidRPr="00E45723">
        <w:rPr>
          <w:rFonts w:asciiTheme="minorHAnsi" w:hAnsiTheme="minorHAnsi" w:cs="Calibri"/>
        </w:rPr>
        <w:t>A Társaság az értékláncban dolgozókat érintő célkitűzéseit a kapcsolódó belső szabályzatokkal, etikai elvekkel és megfelelőségi elvárásokkal összhangban határozza meg. A célok a felelős partneri működés, a munkavállalói jogok tiszteletben tartása, a kockázatok mérséklése, valamint a lényeges negatív hatások megelőzése és enyhítése érdekében kerülnek kialakításra, ezáltal támogatva a vonatkozó vállalati szakpolitikák gyakorlati érvényesülését.</w:t>
      </w:r>
    </w:p>
    <w:p w14:paraId="31C969A4" w14:textId="77777777" w:rsidR="000848B0" w:rsidRPr="00E45723" w:rsidRDefault="000848B0">
      <w:pPr>
        <w:spacing w:after="0"/>
        <w:jc w:val="left"/>
        <w:rPr>
          <w:rFonts w:asciiTheme="minorHAnsi" w:hAnsiTheme="minorHAnsi" w:cs="Calibri"/>
          <w:b/>
          <w:color w:val="3D8A7F"/>
          <w:sz w:val="28"/>
          <w:szCs w:val="32"/>
          <w:highlight w:val="white"/>
        </w:rPr>
      </w:pPr>
      <w:bookmarkStart w:id="86" w:name="_Toc239835025"/>
      <w:r w:rsidRPr="00E45723">
        <w:rPr>
          <w:rFonts w:asciiTheme="minorHAnsi" w:hAnsiTheme="minorHAnsi" w:cs="Calibri"/>
        </w:rPr>
        <w:br w:type="page"/>
      </w:r>
    </w:p>
    <w:p w14:paraId="092FE0AA" w14:textId="22F87C68" w:rsidR="00BD159D" w:rsidRPr="00E45723" w:rsidRDefault="00FD7771">
      <w:pPr>
        <w:pStyle w:val="Heading2"/>
        <w:suppressAutoHyphens/>
        <w:rPr>
          <w:rFonts w:asciiTheme="minorHAnsi" w:hAnsiTheme="minorHAnsi" w:cs="Calibri"/>
          <w:highlight w:val="none"/>
        </w:rPr>
      </w:pPr>
      <w:r w:rsidRPr="00E45723">
        <w:rPr>
          <w:rFonts w:asciiTheme="minorHAnsi" w:hAnsiTheme="minorHAnsi" w:cs="Calibri"/>
        </w:rPr>
        <w:lastRenderedPageBreak/>
        <w:t>S4 Fogyasztók és végfelhasználók</w:t>
      </w:r>
      <w:bookmarkEnd w:id="86"/>
    </w:p>
    <w:p w14:paraId="0CCA9E78"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Cégcsoport kettős lényegességi elemzése (DMA) alapján a fogyasztók és végfelhasználók szempontjából elsősorban a szolgáltatások biztonsága, a megfelelő tájékoztatás és az átlátható ügyfélkapcsolatok minősültek lényeges témának. A Cégcsoport szolgáltatásai közvetlenül befolyásolják az ügyfelek és végfelhasználók által használt környezetek higiéniai és egészségvédelmi színvonalát, ezért a szolgáltatások minősége, a standardizált eljárások alkalmazása és a megfelelő kommunikáció kiemelt jelentőséggel bír. A DMA alapján a közösségi terek higiéniai állapotának biztosítása, valamint az átlátható és hatékony panaszkezelési folyamatok hozzájárulnak az ügyfélbizalom erősítéséhez, miközben csökkentik a működési és reputációs kockázatokat.</w:t>
      </w:r>
    </w:p>
    <w:p w14:paraId="542E2AB9" w14:textId="77777777" w:rsidR="00BD159D" w:rsidRPr="00E45723" w:rsidRDefault="00FD7771" w:rsidP="008A457A">
      <w:pPr>
        <w:pStyle w:val="Heading3"/>
        <w:suppressAutoHyphens/>
        <w:spacing w:after="240"/>
        <w:rPr>
          <w:rFonts w:asciiTheme="minorHAnsi" w:hAnsiTheme="minorHAnsi" w:cs="Calibri"/>
        </w:rPr>
      </w:pPr>
      <w:bookmarkStart w:id="87" w:name="_Toc239835026"/>
      <w:r w:rsidRPr="00E45723">
        <w:rPr>
          <w:rFonts w:asciiTheme="minorHAnsi" w:hAnsiTheme="minorHAnsi" w:cs="Calibri"/>
        </w:rPr>
        <w:t>S4-1 Fogyasztókra és végfelhasználókra vonatkozó szabályzatok</w:t>
      </w:r>
      <w:bookmarkEnd w:id="87"/>
    </w:p>
    <w:p w14:paraId="0A29DFD7" w14:textId="77777777" w:rsidR="00BD159D" w:rsidRPr="00E45723" w:rsidRDefault="00FD7771" w:rsidP="008A457A">
      <w:pPr>
        <w:tabs>
          <w:tab w:val="left" w:pos="2110"/>
        </w:tabs>
        <w:rPr>
          <w:rFonts w:asciiTheme="minorHAnsi" w:hAnsiTheme="minorHAnsi" w:cs="Calibri"/>
        </w:rPr>
      </w:pPr>
      <w:r w:rsidRPr="00E45723">
        <w:rPr>
          <w:rFonts w:asciiTheme="minorHAnsi" w:hAnsiTheme="minorHAnsi" w:cs="Calibri"/>
        </w:rPr>
        <w:t xml:space="preserve">A kettős lényegességi vizsgálat a végfelhasználókhoz/fogyasztókhoz kapcsolódóan két lényeges témát azonosított: egészségvédelem és biztonság, illetve a (minőségi) információhoz való hozzáférés.  </w:t>
      </w:r>
    </w:p>
    <w:p w14:paraId="037CEC6A" w14:textId="77777777" w:rsidR="00BD159D" w:rsidRPr="00E45723" w:rsidRDefault="00FD7771">
      <w:pPr>
        <w:suppressAutoHyphens/>
        <w:rPr>
          <w:rFonts w:asciiTheme="minorHAnsi" w:hAnsiTheme="minorHAnsi" w:cs="Calibri"/>
        </w:rPr>
      </w:pPr>
      <w:r w:rsidRPr="00E45723">
        <w:rPr>
          <w:rFonts w:asciiTheme="minorHAnsi" w:hAnsiTheme="minorHAnsi" w:cs="Calibri"/>
        </w:rPr>
        <w:t>A LIWO Group a fogyasztók egészségét és biztonságát helyezi előtérbe, felméri a működés kockázatait, és tagvállalataival betartja az etikai, fogyasztóvédelmi és jogszabályi elveket, hogy korszerű és megbízható termékeket, szolgáltatásokat nyújtson.</w:t>
      </w:r>
    </w:p>
    <w:p w14:paraId="6A863F8D" w14:textId="77777777" w:rsidR="00BD159D" w:rsidRPr="00E45723" w:rsidRDefault="00FD7771" w:rsidP="008A457A">
      <w:pPr>
        <w:rPr>
          <w:rFonts w:asciiTheme="minorHAnsi" w:hAnsiTheme="minorHAnsi" w:cs="Calibri"/>
        </w:rPr>
      </w:pPr>
      <w:r w:rsidRPr="00E45723">
        <w:rPr>
          <w:rFonts w:asciiTheme="minorHAnsi" w:hAnsiTheme="minorHAnsi" w:cs="Calibri"/>
        </w:rPr>
        <w:t>Az LIWO Group figyelmet fordít a fogyasztók és végfelhasználók minőségi (információkhoz) való hozzáféréséhez, ami különösen fontos a Cégcsoport tevékenységi köreiben és szorosan kapcsolódik az egészségvédelemhez. A tagvállalatok a tevékenységükre irányadó adatvédelmi jogszabályokkal összhangban járnak el, és biztosítják a személyes adatok bizalmas kezelését.</w:t>
      </w:r>
    </w:p>
    <w:p w14:paraId="3B40E209" w14:textId="77777777" w:rsidR="00BD159D" w:rsidRPr="00E45723" w:rsidRDefault="00FD7771" w:rsidP="00EA3B06">
      <w:pPr>
        <w:pStyle w:val="BodyText"/>
        <w:rPr>
          <w:rStyle w:val="Strong"/>
          <w:rFonts w:asciiTheme="minorHAnsi" w:hAnsiTheme="minorHAnsi" w:cs="Calibri"/>
          <w:b w:val="0"/>
          <w:bCs w:val="0"/>
        </w:rPr>
      </w:pPr>
      <w:r w:rsidRPr="00E45723">
        <w:rPr>
          <w:rFonts w:asciiTheme="minorHAnsi" w:hAnsiTheme="minorHAnsi" w:cs="Calibri"/>
          <w:b/>
          <w:bCs/>
        </w:rPr>
        <w:t xml:space="preserve">[ESRS S4 bek. 13, ESRS S4 AR 10] A LIWO Group nem rendelkezik kifejezetten az ügyfelekkel és fogyasztókkal kapcsolatos önálló politikával, azonban a </w:t>
      </w:r>
      <w:r w:rsidRPr="00E45723">
        <w:rPr>
          <w:rStyle w:val="Strong"/>
          <w:rFonts w:asciiTheme="minorHAnsi" w:hAnsiTheme="minorHAnsi" w:cs="Calibri"/>
          <w:b w:val="0"/>
          <w:bCs w:val="0"/>
        </w:rPr>
        <w:t>T</w:t>
      </w:r>
      <w:r w:rsidRPr="00E45723">
        <w:rPr>
          <w:rStyle w:val="Strong"/>
          <w:rFonts w:asciiTheme="minorHAnsi" w:hAnsiTheme="minorHAnsi" w:cs="Calibri"/>
          <w:bCs w:val="0"/>
        </w:rPr>
        <w:t xml:space="preserve">ársaság esetében, figyelemmel arra, hogy a fogyasztónak tekintett érintetti kör alapvetően az üzemeltetés szolgáltatás megrendelőiből áll, a releváns szabályzati elemek elsősorban a partneri kapcsolatokra irányadó belső dokumentumokban jelennek meg, illetve a partneri szerződések, szolgáltatásleírások tartalmazzák. </w:t>
      </w:r>
    </w:p>
    <w:p w14:paraId="1238A3A5" w14:textId="77777777" w:rsidR="00BD159D" w:rsidRPr="00E45723" w:rsidRDefault="00FD7771">
      <w:pPr>
        <w:suppressAutoHyphens/>
        <w:rPr>
          <w:rFonts w:asciiTheme="minorHAnsi" w:hAnsiTheme="minorHAnsi" w:cs="Calibri"/>
        </w:rPr>
      </w:pPr>
      <w:r w:rsidRPr="00E45723">
        <w:rPr>
          <w:rFonts w:asciiTheme="minorHAnsi" w:hAnsiTheme="minorHAnsi" w:cs="Calibri"/>
        </w:rPr>
        <w:t>A Beszállítók Fenntarthatósági és Etikai Kódexe, valamint a Beszállítók éves fenntarthatósági kockázatértékelésének szabályzata meghatározza a partnerektől elvárt fenntarthatósági, etikai és kockázatkezelési normákat, amelyek nélkülözhetetlenek a közzétételi követelményeknek megfelelő vállalati stratégia bemutatásához. A Csoportszintű Etikai Kódex különös figyelmet fordít a fogyasztók és végfelhasználók jogainak védelmére. Eszerint a tagvállalatok kötelesek világosan és közérthetően tájékoztatni ügyfeleiket a termékek és szolgáltatások igénybevételéhez kapcsolódó kockázatokról, hogy elősegítsék a megalapozott döntéshozatalt, különösen azok számára, akik kiemelten fontosnak tartják a pontos és hozzáférhető információkat. A Kódex továbbá garantálja, hogy a Cégcsoport maradéktalanul megfelel a személyes adatok védelméről szóló jogszabályoknak.</w:t>
      </w:r>
    </w:p>
    <w:p w14:paraId="21EAACA9" w14:textId="0324240A" w:rsidR="00BD159D" w:rsidRPr="00E45723" w:rsidRDefault="00FD7771">
      <w:pPr>
        <w:suppressAutoHyphens/>
        <w:rPr>
          <w:rFonts w:asciiTheme="minorHAnsi" w:hAnsiTheme="minorHAnsi" w:cs="Calibri"/>
        </w:rPr>
      </w:pPr>
      <w:r w:rsidRPr="00E45723">
        <w:rPr>
          <w:rFonts w:asciiTheme="minorHAnsi" w:hAnsiTheme="minorHAnsi" w:cs="Calibri"/>
        </w:rPr>
        <w:t>Cégcsoport elismeri az alábbi nemzetközileg eszközöket</w:t>
      </w:r>
      <w:r w:rsidR="008A457A" w:rsidRPr="00E45723">
        <w:rPr>
          <w:rFonts w:asciiTheme="minorHAnsi" w:hAnsiTheme="minorHAnsi" w:cs="Calibri"/>
        </w:rPr>
        <w:t>:</w:t>
      </w:r>
    </w:p>
    <w:p w14:paraId="42EEA051" w14:textId="77777777" w:rsidR="00BD159D" w:rsidRPr="00E45723" w:rsidRDefault="00FD7771" w:rsidP="00EA3B06">
      <w:pPr>
        <w:pStyle w:val="BodyText"/>
        <w:suppressAutoHyphens/>
        <w:rPr>
          <w:rStyle w:val="BadgeCharacter"/>
          <w:rFonts w:asciiTheme="minorHAnsi" w:hAnsiTheme="minorHAnsi" w:cs="Calibri"/>
          <w:spacing w:val="0"/>
        </w:rPr>
      </w:pPr>
      <w:r w:rsidRPr="00E45723">
        <w:rPr>
          <w:rStyle w:val="BadgeCharacter"/>
          <w:rFonts w:asciiTheme="minorHAnsi" w:hAnsiTheme="minorHAnsi" w:cs="Calibri"/>
        </w:rPr>
        <w:t>ILO-nyilatkozat az alapvető munkahelyi elvekről és jogokról</w:t>
      </w:r>
    </w:p>
    <w:p w14:paraId="578923DB" w14:textId="77777777" w:rsidR="00BD159D" w:rsidRPr="00E45723" w:rsidRDefault="00FD7771" w:rsidP="00EA3B06">
      <w:pPr>
        <w:pStyle w:val="BodyText"/>
        <w:suppressAutoHyphens/>
        <w:rPr>
          <w:rStyle w:val="BadgeCharacter"/>
          <w:rFonts w:asciiTheme="minorHAnsi" w:hAnsiTheme="minorHAnsi" w:cs="Calibri"/>
        </w:rPr>
      </w:pPr>
      <w:r w:rsidRPr="00E45723">
        <w:rPr>
          <w:rStyle w:val="BadgeCharacter"/>
          <w:rFonts w:asciiTheme="minorHAnsi" w:hAnsiTheme="minorHAnsi" w:cs="Calibri"/>
        </w:rPr>
        <w:t xml:space="preserve">ENSZ üzleti és emberi jogokra vonatkozó irányelvei </w:t>
      </w:r>
    </w:p>
    <w:p w14:paraId="5D0821A4" w14:textId="77777777" w:rsidR="00BD159D" w:rsidRPr="00E45723" w:rsidRDefault="00FD7771" w:rsidP="00EA3B06">
      <w:pPr>
        <w:pStyle w:val="Heading3"/>
        <w:suppressAutoHyphens/>
        <w:rPr>
          <w:rFonts w:asciiTheme="minorHAnsi" w:hAnsiTheme="minorHAnsi" w:cs="Calibri"/>
        </w:rPr>
      </w:pPr>
      <w:bookmarkStart w:id="88" w:name="_Toc239835027"/>
      <w:r w:rsidRPr="00E45723">
        <w:rPr>
          <w:rFonts w:asciiTheme="minorHAnsi" w:hAnsiTheme="minorHAnsi" w:cs="Calibri"/>
        </w:rPr>
        <w:lastRenderedPageBreak/>
        <w:t>S4-2 A fogyasztók és a végfelhasználók bevonásának folyamatai a vállalat hatásaival kapcsolatban.</w:t>
      </w:r>
      <w:bookmarkEnd w:id="88"/>
    </w:p>
    <w:p w14:paraId="1BFF7FC6" w14:textId="777777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b w:val="0"/>
          <w:bCs w:val="0"/>
        </w:rPr>
        <w:t>A LIWO Group a jelentéstétel időpontjában nem működtet külön, általánosan formalizált folyamatot a fogyasztókkal és/vagy végfelhasználókkal való kapcsolattartásra.</w:t>
      </w:r>
      <w:r w:rsidRPr="00E45723">
        <w:rPr>
          <w:rFonts w:asciiTheme="minorHAnsi" w:hAnsiTheme="minorHAnsi" w:cs="Calibri"/>
        </w:rPr>
        <w:t xml:space="preserve"> Ennek oka, hogy a Társaság tevékenységi sajátosságaiból adódóan a fogyasztónak tekintett érintetti kör elsősorban az FM szolgáltatások megrendelőiből áll, így a kapcsolattartás alapvetően az üzleti, szerződéses és operatív együttműködés keretében valósul meg.</w:t>
      </w:r>
    </w:p>
    <w:p w14:paraId="33D597B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Társaság ugyanakkor a releváns észrevételek, panaszok és visszajelzések kezelését a rendelkezésre álló partneri, működési és megfelelőségi csatornákon keresztül biztosítja.</w:t>
      </w:r>
    </w:p>
    <w:p w14:paraId="2428FCBA" w14:textId="77777777" w:rsidR="00BD159D" w:rsidRPr="00E45723" w:rsidRDefault="00FD7771" w:rsidP="00EA3B06">
      <w:pPr>
        <w:pStyle w:val="Heading3"/>
        <w:suppressAutoHyphens/>
        <w:rPr>
          <w:rFonts w:asciiTheme="minorHAnsi" w:hAnsiTheme="minorHAnsi" w:cs="Calibri"/>
        </w:rPr>
      </w:pPr>
      <w:bookmarkStart w:id="89" w:name="_Toc239835028"/>
      <w:r w:rsidRPr="00E45723">
        <w:rPr>
          <w:rFonts w:asciiTheme="minorHAnsi" w:hAnsiTheme="minorHAnsi" w:cs="Calibri"/>
        </w:rPr>
        <w:t>S4-3 Folyamatok a negatív hatások orvoslására és csatornák a fogyasztók és végfelhasználók számára a problémák jelzésére</w:t>
      </w:r>
      <w:bookmarkEnd w:id="89"/>
    </w:p>
    <w:p w14:paraId="5374317A"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S4-3, ESRS S4 bek. 23, 25–26] A kettős lényegességi elemzés (DMA) eredménye alapján a LIWO Cégcsoport működése nem gyakorol lényeges negatív hatást a fogyasztókra és végfelhasználókra. Ennek ellenére a Cégcsoport operatív kapcsolattartási és panaszkezelési csatornákat, valamint megfelelőségi jellegű ügyekben a Whisly visszaélés-bejelentési rendszert biztosítja a felmerülő aggályok, panaszok és incidensek jelzésére. A beérkező jelzések alapján a Társaság kivizsgálást, válaszadást és szükség esetén korrekciós intézkedést kezdeményez.</w:t>
      </w:r>
    </w:p>
    <w:p w14:paraId="2B9B0138"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A LIWO Cégcsoport jelenleg nem rendelkezik formalizált folyamatokkal annak felmérésére, hogy a fogyasztók és végfelhasználók mennyiben ismerik vagy bíznak az aggályok bejelentésére szolgáló csatornákban.</w:t>
      </w:r>
    </w:p>
    <w:p w14:paraId="748A8A65" w14:textId="1DD379D3" w:rsidR="00BD159D" w:rsidRPr="00E45723" w:rsidRDefault="00FD7771" w:rsidP="008A457A">
      <w:pPr>
        <w:pStyle w:val="Heading3"/>
        <w:suppressAutoHyphens/>
        <w:spacing w:after="240"/>
        <w:rPr>
          <w:rFonts w:asciiTheme="minorHAnsi" w:hAnsiTheme="minorHAnsi" w:cs="Calibri"/>
        </w:rPr>
      </w:pPr>
      <w:bookmarkStart w:id="90" w:name="_Toc239835029"/>
      <w:r w:rsidRPr="00E45723">
        <w:rPr>
          <w:rFonts w:asciiTheme="minorHAnsi" w:hAnsiTheme="minorHAnsi" w:cs="Calibri"/>
        </w:rPr>
        <w:t>S</w:t>
      </w:r>
      <w:r w:rsidR="008A457A" w:rsidRPr="00E45723">
        <w:rPr>
          <w:rFonts w:asciiTheme="minorHAnsi" w:hAnsiTheme="minorHAnsi" w:cs="Calibri"/>
        </w:rPr>
        <w:t>4-E1</w:t>
      </w:r>
      <w:r w:rsidRPr="00E45723">
        <w:rPr>
          <w:rFonts w:asciiTheme="minorHAnsi" w:hAnsiTheme="minorHAnsi" w:cs="Calibri"/>
        </w:rPr>
        <w:t xml:space="preserve"> egyedi - Kutatás fejlesztési és innovációs tevékenység</w:t>
      </w:r>
      <w:bookmarkEnd w:id="90"/>
    </w:p>
    <w:p w14:paraId="01EC48B8"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LIWO Cégcsoport stratégiailag hisz a folyamatos innovációban, mely hozzájárul ügyfeleink és munkatársaink biztonságához, egészségéhez, egyben csökkenti a környezeti lábnyomot, a cégcsoportot hosszú távon versenyképessé teszi. </w:t>
      </w:r>
    </w:p>
    <w:p w14:paraId="60AE706A" w14:textId="77777777" w:rsidR="00BD159D" w:rsidRPr="00E45723" w:rsidRDefault="00FD7771">
      <w:pPr>
        <w:rPr>
          <w:rFonts w:asciiTheme="minorHAnsi" w:hAnsiTheme="minorHAnsi" w:cs="Calibri"/>
        </w:rPr>
      </w:pPr>
      <w:r w:rsidRPr="00E45723">
        <w:rPr>
          <w:rFonts w:asciiTheme="minorHAnsi" w:hAnsiTheme="minorHAnsi" w:cs="Calibri"/>
        </w:rPr>
        <w:t>Ilyen kutatás-fejlesztési/innovációs tevékenység különösen az automatizált és robotizált takarítási megoldások, valamint az UV-C alapú fertőtlenítési technológiák fejlesztése és alkalmazása. A LIWO Cégcsoport ezen tevékenységeit részben egyes leányvállalatain keresztül, valamint külső innovációs partnerekkel – ideértve a Labda Innovations által fejlesztett megoldásokat – együttműködésben valósítja meg.</w:t>
      </w:r>
    </w:p>
    <w:p w14:paraId="3509365F" w14:textId="77777777" w:rsidR="000848B0" w:rsidRPr="00E45723" w:rsidRDefault="00FD7771">
      <w:pPr>
        <w:rPr>
          <w:rFonts w:asciiTheme="minorHAnsi" w:hAnsiTheme="minorHAnsi" w:cs="Calibri"/>
        </w:rPr>
      </w:pPr>
      <w:r w:rsidRPr="00E45723">
        <w:rPr>
          <w:rFonts w:asciiTheme="minorHAnsi" w:hAnsiTheme="minorHAnsi" w:cs="Calibri"/>
        </w:rPr>
        <w:t xml:space="preserve">Az automatizált takarítási technológiák jellemzően autonóm működésre képes berendezések alkalmazását foglalják magukban, amelyek elsősorban nagy alapterületű létesítmények tisztítására alkalmasak, míg az UV-C fertőtlenítési megoldások fizikai elven működő, célzott fertőtlenítési technológiát jelentenek, amelyek meghatározott működési környezetben a hagyományos, vegyszeralapú eljárások kiegészítésére alkalmazhatók. Ezen innovációs területek a szolgáltatásnyújtás módjára, az alkalmazott technológiai eszközökre és a működési folyamatok szervezésére hatással lehetnek; a Cégcsoport értékelése szerint hozzájárulhatnak a szolgáltatási folyamatok egységesítéséhez és a működés tervezhetőségének javításához, valamint lehetőséget teremthetnek az erőforrás-felhasználás – különösen a víz- és vegyszerhasználat – optimalizálására, ugyanakkor a tényleges környezeti és működési hatások mértéke az alkalmazás körülményeitől és az egyes leányvállalatok gyakorlatától függően eltérő lehet. A technológiák alkalmazása jelenleg nem egységes a LIWO Cégcsoport működésében: azok bevezetése és használata elsősorban egyes leányvállalatokhoz köthető, és országonként eltérő mértékben valósul meg, csoportszintű, egységes innovációs vagy technológiai politika ezen a területen jelenleg nem áll rendelkezésre. </w:t>
      </w:r>
    </w:p>
    <w:p w14:paraId="1F1B8DD8" w14:textId="44A97C0F" w:rsidR="00BD159D" w:rsidRPr="00E45723" w:rsidRDefault="008A457A">
      <w:pPr>
        <w:rPr>
          <w:rFonts w:asciiTheme="minorHAnsi" w:hAnsiTheme="minorHAnsi" w:cs="Calibri"/>
        </w:rPr>
      </w:pPr>
      <w:r w:rsidRPr="00E45723">
        <w:rPr>
          <w:rFonts w:asciiTheme="minorHAnsi" w:hAnsiTheme="minorHAnsi" w:cs="Calibri"/>
        </w:rPr>
        <w:lastRenderedPageBreak/>
        <w:br/>
      </w:r>
      <w:r w:rsidR="00FD7771" w:rsidRPr="00E45723">
        <w:rPr>
          <w:rFonts w:asciiTheme="minorHAnsi" w:hAnsiTheme="minorHAnsi" w:cs="Calibri"/>
        </w:rPr>
        <w:t>A fent bemutatott innovációs tevékenységek nem képezik önálló, részletes ESRS adatpont tárgyát, ugyanakkor a Cégcsoport üzleti modelljének és működési jellemzőinek megértéséhez releváns kiegészítő információt nyújtanak, ezért bemutatásuk kiegészítő közzététel formájában történik.</w:t>
      </w:r>
    </w:p>
    <w:p w14:paraId="5867E87B" w14:textId="77777777" w:rsidR="00BD159D" w:rsidRPr="00E45723" w:rsidRDefault="00FD7771" w:rsidP="00EA3B06">
      <w:pPr>
        <w:pStyle w:val="Stlus2"/>
        <w:suppressAutoHyphens/>
        <w:rPr>
          <w:rFonts w:asciiTheme="minorHAnsi" w:hAnsiTheme="minorHAnsi" w:cs="Calibri"/>
        </w:rPr>
      </w:pPr>
      <w:bookmarkStart w:id="91" w:name="_Toc239835030"/>
      <w:r w:rsidRPr="00E45723">
        <w:rPr>
          <w:rFonts w:asciiTheme="minorHAnsi" w:hAnsiTheme="minorHAnsi" w:cs="Calibri"/>
        </w:rPr>
        <w:t>Üzleti magatartás</w:t>
      </w:r>
      <w:bookmarkEnd w:id="91"/>
    </w:p>
    <w:p w14:paraId="254EAE6C" w14:textId="77777777" w:rsidR="00BD159D" w:rsidRPr="00E45723" w:rsidRDefault="00FD7771">
      <w:pPr>
        <w:pStyle w:val="Heading2"/>
        <w:suppressAutoHyphens/>
        <w:rPr>
          <w:rFonts w:asciiTheme="minorHAnsi" w:hAnsiTheme="minorHAnsi" w:cs="Calibri"/>
          <w:highlight w:val="none"/>
        </w:rPr>
      </w:pPr>
      <w:bookmarkStart w:id="92" w:name="_Toc239835031"/>
      <w:r w:rsidRPr="00E45723">
        <w:rPr>
          <w:rFonts w:asciiTheme="minorHAnsi" w:hAnsiTheme="minorHAnsi" w:cs="Calibri"/>
        </w:rPr>
        <w:t>G1 - Üzleti magatartás</w:t>
      </w:r>
      <w:bookmarkEnd w:id="92"/>
    </w:p>
    <w:p w14:paraId="568622C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LIWO Cégcsoport kettős lényegességi elemzése (DMA) alapján a vállalati kultúra, a visszaélést bejelentő személyek védelme, valamint a korrupció megelőzését szolgáló intézkedések lényeges vállalatirányítási témának minősülnek. A Cégcsoport működése számos munkavállalóval, ügyféllel, beszállítóval és alvállalkozóval kialakított kapcsolatrendszerre épül, ezért a transzparens és etikus működés alapvető fontosságú a bizalom fenntartása és a reputáció védelme szempontjából. A DMA alapján a visszaélés-bejelentési mechanizmusok, a megfelelőségi folyamatok és a korrupcióellenes intézkedések hozzájárulnak a jogi és reputációs kockázatok csökkentéséhez, valamint támogatják a hosszú távon fenntartható üzleti működést.</w:t>
      </w:r>
    </w:p>
    <w:p w14:paraId="72EFFE75" w14:textId="77777777" w:rsidR="00BD159D" w:rsidRPr="00E45723" w:rsidRDefault="00FD7771" w:rsidP="00EA3B06">
      <w:pPr>
        <w:pStyle w:val="Heading3"/>
        <w:suppressAutoHyphens/>
        <w:rPr>
          <w:rFonts w:asciiTheme="minorHAnsi" w:hAnsiTheme="minorHAnsi" w:cs="Calibri"/>
        </w:rPr>
      </w:pPr>
      <w:bookmarkStart w:id="93" w:name="_Toc239835032"/>
      <w:r w:rsidRPr="00E45723">
        <w:rPr>
          <w:rFonts w:asciiTheme="minorHAnsi" w:hAnsiTheme="minorHAnsi" w:cs="Calibri"/>
        </w:rPr>
        <w:t>G1-1 Vállalati kultúra és üzleti magatartási irányelvek</w:t>
      </w:r>
      <w:bookmarkEnd w:id="93"/>
    </w:p>
    <w:p w14:paraId="7C01BF1E"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G1 bek. 7, ESRS 2 bek. 65 a)] Az üzleti magatartásra és vállalati kultúrára vonatkozó szabályozás alapja a LIWO Group Etikai Kódexe. A szabályozás célja, hogy a Cégcsoport minden munkatársa számára egységes etikai elveket és elvárásokat rögzítsen. Kiemelt szerepet kap a biztonságos és tiszteletteljes munkakörnyezet megteremtése, a diszkrimináció-, zaklatás- és megtorlásmentes légkör biztosítása. A dokumentum részletesen szabályozza a védett, személyes és bizalmas információk kezelését, a vállalati vagyontárgyak felelős használatát, valamint a közösségi média és médiakapcsolatok helyes gyakorlatát. Foglalkozik továbbá az összeférhetetlenség, az ajándékozás, a külső üzleti tevékenységek, a tisztességes üzleti magatartás, a beszállítókkal való kapcsolat és a pénzmosás elleni előírások területeivel. A kódex tiltja a megvesztegetést, hangsúlyozza az emberi jogok tiszteletét, a környezetvédelem fontosságát, és rögzíti a bejelentések kivizsgálásának, valamint a fegyelmi eljárásoknak a módját.</w:t>
      </w:r>
    </w:p>
    <w:p w14:paraId="6A0DE266"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folyamatosan változó, összetett és multikulturális világban ez az Etikai Kódex referenciaként szolgál valamennyi munkavállaló számára. Célja, hogy munkavállalói garantáltan képviseljék a fenti értékeket, és feladataikat a vállalattal, valamint az érintett partnerekkel szembeni jogaik és kötelezettségeik teljes körű ismeretében lássák el. </w:t>
      </w:r>
    </w:p>
    <w:p w14:paraId="31B350AD"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[ESRS 2 bek. 65 b)] A szabályzat minden a Cégcsoporttal munkaviszonyban vagy egyéb jogviszonyban álló munkatársra érvényes. Ez azt jelenti, hogy nemcsak a munkavállalókra, hanem minden olyan személyre is, aki a társasággal bármilyen együttműködésben, megbízásban, szerződéses kapcsolatban dolgozik.</w:t>
      </w:r>
    </w:p>
    <w:p w14:paraId="472ACCB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kódex nem tartalmaz külön kizárásokat, vagyis minden érintett személyre egyformán vonatkozik.</w:t>
      </w:r>
    </w:p>
    <w:p w14:paraId="4FFCA0CF"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65 c)] A szabályzat előírásait mindenki köteles betartani a munkaviszonya teljes időtartama alatt, valamint bizonyos rendelkezések – például a bizalmas információk kezelése – a jogviszony megszűnése után is érvényben maradnak.</w:t>
      </w:r>
    </w:p>
    <w:p w14:paraId="29B2099B"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vezérigazgató a legfelső szintű vezető, aki a szabályzat életbe léptetéséért, felügyeletéért és következetes betartásáért felel.</w:t>
      </w:r>
    </w:p>
    <w:p w14:paraId="2E274212" w14:textId="77777777" w:rsidR="00BD159D" w:rsidRPr="00E45723" w:rsidRDefault="00FD7771">
      <w:pPr>
        <w:suppressAutoHyphens/>
        <w:rPr>
          <w:rFonts w:asciiTheme="minorHAnsi" w:hAnsiTheme="minorHAnsi" w:cs="Calibri"/>
        </w:rPr>
      </w:pPr>
      <w:r w:rsidRPr="00E45723">
        <w:rPr>
          <w:rFonts w:asciiTheme="minorHAnsi" w:hAnsiTheme="minorHAnsi" w:cs="Calibri"/>
        </w:rPr>
        <w:lastRenderedPageBreak/>
        <w:t>[ESRS 2 bek. 65 d)] A szabályzat végrehajtása során a társaság a vonatkozó jogszabályokon túlmenően, a nemzetközileg elismert emberi jogi elveket és környezetvédelmi normákat tekinti irányadónak, de nem hivatkozik konkrét nemzetközi szabványokra.</w:t>
      </w:r>
    </w:p>
    <w:p w14:paraId="331E804F"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A kulcsfontosságú érdekelt felek érdekeinek figyelembevételének leírása a politikaalkotás során</w:t>
      </w:r>
    </w:p>
    <w:p w14:paraId="342D336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2 bek. 65 e) A társaság a politikaalkotás és a működés során több kulcsfontosságú érdekelt fél érdekeit is figyelembe veszi, bár ezt nem külön fejezetben nevezi meg, hanem a szabályok tartalmából következik. A dokumentum az alábbi szereplők érdekeit jeleníti meg:</w:t>
      </w:r>
    </w:p>
    <w:p w14:paraId="718F4311" w14:textId="50FC3213"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Munkavállalók</w:t>
      </w:r>
      <w:r w:rsidR="008A457A" w:rsidRPr="00E45723">
        <w:rPr>
          <w:rStyle w:val="Strong"/>
          <w:rFonts w:asciiTheme="minorHAnsi" w:hAnsiTheme="minorHAnsi" w:cs="Calibri"/>
        </w:rPr>
        <w:t xml:space="preserve">: </w:t>
      </w:r>
      <w:r w:rsidRPr="00E45723">
        <w:rPr>
          <w:rFonts w:asciiTheme="minorHAnsi" w:hAnsiTheme="minorHAnsi" w:cs="Calibri"/>
        </w:rPr>
        <w:t>A szabályzat kiemelten védi a biztonságos, tiszteletteljes, diszkrimináció- és zaklatásmentes munkakörnyezetet, biztosítja a megtorlás tilalmát, és előírja a tisztességes bánásmódot minden kollégával szemben </w:t>
      </w:r>
    </w:p>
    <w:p w14:paraId="29E06D89" w14:textId="08AA5510"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Ügyfelek és üzleti partnerek</w:t>
      </w:r>
      <w:r w:rsidR="008A457A" w:rsidRPr="00E45723">
        <w:rPr>
          <w:rStyle w:val="Strong"/>
          <w:rFonts w:asciiTheme="minorHAnsi" w:hAnsiTheme="minorHAnsi" w:cs="Calibri"/>
        </w:rPr>
        <w:t xml:space="preserve">: </w:t>
      </w:r>
      <w:r w:rsidRPr="00E45723">
        <w:rPr>
          <w:rFonts w:asciiTheme="minorHAnsi" w:hAnsiTheme="minorHAnsi" w:cs="Calibri"/>
        </w:rPr>
        <w:t xml:space="preserve">A társaság elvárja az üzleti döntések átláthatóságát, a bizalmas információk védelmét, valamint a korrekt, tisztességes együttműködést és kommunikációt. </w:t>
      </w:r>
      <w:r w:rsidR="008A457A" w:rsidRPr="00E45723">
        <w:rPr>
          <w:rFonts w:asciiTheme="minorHAnsi" w:hAnsiTheme="minorHAnsi" w:cs="Calibri"/>
        </w:rPr>
        <w:br/>
      </w:r>
      <w:r w:rsidRPr="00E45723">
        <w:rPr>
          <w:rFonts w:asciiTheme="minorHAnsi" w:hAnsiTheme="minorHAnsi" w:cs="Calibri"/>
        </w:rPr>
        <w:t>A pénzmosás-, megvesztegetés- és manipulációtilalom mind az ügyfelek érdekeit szolgálja </w:t>
      </w:r>
    </w:p>
    <w:p w14:paraId="4D003F5F" w14:textId="670C8477"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Beszállítók</w:t>
      </w:r>
      <w:r w:rsidR="008A457A" w:rsidRPr="00E45723">
        <w:rPr>
          <w:rStyle w:val="Strong"/>
          <w:rFonts w:asciiTheme="minorHAnsi" w:hAnsiTheme="minorHAnsi" w:cs="Calibri"/>
        </w:rPr>
        <w:t xml:space="preserve">: </w:t>
      </w:r>
      <w:r w:rsidRPr="00E45723">
        <w:rPr>
          <w:rFonts w:asciiTheme="minorHAnsi" w:hAnsiTheme="minorHAnsi" w:cs="Calibri"/>
        </w:rPr>
        <w:t>A politikák szavatolják a beszállítók tisztességes versenyeztetését, objektív kiválasztási feltételeit és az egyenlő bánásmódot. A beszerzési döntésekben a személyes érdekek kizárása is védi a beszállítók érdekeit </w:t>
      </w:r>
    </w:p>
    <w:p w14:paraId="20708645" w14:textId="5E17FBD5" w:rsidR="00BD159D" w:rsidRPr="00E45723" w:rsidRDefault="00FD7771" w:rsidP="00EA3B06">
      <w:pPr>
        <w:pStyle w:val="BodyText"/>
        <w:suppressAutoHyphens/>
        <w:rPr>
          <w:rFonts w:asciiTheme="minorHAnsi" w:hAnsiTheme="minorHAnsi" w:cs="Calibri"/>
        </w:rPr>
      </w:pPr>
      <w:r w:rsidRPr="00E45723">
        <w:rPr>
          <w:rStyle w:val="Strong"/>
          <w:rFonts w:asciiTheme="minorHAnsi" w:hAnsiTheme="minorHAnsi" w:cs="Calibri"/>
        </w:rPr>
        <w:t>Társadalom és környezet</w:t>
      </w:r>
      <w:r w:rsidR="008A457A" w:rsidRPr="00E45723">
        <w:rPr>
          <w:rStyle w:val="Strong"/>
          <w:rFonts w:asciiTheme="minorHAnsi" w:hAnsiTheme="minorHAnsi" w:cs="Calibri"/>
        </w:rPr>
        <w:t xml:space="preserve">: </w:t>
      </w:r>
      <w:r w:rsidRPr="00E45723">
        <w:rPr>
          <w:rFonts w:asciiTheme="minorHAnsi" w:hAnsiTheme="minorHAnsi" w:cs="Calibri"/>
        </w:rPr>
        <w:t>A dokumentum hangsúlyozza az emberi jogok tiszteletben tartását, a gyermekmunka és kényszermunka elutasítását, továbbá a környezetvédelmi célok támogatását és a fenntartható működés iránti elkötelezettséget </w:t>
      </w:r>
    </w:p>
    <w:p w14:paraId="17DBD7F1"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Összességében a kódex úgy épül fel, hogy a társaság működése során a munkavállalók, ügyfelek, partnerek, beszállítók, valamint a társadalom és a környezet érdekei egyaránt beépüljenek a döntéshozatal és a szabályalkotás alapelveibe.</w:t>
      </w:r>
    </w:p>
    <w:p w14:paraId="3A1664CA" w14:textId="43DC7031" w:rsidR="00BD159D" w:rsidRPr="00E45723" w:rsidRDefault="00FD7771" w:rsidP="008A457A">
      <w:pPr>
        <w:pStyle w:val="BodyText"/>
        <w:suppressAutoHyphens/>
        <w:rPr>
          <w:rFonts w:asciiTheme="minorHAnsi" w:hAnsiTheme="minorHAnsi" w:cs="Calibri"/>
        </w:rPr>
      </w:pPr>
      <w:r w:rsidRPr="00E45723">
        <w:rPr>
          <w:rFonts w:asciiTheme="minorHAnsi" w:hAnsiTheme="minorHAnsi" w:cs="Calibri"/>
        </w:rPr>
        <w:t>[ESRS 2 bek. 65 f)] A szabályzat a munkavállalók számára belső vállalati dokumentumként hozzáférhető. A tartalom értelmezésében és alkalmazásában a HR osztály, a jogi osztály, valamint a felettes vezetők nyújtanak támogatást. A LIWO Group az egyéb érintett felek részére a vállalat hivatalos honlapján teszi közzé a vonatkozó szabályzatokat. A kódex és az etikai elvek oktatása pár leányvállalatnál (pl. szlovén tagvállalat) már elkezdődött, teljeskörű kiterjesztése a következő közzétételi időszakra tervezett.</w:t>
      </w:r>
    </w:p>
    <w:p w14:paraId="082563A4" w14:textId="77777777" w:rsidR="00BD159D" w:rsidRPr="00E45723" w:rsidRDefault="00FD7771">
      <w:pPr>
        <w:pStyle w:val="Heading5"/>
        <w:suppressAutoHyphens/>
        <w:rPr>
          <w:rFonts w:asciiTheme="minorHAnsi" w:hAnsiTheme="minorHAnsi" w:cs="Calibri"/>
        </w:rPr>
      </w:pPr>
      <w:r w:rsidRPr="00E45723">
        <w:rPr>
          <w:rFonts w:asciiTheme="minorHAnsi" w:hAnsiTheme="minorHAnsi" w:cs="Calibri"/>
          <w:b/>
        </w:rPr>
        <w:t>A vállalati kultúrájának kialakítása, fejlesztése, előmozdítása és értékelése</w:t>
      </w:r>
    </w:p>
    <w:p w14:paraId="1D6C3E4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[ESRS G1 bek. 9] A Cégcsoport vállalati kultúráját az etikus működés, az átláthatóság, és a fenntarthatóság alapelveire építi, ezen elvek beépítésre kerültek a folyamatokba. A kultúra kialakítását és fejlesztését belső szabályzatok, képzési programok és rendszeres munkavállalói konzultációk támogatják. A Társaság előmozdítja a vállalati kultúra értékeinek érvényesülését a kommunikáció fejlesztésével, a vezérigazgató és az operatív menedzsment tagjainak nyílt elköteleződésével és példamutatásával. </w:t>
      </w:r>
    </w:p>
    <w:p w14:paraId="5C9E105E"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Társaság a kultúra hatékonyságát a következő jelentéstételi időszakban a visszajelzési mechanizmusokon túlmenően, teljesítménymutatók alapján értékeli, biztosítva azt, hogy az megfeleljen az érdekelt felek elvárásainak és a fenntarthatósági céloknak.</w:t>
      </w:r>
    </w:p>
    <w:p w14:paraId="36E6D98A"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A jogellenes vagy a magatartási kódexszel vagy hasonló belső szabályokkal ellentétes magatartással kapcsolatos aggályok azonosítására, jelentésére és kivizsgálására szolgáló mechanizmusok </w:t>
      </w:r>
    </w:p>
    <w:p w14:paraId="5134527B" w14:textId="77777777" w:rsidR="00BD159D" w:rsidRPr="00E45723" w:rsidRDefault="00FD7771" w:rsidP="00EA3B06">
      <w:pPr>
        <w:pStyle w:val="BodyText"/>
        <w:suppressAutoHyphens/>
        <w:rPr>
          <w:rFonts w:asciiTheme="minorHAnsi" w:hAnsiTheme="minorHAnsi" w:cs="Calibri"/>
          <w:b/>
        </w:rPr>
      </w:pPr>
      <w:r w:rsidRPr="00E45723">
        <w:rPr>
          <w:rFonts w:asciiTheme="minorHAnsi" w:hAnsiTheme="minorHAnsi" w:cs="Calibri"/>
          <w:b/>
        </w:rPr>
        <w:t xml:space="preserve">[ESRS G1 bek. 10 a)] </w:t>
      </w:r>
    </w:p>
    <w:p w14:paraId="5F4D203C"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lastRenderedPageBreak/>
        <w:t>1. Aggályok azonosítása és jelzése</w:t>
      </w:r>
    </w:p>
    <w:p w14:paraId="2CDA78B0"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munkavállalók kötelesek haladéktalanul jelezni minden olyan esetet, amely etikátlan, jogellenes vagy a szabályzattal ellentétes magatartásra utal. A bejelentést meg lehet tenni közvetlen felettesnek, a jogi osztálynak vagy a HR osztálynak. A bejelentést nem lehet megtorlás alapjául felhasználni.</w:t>
      </w:r>
    </w:p>
    <w:p w14:paraId="5454B813"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2. Bejelentések kivizsgálása</w:t>
      </w:r>
    </w:p>
    <w:p w14:paraId="51269D5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Minden bejelentést köteles a társaság kivizsgálni, a folyamat pedig alaposan, diszkréten és tisztességesen zajlik. A vizsgálatot a bejelentést követő 3 munkanapon belül meg kell kezdeni, és a HR osztály készíti a jegyzőkönyvet </w:t>
      </w:r>
    </w:p>
    <w:p w14:paraId="516E4C9F"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3. Munkavállalói kötelezettségek a vizsgálat során</w:t>
      </w:r>
    </w:p>
    <w:p w14:paraId="0F7E56F1"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Az érintett munkavállalóknak maximális együttműködést kell tanúsítaniuk, minden szükséges információt pontosan átadni, valamint tartózkodni az információk elhallgatásától vagy manipulálásától. A vizsgálat bizalmas jellegét meg kell őrizniük </w:t>
      </w:r>
    </w:p>
    <w:p w14:paraId="7CDA1398"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4. Megtorlás tilalma</w:t>
      </w:r>
    </w:p>
    <w:p w14:paraId="552EA953"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társaság kifejezetten tilt mindenféle megtorlást a bejelentést tevő személlyel szemben, és védi azokat, akik jóhiszeműen aggályt jeleznek </w:t>
      </w:r>
    </w:p>
    <w:p w14:paraId="7A22BFC6" w14:textId="77777777" w:rsidR="00BD159D" w:rsidRPr="00E45723" w:rsidRDefault="00FD7771" w:rsidP="00EA3B06">
      <w:pPr>
        <w:pStyle w:val="BodyText"/>
        <w:suppressAutoHyphens/>
        <w:rPr>
          <w:rFonts w:asciiTheme="minorHAnsi" w:hAnsiTheme="minorHAnsi" w:cs="Calibri"/>
          <w:b/>
          <w:bCs/>
        </w:rPr>
      </w:pPr>
      <w:r w:rsidRPr="00E45723">
        <w:rPr>
          <w:rFonts w:asciiTheme="minorHAnsi" w:hAnsiTheme="minorHAnsi" w:cs="Calibri"/>
          <w:b/>
          <w:bCs/>
        </w:rPr>
        <w:t>5. Következmények</w:t>
      </w:r>
    </w:p>
    <w:p w14:paraId="2223FAFA"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 xml:space="preserve">A szabályok megsértése fegyelmi eljárást vonhat maga után, ami a jogviszony megszüntetéséig is terjedhet, és akár hatósági eljáráshoz vagy jogi következményekhez is vezethet </w:t>
      </w:r>
    </w:p>
    <w:p w14:paraId="59601FF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Ez a rendszer biztosítja, hogy a társaság bármely etikátlan vagy jogellenes magatartást hatékonyan, átláthatóan és biztonságosan kezeljen.</w:t>
      </w:r>
    </w:p>
    <w:p w14:paraId="57B703B9" w14:textId="77777777" w:rsidR="00BD159D" w:rsidRPr="00E45723" w:rsidRDefault="00FD7771" w:rsidP="00EA3B06">
      <w:pPr>
        <w:pStyle w:val="BodyText"/>
        <w:suppressAutoHyphens/>
        <w:rPr>
          <w:rStyle w:val="BadgeCharacter"/>
          <w:rFonts w:asciiTheme="minorHAnsi" w:hAnsiTheme="minorHAnsi" w:cs="Calibri"/>
          <w:b w:val="0"/>
          <w:bCs/>
        </w:rPr>
      </w:pPr>
      <w:r w:rsidRPr="00E45723">
        <w:rPr>
          <w:rFonts w:asciiTheme="minorHAnsi" w:hAnsiTheme="minorHAnsi" w:cs="Calibri"/>
          <w:b/>
        </w:rPr>
        <w:t>[ESRS G1 bek. 10 b)] A vállalat korrupcióellenes vagy vesztegetésellenes szabályzatokkal rendelkezik, amelyek összhangban vannak az Egyesült Nemzetek Szervezetének korrupció elleni egyezményével.</w:t>
      </w:r>
    </w:p>
    <w:p w14:paraId="2316A481" w14:textId="7AC8E947" w:rsidR="00BD159D" w:rsidRPr="00E45723" w:rsidRDefault="00FD7771">
      <w:pPr>
        <w:pStyle w:val="ListParagraph"/>
        <w:ind w:left="0"/>
        <w:rPr>
          <w:rFonts w:asciiTheme="minorHAnsi" w:hAnsiTheme="minorHAnsi" w:cs="Calibri"/>
        </w:rPr>
      </w:pPr>
      <w:r w:rsidRPr="00E45723">
        <w:rPr>
          <w:rFonts w:asciiTheme="minorHAnsi" w:hAnsiTheme="minorHAnsi" w:cs="Calibri"/>
          <w:bCs/>
        </w:rPr>
        <w:t>[ESRS G1 bek. 11., ESRS G1 bek. 10.] Társaságra az (EU) 2019/1937 irányelvet átültető nemzeti jogszabályok szerinti jogi követelmények és a visszaélést bejelentő személyek védelmével kapcsolatos jogi követelmények vonatkoznak. A visszaélések bejelentésére szolgáló rendszer szabályozása rendelkezik</w:t>
      </w:r>
      <w:r w:rsidRPr="00E45723">
        <w:rPr>
          <w:rFonts w:asciiTheme="minorHAnsi" w:hAnsiTheme="minorHAnsi" w:cs="Calibri"/>
        </w:rPr>
        <w:t xml:space="preserve"> a visszaélést bejelentők védelméről. Külső szolgáltató által működtetett bejelentési rendszer áll rendelkezésre, amelyet minden érintett fél felé kommunikáltak, és amely lehetővé teszi a bejelentések megtételét.</w:t>
      </w:r>
    </w:p>
    <w:p w14:paraId="36B1A99A" w14:textId="77777777" w:rsidR="00BD159D" w:rsidRPr="00E45723" w:rsidRDefault="00FD7771">
      <w:pPr>
        <w:rPr>
          <w:rFonts w:asciiTheme="minorHAnsi" w:hAnsiTheme="minorHAnsi" w:cs="Calibri"/>
        </w:rPr>
      </w:pPr>
      <w:r w:rsidRPr="00E45723">
        <w:rPr>
          <w:rFonts w:asciiTheme="minorHAnsi" w:hAnsiTheme="minorHAnsi" w:cs="Calibri"/>
        </w:rPr>
        <w:t>A visszaélések kezelésével kapcsolatos eljárásrend mind a munkavállalók, mind harmadik felek részére elérhető a társaság weboldalán, a kialakításra került független compliance szervezet pedig biztosítja az eljárások objektív és független lefolytatását. A visszaélés-bejelentési szabályzat tartalmazza a bejelentők védelmére vonatkozó intézkedéseket.</w:t>
      </w:r>
    </w:p>
    <w:p w14:paraId="58C45063" w14:textId="77777777" w:rsidR="00BD159D" w:rsidRPr="00E45723" w:rsidRDefault="00FD7771">
      <w:pPr>
        <w:suppressAutoHyphens/>
        <w:rPr>
          <w:rFonts w:asciiTheme="minorHAnsi" w:hAnsiTheme="minorHAnsi" w:cs="Calibri"/>
        </w:rPr>
      </w:pPr>
      <w:r w:rsidRPr="00E45723">
        <w:rPr>
          <w:rFonts w:asciiTheme="minorHAnsi" w:hAnsiTheme="minorHAnsi" w:cs="Calibri"/>
        </w:rPr>
        <w:t>A vállalkozás elkötelezett az üzleti magatartással kapcsolatos incidensek gyors, független és objektív kivizsgálása mellett.</w:t>
      </w:r>
    </w:p>
    <w:p w14:paraId="7E4CBED4" w14:textId="77777777" w:rsidR="00BD159D" w:rsidRPr="00E45723" w:rsidRDefault="00FD7771">
      <w:pPr>
        <w:suppressAutoHyphens/>
        <w:rPr>
          <w:rFonts w:asciiTheme="minorHAnsi" w:hAnsiTheme="minorHAnsi" w:cs="Calibri"/>
        </w:rPr>
      </w:pPr>
      <w:r w:rsidRPr="00E45723">
        <w:rPr>
          <w:rFonts w:asciiTheme="minorHAnsi" w:hAnsiTheme="minorHAnsi" w:cs="Calibri"/>
        </w:rPr>
        <w:t xml:space="preserve">A Társaság a bejelentők védelmét és a „speak-up” kultúrát célzó ismereteket két kötelező érintkezési ponton biztosítja: belépéskor és a kötelező – így etikai - képzések keretében (fehérgallérosok számára a Moodle felületen). A belépési folyamat során minden munkavállaló tájékoztatást kap a rendelkezésre álló bejelentési csatornákról (pl. Whisly), az anonim bejelentés lehetőségéről, a bizalmassági követelményekről és a retorziótilalomról (bejelentővédelem). </w:t>
      </w:r>
    </w:p>
    <w:p w14:paraId="6141B530" w14:textId="77777777" w:rsidR="00BD159D" w:rsidRPr="00E45723" w:rsidRDefault="00FD7771">
      <w:pPr>
        <w:suppressAutoHyphens/>
        <w:rPr>
          <w:rFonts w:asciiTheme="minorHAnsi" w:hAnsiTheme="minorHAnsi" w:cs="Calibri"/>
        </w:rPr>
      </w:pPr>
      <w:r w:rsidRPr="00E45723">
        <w:rPr>
          <w:rFonts w:asciiTheme="minorHAnsi" w:hAnsiTheme="minorHAnsi" w:cs="Calibri"/>
        </w:rPr>
        <w:lastRenderedPageBreak/>
        <w:t>A kötelező etikai képzés ezt mélyíti és gyakorlatorientáltan ismétli: bemutatja a bejelentés lépéseit, a kivizsgálási folyamat fő állomásait, a bejelentő és az érintettek jogait, valamint konkrét példákon keresztül rögzíti, hogy a megtorlás bármely formája tilos, és a bejelentések jóhiszemű megtétele védelmet élvez.</w:t>
      </w:r>
    </w:p>
    <w:p w14:paraId="30D0DB1D" w14:textId="77777777" w:rsidR="00BD159D" w:rsidRPr="00E45723" w:rsidRDefault="00FD7771">
      <w:pPr>
        <w:suppressAutoHyphens/>
        <w:rPr>
          <w:rFonts w:asciiTheme="minorHAnsi" w:hAnsiTheme="minorHAnsi" w:cs="Calibri"/>
        </w:rPr>
      </w:pPr>
      <w:r w:rsidRPr="00E45723">
        <w:rPr>
          <w:rFonts w:asciiTheme="minorHAnsi" w:hAnsiTheme="minorHAnsi" w:cs="Calibri"/>
        </w:rPr>
        <w:t>A társaságnál az üzleti magatartással (integritás, megfelelés, felelős működés) kapcsolatos képzések célja, hogy a munkavállalók – különösen a fehérgalléros (irodai) munkavállalók – egységesen ismerjék és alkalmazzák a vállalati elvárásokat, valamint képesek legyenek a kockázatok felismerésére és megfelelő kezelésére.</w:t>
      </w:r>
    </w:p>
    <w:p w14:paraId="5772B7D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Célközönség: fehérgalléros munkavállalók (éves kötelező képzési kör).</w:t>
      </w:r>
    </w:p>
    <w:p w14:paraId="670441F8"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Gyakoriság: évente kötelező (ismétlődő, compliance jellegű) képzések.</w:t>
      </w:r>
    </w:p>
    <w:p w14:paraId="2963B923"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Lefedettség / mélység: minden érintettre kiterjedő, alapkövetelmény-szintű megfelelési tudás biztosítása; a képzések a napi munkavégzéshez szükséges minimum elvárásokat és kontrollokat rögzítik (szabályismeret + gyakorlati alkalmazás).</w:t>
      </w:r>
    </w:p>
    <w:p w14:paraId="71C238B9"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Tárgyalt témák (éves kötelező képzések):</w:t>
      </w:r>
    </w:p>
    <w:p w14:paraId="4306F636" w14:textId="77777777" w:rsidR="00BD159D" w:rsidRPr="00E45723" w:rsidRDefault="00FD7771" w:rsidP="00E2778D">
      <w:pPr>
        <w:numPr>
          <w:ilvl w:val="0"/>
          <w:numId w:val="48"/>
        </w:numPr>
        <w:suppressAutoHyphens/>
        <w:ind w:left="1530" w:hanging="450"/>
        <w:rPr>
          <w:rFonts w:asciiTheme="minorHAnsi" w:hAnsiTheme="minorHAnsi" w:cs="Calibri"/>
        </w:rPr>
      </w:pPr>
      <w:r w:rsidRPr="00E45723">
        <w:rPr>
          <w:rFonts w:asciiTheme="minorHAnsi" w:hAnsiTheme="minorHAnsi" w:cs="Calibri"/>
        </w:rPr>
        <w:t>IT biztonság (információbiztonsági alapelvek, biztonságos eszközhasználat, incidens-tudatosság),</w:t>
      </w:r>
    </w:p>
    <w:p w14:paraId="7D2049C2" w14:textId="77777777" w:rsidR="00BD159D" w:rsidRPr="00E45723" w:rsidRDefault="00FD7771" w:rsidP="00E2778D">
      <w:pPr>
        <w:numPr>
          <w:ilvl w:val="0"/>
          <w:numId w:val="48"/>
        </w:numPr>
        <w:suppressAutoHyphens/>
        <w:ind w:left="1530" w:hanging="450"/>
        <w:rPr>
          <w:rFonts w:asciiTheme="minorHAnsi" w:hAnsiTheme="minorHAnsi" w:cs="Calibri"/>
        </w:rPr>
      </w:pPr>
      <w:r w:rsidRPr="00E45723">
        <w:rPr>
          <w:rFonts w:asciiTheme="minorHAnsi" w:hAnsiTheme="minorHAnsi" w:cs="Calibri"/>
        </w:rPr>
        <w:t>GDPR / adatvédelem (személyes adatok kezelése, jogosultságok, incidenskezelés),</w:t>
      </w:r>
    </w:p>
    <w:p w14:paraId="5ABA9701" w14:textId="77777777" w:rsidR="00BD159D" w:rsidRPr="00E45723" w:rsidRDefault="00FD7771" w:rsidP="00E2778D">
      <w:pPr>
        <w:numPr>
          <w:ilvl w:val="0"/>
          <w:numId w:val="48"/>
        </w:numPr>
        <w:suppressAutoHyphens/>
        <w:ind w:left="1530" w:hanging="450"/>
        <w:rPr>
          <w:rFonts w:asciiTheme="minorHAnsi" w:hAnsiTheme="minorHAnsi" w:cs="Calibri"/>
        </w:rPr>
      </w:pPr>
      <w:r w:rsidRPr="00E45723">
        <w:rPr>
          <w:rFonts w:asciiTheme="minorHAnsi" w:hAnsiTheme="minorHAnsi" w:cs="Calibri"/>
        </w:rPr>
        <w:t>Etikai Kódex (üzleti magatartási elvárások, összeférhetetlenség, bejelentési lehetőségek és retorziótilalom),</w:t>
      </w:r>
    </w:p>
    <w:p w14:paraId="433FE132" w14:textId="77777777" w:rsidR="00BD159D" w:rsidRPr="00E45723" w:rsidRDefault="00FD7771" w:rsidP="00E2778D">
      <w:pPr>
        <w:numPr>
          <w:ilvl w:val="0"/>
          <w:numId w:val="48"/>
        </w:numPr>
        <w:suppressAutoHyphens/>
        <w:ind w:left="1530" w:hanging="450"/>
        <w:rPr>
          <w:rFonts w:asciiTheme="minorHAnsi" w:hAnsiTheme="minorHAnsi" w:cs="Calibri"/>
        </w:rPr>
      </w:pPr>
      <w:r w:rsidRPr="00E45723">
        <w:rPr>
          <w:rFonts w:asciiTheme="minorHAnsi" w:hAnsiTheme="minorHAnsi" w:cs="Calibri"/>
        </w:rPr>
        <w:t>Tűz- és munkavédelmi oktatás (biztonságos munkavégzés, felelősségek, alapeljárások),</w:t>
      </w:r>
    </w:p>
    <w:p w14:paraId="04AF2138" w14:textId="51DA1D87" w:rsidR="00BD159D" w:rsidRPr="00E45723" w:rsidRDefault="00FD7771" w:rsidP="00E2778D">
      <w:pPr>
        <w:numPr>
          <w:ilvl w:val="0"/>
          <w:numId w:val="48"/>
        </w:numPr>
        <w:suppressAutoHyphens/>
        <w:ind w:left="1530" w:hanging="450"/>
        <w:rPr>
          <w:rFonts w:asciiTheme="minorHAnsi" w:hAnsiTheme="minorHAnsi" w:cs="Calibri"/>
        </w:rPr>
      </w:pPr>
      <w:r w:rsidRPr="00E45723">
        <w:rPr>
          <w:rFonts w:asciiTheme="minorHAnsi" w:hAnsiTheme="minorHAnsi" w:cs="Calibri"/>
        </w:rPr>
        <w:t>Környezetvédelmi oktatás (környezettudatos működés, alapvető előírások, jó gyakor</w:t>
      </w:r>
      <w:r w:rsidR="004F1127" w:rsidRPr="00E45723">
        <w:rPr>
          <w:rFonts w:asciiTheme="minorHAnsi" w:hAnsiTheme="minorHAnsi" w:cs="Calibri"/>
        </w:rPr>
        <w:t>-</w:t>
      </w:r>
      <w:r w:rsidRPr="00E45723">
        <w:rPr>
          <w:rFonts w:asciiTheme="minorHAnsi" w:hAnsiTheme="minorHAnsi" w:cs="Calibri"/>
        </w:rPr>
        <w:t>latok).</w:t>
      </w:r>
    </w:p>
    <w:p w14:paraId="4D9A23F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Cégcsoporttevékenysége során a korrupció és vesztegetés kockázata elsősorban az üzleti partnerekkel, beszállítókkal és hatóságokkal való kapcsolattartásban, valamint a beszerzési, logisztikai és pénzügyi folyamatokban jelenhet meg.</w:t>
      </w:r>
    </w:p>
    <w:p w14:paraId="2D6233D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leginkább veszélyeztetett funkciók közé tartoznak:</w:t>
      </w:r>
    </w:p>
    <w:p w14:paraId="2B6B7DAC" w14:textId="77777777" w:rsidR="00BD159D" w:rsidRPr="00E45723" w:rsidRDefault="00FD7771" w:rsidP="004F1127">
      <w:pPr>
        <w:pStyle w:val="BodyText"/>
        <w:numPr>
          <w:ilvl w:val="0"/>
          <w:numId w:val="50"/>
        </w:numPr>
        <w:suppressAutoHyphens/>
        <w:ind w:left="810" w:hanging="540"/>
        <w:rPr>
          <w:rFonts w:asciiTheme="minorHAnsi" w:hAnsiTheme="minorHAnsi" w:cs="Calibri"/>
        </w:rPr>
      </w:pPr>
      <w:r w:rsidRPr="00E45723">
        <w:rPr>
          <w:rFonts w:asciiTheme="minorHAnsi" w:hAnsiTheme="minorHAnsi" w:cs="Calibri"/>
        </w:rPr>
        <w:t>Beszerzés és partnerkapcsolatok kezelése – a szerződéskötések, megrendelések és árazási döntések során felmerülő integritási kockázatok miatt;</w:t>
      </w:r>
    </w:p>
    <w:p w14:paraId="55C0FCA9" w14:textId="77777777" w:rsidR="00BD159D" w:rsidRPr="00E45723" w:rsidRDefault="00FD7771" w:rsidP="004F1127">
      <w:pPr>
        <w:pStyle w:val="BodyText"/>
        <w:numPr>
          <w:ilvl w:val="0"/>
          <w:numId w:val="50"/>
        </w:numPr>
        <w:suppressAutoHyphens/>
        <w:ind w:left="810" w:hanging="540"/>
        <w:rPr>
          <w:rFonts w:asciiTheme="minorHAnsi" w:hAnsiTheme="minorHAnsi" w:cs="Calibri"/>
        </w:rPr>
      </w:pPr>
      <w:r w:rsidRPr="00E45723">
        <w:rPr>
          <w:rFonts w:asciiTheme="minorHAnsi" w:hAnsiTheme="minorHAnsi" w:cs="Calibri"/>
        </w:rPr>
        <w:t>Logisztikai és szállítmányozási tevékenység – harmadik felekkel (alvállalkozók, fuvarozók) való együttműködés és szolgáltatási díjak kezelése miatt;</w:t>
      </w:r>
    </w:p>
    <w:p w14:paraId="67A9BCAE" w14:textId="77777777" w:rsidR="00BD159D" w:rsidRPr="00E45723" w:rsidRDefault="00FD7771" w:rsidP="004F1127">
      <w:pPr>
        <w:pStyle w:val="BodyText"/>
        <w:numPr>
          <w:ilvl w:val="0"/>
          <w:numId w:val="50"/>
        </w:numPr>
        <w:suppressAutoHyphens/>
        <w:ind w:left="810" w:hanging="540"/>
        <w:rPr>
          <w:rFonts w:asciiTheme="minorHAnsi" w:hAnsiTheme="minorHAnsi" w:cs="Calibri"/>
        </w:rPr>
      </w:pPr>
      <w:r w:rsidRPr="00E45723">
        <w:rPr>
          <w:rFonts w:asciiTheme="minorHAnsi" w:hAnsiTheme="minorHAnsi" w:cs="Calibri"/>
        </w:rPr>
        <w:t>Pénzügyi és számviteli funkciók – kifizetések, költségjóváhagyások, valamint pénzügyi ellenőrzési folyamatok során felmerülő visszaélési lehetőségek miatt.</w:t>
      </w:r>
    </w:p>
    <w:p w14:paraId="75B83E84"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 kockázatok mérséklésére az ODBE etikai kódexet és fegyelmi bizottságot működtet, amelyek szabályozzák az előnyök és ajándékok elfogadását, illetve biztosítják az összeférhetetlenségi helyzetek kezelését. A társaság tervezi korrupció és megvesztegetés elleni kontrollrendszere fejlesztését, transzparencia növelését elsősorban az ajándékozás területén és a rendszeres etikai képzés fejlesztését.</w:t>
      </w:r>
    </w:p>
    <w:p w14:paraId="38434FF4" w14:textId="77777777" w:rsidR="00BD159D" w:rsidRPr="00E45723" w:rsidRDefault="00FD7771" w:rsidP="00EA3B06">
      <w:pPr>
        <w:pStyle w:val="Heading3"/>
        <w:suppressAutoHyphens/>
        <w:rPr>
          <w:rFonts w:asciiTheme="minorHAnsi" w:hAnsiTheme="minorHAnsi" w:cs="Calibri"/>
        </w:rPr>
      </w:pPr>
      <w:bookmarkStart w:id="94" w:name="_Toc239835033"/>
      <w:r w:rsidRPr="00E45723">
        <w:rPr>
          <w:rFonts w:asciiTheme="minorHAnsi" w:hAnsiTheme="minorHAnsi" w:cs="Calibri"/>
        </w:rPr>
        <w:lastRenderedPageBreak/>
        <w:t>G1-3 A korrupció és a vesztegetés megelőzése és felderítése</w:t>
      </w:r>
      <w:bookmarkEnd w:id="94"/>
    </w:p>
    <w:p w14:paraId="095F232E" w14:textId="22A93EC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[ESRS G1 bek. 16, ESRS G1 bek. 18 a)] A Társaság a korrupció vagy vesztegetés állításainak és incidenseinek megelőzését, felderítését és kezelését a belső kontrollkörnyezet, a compliance funkció és a Whisly visszaélés-bejelentési rendszer egymásra épülő működésével biztosítja. </w:t>
      </w:r>
      <w:r w:rsidR="004F1127" w:rsidRPr="00E45723">
        <w:rPr>
          <w:rFonts w:asciiTheme="minorHAnsi" w:hAnsiTheme="minorHAnsi" w:cs="Calibri"/>
        </w:rPr>
        <w:br/>
      </w:r>
      <w:r w:rsidRPr="00E45723">
        <w:rPr>
          <w:rFonts w:asciiTheme="minorHAnsi" w:hAnsiTheme="minorHAnsi" w:cs="Calibri"/>
        </w:rPr>
        <w:t>A megelőzés alapját a döntési és jóváhagyási rend, valamint a „négy szem elve” adja, amelyek csökkentik a jogosulatlan kötelezettségvállalások, összeférhetetlenségek és visszaélések kockázatát.</w:t>
      </w:r>
    </w:p>
    <w:p w14:paraId="21D53F87"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felderítést támogatja a visszaélés bejelentési rendszer (Whisly csatorna), amely anonim bejelentést is lehetővé tesz, és a bejelentők védelme érdekében rögzíti a megtorlás tilalmát, valamint az adatkezelési és titoktartási garanciákat; ezáltal a korrupció/vesztegetés gyanúja a munkavállalók és más jogosult bejelentők számára biztonságosan jelezhető.</w:t>
      </w:r>
    </w:p>
    <w:p w14:paraId="0CF2F124"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 bejelentések kezelése dokumentált eljárásrend szerint történik: a bejelentések befogadása és visszaigazolása, a tényállás tisztázása (szükség szerint meghallgatásokkal, dokumentum- és adatbekéréssel, helyszíni vizsgálattal), majd vizsgálati jelentés készítése és a szükséges intézkedésekre vonatkozó javaslattétel képezi a folyamat fő lépéseit.</w:t>
      </w:r>
    </w:p>
    <w:p w14:paraId="5F19B669"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Megalapozott korrupciós vagy vesztegetési ügy esetén a Társaság a jogsértő helyzet megszüntetését és a megismétlődés megelőzését célzó intézkedéseket alkalmazhat (pl. fegyelmi/munkajogi jogkövetkezmények, etikai eljárás, folyamat- és kontrollmódosítás), és indokolt esetben hatósági eljárás kezdeményezése is lehetséges.</w:t>
      </w:r>
    </w:p>
    <w:p w14:paraId="7877CD28"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A feltárt hiányosságokból származó korrekciók végrehajtása és nyomon követése – szükség szerint – a kockázatkezelési és akcióterv-logikához kapcsolódva történik, biztosítva a kontrollok megerősítését és az incidensekből levont tanulságok beépítését.</w:t>
      </w:r>
    </w:p>
    <w:p w14:paraId="270670C4"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b/>
        </w:rPr>
        <w:t xml:space="preserve">[ESRS G1 bek. 18 b)] Esetleges ügyek kivizsgálása esetén a vizsgálók vagy vizsgálóbizottságok elkülönülnek az ügyben érintett vezetői lánctól. </w:t>
      </w:r>
    </w:p>
    <w:p w14:paraId="3D20E525" w14:textId="77777777" w:rsidR="00BD159D" w:rsidRPr="00E45723" w:rsidRDefault="00FD7771" w:rsidP="00EA3B06">
      <w:pPr>
        <w:pStyle w:val="BodyText"/>
        <w:rPr>
          <w:rFonts w:asciiTheme="minorHAnsi" w:hAnsiTheme="minorHAnsi" w:cs="Calibri"/>
          <w:b/>
        </w:rPr>
      </w:pPr>
      <w:r w:rsidRPr="00E45723">
        <w:rPr>
          <w:rFonts w:asciiTheme="minorHAnsi" w:hAnsiTheme="minorHAnsi" w:cs="Calibri"/>
        </w:rPr>
        <w:t xml:space="preserve">[ESRS G1 bek. 18 c)] A korrupció/vesztegetés gyanújára vonatkozó bejelentések kivizsgálása a Whisly szabályzat szerinti, dokumentált rendben történik; a vizsgálat végén vizsgálati jelentés készül megállapításokkal és intézkedési javaslatokkal, amely alapján a szükséges lépésekről a vezetés dönt.  Az eredmények testületek felé történő jelentése az SZMSZ szerinti jelentési útvonalakon valósul meg: a compliance funkció a lényeges ügyeket ad hoc eszkalálja a Vezérigazgató felé, az összesített tanulságok és intézkedések pedig a compliance/belső kontrollok tárgyú időszakos beszámolók részeként az Executive Board elé kerülnek. A compliance funkció emellett közvetlenül a Felügyelőbizottságnak is jelent, így a kiemelt incidensek és a megfelelőségi kockázatok kezelésének eredményei felügyeleti kontroll alatt is megjelennek.  A riportálás a bejelentővédelem és bizalmasság elveinek megfelelően, szükség szerint anonimizált formában történik.  </w:t>
      </w:r>
    </w:p>
    <w:p w14:paraId="3203A365" w14:textId="77777777" w:rsidR="00BD159D" w:rsidRPr="00E45723" w:rsidRDefault="00FD7771" w:rsidP="00EA3B06">
      <w:pPr>
        <w:pStyle w:val="BodyText"/>
        <w:suppressAutoHyphens/>
        <w:rPr>
          <w:rFonts w:asciiTheme="minorHAnsi" w:hAnsiTheme="minorHAnsi" w:cs="Calibri"/>
        </w:rPr>
      </w:pPr>
      <w:r w:rsidRPr="00E45723">
        <w:rPr>
          <w:rFonts w:asciiTheme="minorHAnsi" w:hAnsiTheme="minorHAnsi" w:cs="Calibri"/>
        </w:rPr>
        <w:t>[ESRS G1 bek. 20] A társaságnál a korrupció és vesztegetés megelőzésére, valamint felderítésére vonatkozó szabályzatokat belépéskori tájékoztatással, rendszeres belső kommunikációval és éves kötelező etikai képzésekkel ismerteti az érintettekkel. A munkavállalók a bejelentési csatornákról és a bejelentővédelemről visszatérően kapnak információt; ennek része a Whisly visszaélés-bejelentési rendszer elérhetőségének folyamatos biztosítása és a retorziótilalom hangsúlyozása. Az üzleti partnerek és beszállítók felé a korrupcióellenes elvárások a beszállítói fenntarthatósági és etikai kódexen keresztül kerülnek kommunikálásra, összhangban a társaság compliance és ESG elvárásaival.etikai</w:t>
      </w:r>
    </w:p>
    <w:p w14:paraId="50A02332"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 xml:space="preserve">[ESRS G1 bek. 21 a)] A társaságnál nincs külön, önálló korrupcióellenes vagy vesztegetésellenes képzési program; az ilyen témák a kötelező etikai oktatás részeként jelennek meg. A képzés elsődleges célközönsége a fehérgalléros munkavállalói kör, amely számára az etikai képzés az éves kötelező képzési program részét képezi. Tartalmát tekintve a képzés az Etikai Kódex elveire, a zéró </w:t>
      </w:r>
      <w:r w:rsidRPr="00E45723">
        <w:rPr>
          <w:rFonts w:asciiTheme="minorHAnsi" w:hAnsiTheme="minorHAnsi" w:cs="Calibri"/>
        </w:rPr>
        <w:lastRenderedPageBreak/>
        <w:t>tolerancia a korrupcióval szemben elvre, a megfelelő üzleti magatartásra, az összeférhetetlenségi és megfelelőségi kérdésekre, valamint a bejelentési csatornák és a retorziótilalom ismertetésére terjed ki. A képzések célja nem speciális jogi mélységű antikorrupciós oktatás, hanem az, hogy az érintett munkavállalók a napi működés szintjén felismerjék a nem megfelelő magatartás kockázatait, ismerjék a jelzési lehetőségeket, és tisztában legyenek a vállalat etikai és compliance elvárásaival.</w:t>
      </w:r>
    </w:p>
    <w:p w14:paraId="2A731646" w14:textId="77777777" w:rsidR="00BD159D" w:rsidRPr="00E45723" w:rsidRDefault="00FD7771" w:rsidP="00EA3B06">
      <w:pPr>
        <w:pStyle w:val="BodyText"/>
        <w:rPr>
          <w:rFonts w:asciiTheme="minorHAnsi" w:hAnsiTheme="minorHAnsi" w:cs="Calibri"/>
        </w:rPr>
      </w:pPr>
      <w:r w:rsidRPr="00E45723">
        <w:rPr>
          <w:rFonts w:asciiTheme="minorHAnsi" w:hAnsiTheme="minorHAnsi" w:cs="Calibri"/>
        </w:rPr>
        <w:t>Az Etikai kódex megismertetésének nyilatkoztatását a kékgalléros munkavállalók esetében jelenleg az oktatási jegyzőkönyv sablonon történő aláírással igazoltatjuk. A fehérgalléros munkavállalók esetében pedig az éves oktatás alkalmával (Moodle) történik munkavállalói oktatás etikai kérdéskörben.</w:t>
      </w:r>
    </w:p>
    <w:p w14:paraId="1C2A3E7E"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
        </w:rPr>
        <w:t>Korrupció- és vesztegetésellenes képzési módszer:</w:t>
      </w:r>
      <w:r w:rsidRPr="00E45723">
        <w:rPr>
          <w:rStyle w:val="BadgeCharacter"/>
          <w:rFonts w:asciiTheme="minorHAnsi" w:hAnsiTheme="minorHAnsi" w:cs="Calibri"/>
          <w:b w:val="0"/>
        </w:rPr>
        <w:t xml:space="preserve"> </w:t>
      </w:r>
      <w:r w:rsidRPr="00E45723">
        <w:rPr>
          <w:rStyle w:val="BadgeCharacter"/>
          <w:rFonts w:asciiTheme="minorHAnsi" w:hAnsiTheme="minorHAnsi" w:cs="Calibri"/>
          <w:bCs/>
        </w:rPr>
        <w:t xml:space="preserve">Önkéntes számítógépes képzés </w:t>
      </w:r>
    </w:p>
    <w:p w14:paraId="1BAC310E"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Tantermi képzés időtartama (óra): 0,00 </w:t>
      </w:r>
    </w:p>
    <w:p w14:paraId="37E2B24A"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Számítógépes képzés időtartama (óra): 0,5 óra </w:t>
      </w:r>
    </w:p>
    <w:p w14:paraId="0EDE904F"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Az önkéntes számítógépes képzés időtartama (óra): 0,00 </w:t>
      </w:r>
    </w:p>
    <w:p w14:paraId="0B52EEDC"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A képzés által lefedett veszélyeztetett funkciók száma: 0,00 </w:t>
      </w:r>
    </w:p>
    <w:p w14:paraId="07A21E54"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A képzésben részt vevő egyéb alkalmazottak száma: 0,00 </w:t>
      </w:r>
    </w:p>
    <w:p w14:paraId="71723D0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Kék galléros: 0,00 </w:t>
      </w:r>
    </w:p>
    <w:p w14:paraId="469C1E7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Fehér galléros: 1113,00 </w:t>
      </w:r>
    </w:p>
    <w:p w14:paraId="6E48BA4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Felsővezetés: 0,00 </w:t>
      </w:r>
    </w:p>
    <w:p w14:paraId="771F1ED7" w14:textId="77777777" w:rsidR="00BD159D" w:rsidRPr="00E45723" w:rsidRDefault="00FD7771" w:rsidP="00EA3B06">
      <w:pPr>
        <w:pStyle w:val="BodyText"/>
        <w:suppressAutoHyphens/>
        <w:rPr>
          <w:rFonts w:asciiTheme="minorHAnsi" w:hAnsiTheme="minorHAnsi" w:cs="Calibri"/>
          <w:bCs/>
        </w:rPr>
      </w:pPr>
      <w:r w:rsidRPr="00E45723">
        <w:rPr>
          <w:rFonts w:asciiTheme="minorHAnsi" w:hAnsiTheme="minorHAnsi" w:cs="Calibri"/>
          <w:bCs/>
        </w:rPr>
        <w:t xml:space="preserve">Azon egyéb alkalmazottak száma, akik képzésben részesültek a jelentési időszakban: 0,00 </w:t>
      </w:r>
    </w:p>
    <w:p w14:paraId="7FEF116B"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Kék galléros: 0,00 </w:t>
      </w:r>
    </w:p>
    <w:p w14:paraId="117C24B1"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Fehér galléros: 0,00 </w:t>
      </w:r>
    </w:p>
    <w:p w14:paraId="629866A7" w14:textId="77777777" w:rsidR="00BD159D" w:rsidRPr="00E45723" w:rsidRDefault="00FD7771" w:rsidP="00FD7771">
      <w:pPr>
        <w:numPr>
          <w:ilvl w:val="0"/>
          <w:numId w:val="8"/>
        </w:numPr>
        <w:suppressAutoHyphens/>
        <w:rPr>
          <w:rFonts w:asciiTheme="minorHAnsi" w:hAnsiTheme="minorHAnsi" w:cs="Calibri"/>
        </w:rPr>
      </w:pPr>
      <w:r w:rsidRPr="00E45723">
        <w:rPr>
          <w:rFonts w:asciiTheme="minorHAnsi" w:hAnsiTheme="minorHAnsi" w:cs="Calibri"/>
        </w:rPr>
        <w:t xml:space="preserve">Felsővezetés: 0,00 </w:t>
      </w:r>
    </w:p>
    <w:p w14:paraId="0BA6F208" w14:textId="77777777" w:rsidR="00BD159D" w:rsidRPr="00E45723" w:rsidRDefault="00FD7771" w:rsidP="00405B4C">
      <w:pPr>
        <w:pStyle w:val="Heading3"/>
        <w:suppressAutoHyphens/>
        <w:spacing w:after="240"/>
        <w:rPr>
          <w:rFonts w:asciiTheme="minorHAnsi" w:hAnsiTheme="minorHAnsi" w:cs="Calibri"/>
        </w:rPr>
      </w:pPr>
      <w:bookmarkStart w:id="95" w:name="_Toc239835034"/>
      <w:r w:rsidRPr="00E45723">
        <w:rPr>
          <w:rFonts w:asciiTheme="minorHAnsi" w:hAnsiTheme="minorHAnsi" w:cs="Calibri"/>
        </w:rPr>
        <w:t>G1-4 Megerősített korrupciós vagy vesztegetési esetek</w:t>
      </w:r>
      <w:bookmarkEnd w:id="95"/>
    </w:p>
    <w:p w14:paraId="1E9FDCD3" w14:textId="77777777" w:rsidR="00BD159D" w:rsidRPr="00E45723" w:rsidRDefault="00FD7771">
      <w:pPr>
        <w:suppressAutoHyphens/>
        <w:spacing w:after="120"/>
        <w:rPr>
          <w:rFonts w:asciiTheme="minorHAnsi" w:hAnsiTheme="minorHAnsi" w:cs="Calibri"/>
        </w:rPr>
      </w:pPr>
      <w:bookmarkStart w:id="96" w:name="Könyvjelző18"/>
      <w:bookmarkStart w:id="97" w:name="Könyvjelző17"/>
      <w:r w:rsidRPr="00E45723">
        <w:rPr>
          <w:rFonts w:asciiTheme="minorHAnsi" w:hAnsiTheme="minorHAnsi" w:cs="Calibri"/>
        </w:rPr>
        <w:t>G1-4_24_b A szabályok megsértése esetén a tagvállalatok szigorú szankciókat alkalmaznak, biztosítva, hogy a felelősségre vonhatóság minden szinten érvényesüljön. A jogsértés súlyától függően ez akár a munkaviszony azonnali hatályú megszüntetését, valamint további jogi lépések megtételét is eredményezheti. A társaságok a politika megsértésének kezelésére – a jogszabályi követelményekkel összhangban – részletes eljárásrendet alakítottak ki a visszaélésbejelentő-rendszer keretében, amely biztosítja a bejelentők megfelelő jogi védelmét és a hátrányos következményekkel szembeni védelmet.</w:t>
      </w:r>
      <w:bookmarkEnd w:id="96"/>
    </w:p>
    <w:p w14:paraId="273363D5" w14:textId="1669AE1E" w:rsidR="00BD159D" w:rsidRPr="00E45723" w:rsidRDefault="00FD7771" w:rsidP="00405B4C">
      <w:pPr>
        <w:suppressAutoHyphens/>
        <w:spacing w:after="120"/>
        <w:rPr>
          <w:rFonts w:asciiTheme="minorHAnsi" w:hAnsiTheme="minorHAnsi" w:cs="Calibri"/>
        </w:rPr>
      </w:pPr>
      <w:r w:rsidRPr="00E45723">
        <w:rPr>
          <w:rFonts w:asciiTheme="minorHAnsi" w:hAnsiTheme="minorHAnsi" w:cs="Calibri"/>
        </w:rPr>
        <w:t>G1-4_24 a 2025-ben a LIWO Groupban nem történt megerősített korrupciós eset.</w:t>
      </w:r>
      <w:bookmarkEnd w:id="97"/>
    </w:p>
    <w:sectPr w:rsidR="00BD159D" w:rsidRPr="00E45723" w:rsidSect="00EA3B06">
      <w:pgSz w:w="11907" w:h="16839"/>
      <w:pgMar w:top="1416" w:right="1416" w:bottom="1416" w:left="1416"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73C53" w14:textId="77777777" w:rsidR="00286926" w:rsidRDefault="00286926">
      <w:pPr>
        <w:spacing w:after="0"/>
      </w:pPr>
      <w:r>
        <w:separator/>
      </w:r>
    </w:p>
  </w:endnote>
  <w:endnote w:type="continuationSeparator" w:id="0">
    <w:p w14:paraId="5232EEC5" w14:textId="77777777" w:rsidR="00286926" w:rsidRDefault="002869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unito">
    <w:charset w:val="00"/>
    <w:family w:val="auto"/>
    <w:pitch w:val="variable"/>
    <w:sig w:usb0="A00002FF" w:usb1="5000204B" w:usb2="00000000" w:usb3="00000000" w:csb0="00000197"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auto"/>
    <w:pitch w:val="default"/>
  </w:font>
  <w:font w:name="PT Sans Narrow">
    <w:charset w:val="00"/>
    <w:family w:val="swiss"/>
    <w:pitch w:val="variable"/>
    <w:sig w:usb0="A00002EF" w:usb1="5000204B" w:usb2="00000000" w:usb3="00000000" w:csb0="000000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2274" w14:textId="77777777" w:rsidR="00BD159D" w:rsidRPr="00086AFB" w:rsidRDefault="00FD7771">
    <w:pPr>
      <w:rPr>
        <w:rFonts w:ascii="Calibri" w:hAnsi="Calibri" w:cs="Calibri"/>
        <w:sz w:val="20"/>
        <w:szCs w:val="20"/>
      </w:rPr>
    </w:pPr>
    <w:r w:rsidRPr="00086AFB">
      <w:rPr>
        <w:rFonts w:ascii="Calibri" w:hAnsi="Calibri" w:cs="Calibri"/>
        <w:sz w:val="20"/>
        <w:szCs w:val="20"/>
      </w:rPr>
      <w:fldChar w:fldCharType="begin"/>
    </w:r>
    <w:r w:rsidRPr="00086AFB">
      <w:rPr>
        <w:rFonts w:ascii="Calibri" w:hAnsi="Calibri" w:cs="Calibri"/>
        <w:sz w:val="20"/>
        <w:szCs w:val="20"/>
      </w:rPr>
      <w:instrText>PAGE</w:instrText>
    </w:r>
    <w:r w:rsidRPr="00086AFB">
      <w:rPr>
        <w:rFonts w:ascii="Calibri" w:hAnsi="Calibri" w:cs="Calibri"/>
        <w:sz w:val="20"/>
        <w:szCs w:val="20"/>
      </w:rPr>
      <w:fldChar w:fldCharType="separate"/>
    </w:r>
    <w:r w:rsidRPr="00086AFB">
      <w:rPr>
        <w:rFonts w:ascii="Calibri" w:hAnsi="Calibri" w:cs="Calibri"/>
        <w:sz w:val="20"/>
        <w:szCs w:val="20"/>
      </w:rPr>
      <w:t>2</w:t>
    </w:r>
    <w:r w:rsidRPr="00086AFB">
      <w:rPr>
        <w:rFonts w:ascii="Calibri" w:hAnsi="Calibri" w:cs="Calibri"/>
        <w:sz w:val="20"/>
        <w:szCs w:val="20"/>
      </w:rPr>
      <w:fldChar w:fldCharType="end"/>
    </w:r>
    <w:r w:rsidRPr="00086AFB">
      <w:rPr>
        <w:rFonts w:ascii="Calibri" w:hAnsi="Calibri" w:cs="Calibri"/>
        <w:sz w:val="20"/>
        <w:szCs w:val="20"/>
      </w:rPr>
      <w:t>/</w:t>
    </w:r>
    <w:r w:rsidRPr="00086AFB">
      <w:rPr>
        <w:rFonts w:ascii="Calibri" w:hAnsi="Calibri" w:cs="Calibri"/>
        <w:sz w:val="20"/>
        <w:szCs w:val="20"/>
      </w:rPr>
      <w:fldChar w:fldCharType="begin"/>
    </w:r>
    <w:r w:rsidRPr="00086AFB">
      <w:rPr>
        <w:rFonts w:ascii="Calibri" w:hAnsi="Calibri" w:cs="Calibri"/>
        <w:sz w:val="20"/>
        <w:szCs w:val="20"/>
      </w:rPr>
      <w:instrText>NUMPAGES</w:instrText>
    </w:r>
    <w:r w:rsidRPr="00086AFB">
      <w:rPr>
        <w:rFonts w:ascii="Calibri" w:hAnsi="Calibri" w:cs="Calibri"/>
        <w:sz w:val="20"/>
        <w:szCs w:val="20"/>
      </w:rPr>
      <w:fldChar w:fldCharType="separate"/>
    </w:r>
    <w:r w:rsidRPr="00086AFB">
      <w:rPr>
        <w:rFonts w:ascii="Calibri" w:hAnsi="Calibri" w:cs="Calibri"/>
        <w:sz w:val="20"/>
        <w:szCs w:val="20"/>
      </w:rPr>
      <w:t>3</w:t>
    </w:r>
    <w:r w:rsidRPr="00086AFB">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BD134" w14:textId="77777777" w:rsidR="00286926" w:rsidRDefault="00286926">
      <w:pPr>
        <w:spacing w:after="0"/>
      </w:pPr>
      <w:r>
        <w:separator/>
      </w:r>
    </w:p>
  </w:footnote>
  <w:footnote w:type="continuationSeparator" w:id="0">
    <w:p w14:paraId="5A91CBFE" w14:textId="77777777" w:rsidR="00286926" w:rsidRDefault="0028692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multilevel"/>
    <w:tmpl w:val="C7EC5DCA"/>
    <w:lvl w:ilvl="0">
      <w:start w:val="1"/>
      <w:numFmt w:val="decimal"/>
      <w:pStyle w:val="ListNumber2"/>
      <w:lvlText w:val="%1."/>
      <w:lvlJc w:val="left"/>
      <w:pPr>
        <w:tabs>
          <w:tab w:val="num" w:pos="643"/>
        </w:tabs>
        <w:ind w:left="643"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C82F41"/>
    <w:multiLevelType w:val="hybridMultilevel"/>
    <w:tmpl w:val="26E0E5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3730D9"/>
    <w:multiLevelType w:val="hybridMultilevel"/>
    <w:tmpl w:val="53020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156AC"/>
    <w:multiLevelType w:val="hybridMultilevel"/>
    <w:tmpl w:val="BA6EA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B42EB"/>
    <w:multiLevelType w:val="hybridMultilevel"/>
    <w:tmpl w:val="D3D6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B950E6"/>
    <w:multiLevelType w:val="hybridMultilevel"/>
    <w:tmpl w:val="7C703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957E5"/>
    <w:multiLevelType w:val="hybridMultilevel"/>
    <w:tmpl w:val="8D00D72C"/>
    <w:lvl w:ilvl="0" w:tplc="1854C944">
      <w:numFmt w:val="bullet"/>
      <w:lvlText w:val="-"/>
      <w:lvlJc w:val="left"/>
      <w:pPr>
        <w:ind w:left="1440" w:hanging="360"/>
      </w:pPr>
      <w:rPr>
        <w:rFonts w:ascii="Aptos" w:eastAsia="Nunito" w:hAnsi="Aptos" w:cs="Nunito"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E323BBC"/>
    <w:multiLevelType w:val="multilevel"/>
    <w:tmpl w:val="04DCA9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4D54D8"/>
    <w:multiLevelType w:val="hybridMultilevel"/>
    <w:tmpl w:val="3CAA9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D131D"/>
    <w:multiLevelType w:val="hybridMultilevel"/>
    <w:tmpl w:val="DEB8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015594"/>
    <w:multiLevelType w:val="hybridMultilevel"/>
    <w:tmpl w:val="94C0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6E2CCE"/>
    <w:multiLevelType w:val="hybridMultilevel"/>
    <w:tmpl w:val="43E07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BF63A6"/>
    <w:multiLevelType w:val="hybridMultilevel"/>
    <w:tmpl w:val="6C2AF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900D4"/>
    <w:multiLevelType w:val="hybridMultilevel"/>
    <w:tmpl w:val="0A524918"/>
    <w:lvl w:ilvl="0" w:tplc="1854C944">
      <w:numFmt w:val="bullet"/>
      <w:lvlText w:val="-"/>
      <w:lvlJc w:val="left"/>
      <w:pPr>
        <w:ind w:left="720" w:hanging="360"/>
      </w:pPr>
      <w:rPr>
        <w:rFonts w:ascii="Aptos" w:eastAsia="Nunito" w:hAnsi="Aptos" w:cs="Nunito"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2583110"/>
    <w:multiLevelType w:val="hybridMultilevel"/>
    <w:tmpl w:val="04487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D73989"/>
    <w:multiLevelType w:val="hybridMultilevel"/>
    <w:tmpl w:val="EB862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495197"/>
    <w:multiLevelType w:val="hybridMultilevel"/>
    <w:tmpl w:val="85F68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AB1501"/>
    <w:multiLevelType w:val="hybridMultilevel"/>
    <w:tmpl w:val="F1FC0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8D7B5E"/>
    <w:multiLevelType w:val="hybridMultilevel"/>
    <w:tmpl w:val="0E063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1B49D4"/>
    <w:multiLevelType w:val="hybridMultilevel"/>
    <w:tmpl w:val="28E65BC6"/>
    <w:lvl w:ilvl="0" w:tplc="1854C944">
      <w:numFmt w:val="bullet"/>
      <w:lvlText w:val="-"/>
      <w:lvlJc w:val="left"/>
      <w:pPr>
        <w:ind w:left="720" w:hanging="360"/>
      </w:pPr>
      <w:rPr>
        <w:rFonts w:ascii="Aptos" w:eastAsia="Nunito" w:hAnsi="Aptos" w:cs="Nunito"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A274FA"/>
    <w:multiLevelType w:val="hybridMultilevel"/>
    <w:tmpl w:val="B7F23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7216F9"/>
    <w:multiLevelType w:val="hybridMultilevel"/>
    <w:tmpl w:val="F476F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992E10"/>
    <w:multiLevelType w:val="multilevel"/>
    <w:tmpl w:val="0B423C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7C2A0E"/>
    <w:multiLevelType w:val="hybridMultilevel"/>
    <w:tmpl w:val="EF4CD0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0D46078"/>
    <w:multiLevelType w:val="multilevel"/>
    <w:tmpl w:val="B3F40574"/>
    <w:lvl w:ilvl="0">
      <w:start w:val="2026"/>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577501C"/>
    <w:multiLevelType w:val="hybridMultilevel"/>
    <w:tmpl w:val="1576D4C0"/>
    <w:lvl w:ilvl="0" w:tplc="04090001">
      <w:start w:val="1"/>
      <w:numFmt w:val="bullet"/>
      <w:lvlText w:val=""/>
      <w:lvlJc w:val="left"/>
      <w:pPr>
        <w:ind w:left="720" w:hanging="48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8DF0166"/>
    <w:multiLevelType w:val="hybridMultilevel"/>
    <w:tmpl w:val="BBDED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A22B17"/>
    <w:multiLevelType w:val="multilevel"/>
    <w:tmpl w:val="B3F40574"/>
    <w:lvl w:ilvl="0">
      <w:start w:val="2026"/>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D930183"/>
    <w:multiLevelType w:val="hybridMultilevel"/>
    <w:tmpl w:val="73AC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D92B2E"/>
    <w:multiLevelType w:val="hybridMultilevel"/>
    <w:tmpl w:val="704C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33210C"/>
    <w:multiLevelType w:val="hybridMultilevel"/>
    <w:tmpl w:val="E5408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832C5A"/>
    <w:multiLevelType w:val="hybridMultilevel"/>
    <w:tmpl w:val="4E3CE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532A96"/>
    <w:multiLevelType w:val="hybridMultilevel"/>
    <w:tmpl w:val="F7BEE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7F3AE5"/>
    <w:multiLevelType w:val="hybridMultilevel"/>
    <w:tmpl w:val="2C08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1A7B22"/>
    <w:multiLevelType w:val="hybridMultilevel"/>
    <w:tmpl w:val="DF14B19C"/>
    <w:lvl w:ilvl="0" w:tplc="3366343C">
      <w:start w:val="1"/>
      <w:numFmt w:val="bullet"/>
      <w:lvlText w:val=""/>
      <w:lvlJc w:val="left"/>
      <w:pPr>
        <w:ind w:left="720" w:hanging="480"/>
      </w:pPr>
      <w:rPr>
        <w:rFonts w:ascii="Symbol" w:hAnsi="Symbol" w:hint="default"/>
      </w:rPr>
    </w:lvl>
    <w:lvl w:ilvl="1" w:tplc="29B20E1E">
      <w:numFmt w:val="decimal"/>
      <w:lvlText w:val=""/>
      <w:lvlJc w:val="left"/>
    </w:lvl>
    <w:lvl w:ilvl="2" w:tplc="14DEF762">
      <w:numFmt w:val="decimal"/>
      <w:lvlText w:val=""/>
      <w:lvlJc w:val="left"/>
    </w:lvl>
    <w:lvl w:ilvl="3" w:tplc="17DA54A6">
      <w:numFmt w:val="decimal"/>
      <w:lvlText w:val=""/>
      <w:lvlJc w:val="left"/>
    </w:lvl>
    <w:lvl w:ilvl="4" w:tplc="F3720068">
      <w:numFmt w:val="decimal"/>
      <w:lvlText w:val=""/>
      <w:lvlJc w:val="left"/>
    </w:lvl>
    <w:lvl w:ilvl="5" w:tplc="E682BEFA">
      <w:numFmt w:val="decimal"/>
      <w:lvlText w:val=""/>
      <w:lvlJc w:val="left"/>
    </w:lvl>
    <w:lvl w:ilvl="6" w:tplc="29C6F3BE">
      <w:numFmt w:val="decimal"/>
      <w:lvlText w:val=""/>
      <w:lvlJc w:val="left"/>
    </w:lvl>
    <w:lvl w:ilvl="7" w:tplc="7F7656C4">
      <w:numFmt w:val="decimal"/>
      <w:lvlText w:val=""/>
      <w:lvlJc w:val="left"/>
    </w:lvl>
    <w:lvl w:ilvl="8" w:tplc="254E748C">
      <w:numFmt w:val="decimal"/>
      <w:lvlText w:val=""/>
      <w:lvlJc w:val="left"/>
    </w:lvl>
  </w:abstractNum>
  <w:abstractNum w:abstractNumId="35" w15:restartNumberingAfterBreak="0">
    <w:nsid w:val="4D8A7CE1"/>
    <w:multiLevelType w:val="hybridMultilevel"/>
    <w:tmpl w:val="7FCE8AAC"/>
    <w:lvl w:ilvl="0" w:tplc="1854C944">
      <w:numFmt w:val="bullet"/>
      <w:lvlText w:val="-"/>
      <w:lvlJc w:val="left"/>
      <w:pPr>
        <w:ind w:left="720" w:hanging="360"/>
      </w:pPr>
      <w:rPr>
        <w:rFonts w:ascii="Aptos" w:eastAsia="Nunito" w:hAnsi="Aptos" w:cs="Nunito"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1294D9F"/>
    <w:multiLevelType w:val="hybridMultilevel"/>
    <w:tmpl w:val="191CCE14"/>
    <w:lvl w:ilvl="0" w:tplc="04090001">
      <w:start w:val="1"/>
      <w:numFmt w:val="bullet"/>
      <w:lvlText w:val=""/>
      <w:lvlJc w:val="left"/>
      <w:pPr>
        <w:ind w:left="720" w:hanging="48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32D2A76"/>
    <w:multiLevelType w:val="multilevel"/>
    <w:tmpl w:val="7FD2FF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473E9E"/>
    <w:multiLevelType w:val="hybridMultilevel"/>
    <w:tmpl w:val="D1DA1126"/>
    <w:lvl w:ilvl="0" w:tplc="1854C944">
      <w:numFmt w:val="bullet"/>
      <w:lvlText w:val="-"/>
      <w:lvlJc w:val="left"/>
      <w:pPr>
        <w:ind w:left="720" w:hanging="360"/>
      </w:pPr>
      <w:rPr>
        <w:rFonts w:ascii="Aptos" w:eastAsia="Nunito" w:hAnsi="Aptos" w:cs="Nuni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39129F"/>
    <w:multiLevelType w:val="multilevel"/>
    <w:tmpl w:val="C10EB4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67C0A2C"/>
    <w:multiLevelType w:val="hybridMultilevel"/>
    <w:tmpl w:val="C7E89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7C43406"/>
    <w:multiLevelType w:val="multilevel"/>
    <w:tmpl w:val="877AD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8847A7"/>
    <w:multiLevelType w:val="multilevel"/>
    <w:tmpl w:val="00BCA1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DD038A4"/>
    <w:multiLevelType w:val="hybridMultilevel"/>
    <w:tmpl w:val="F974700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63548C"/>
    <w:multiLevelType w:val="hybridMultilevel"/>
    <w:tmpl w:val="6CA8D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AB2FAE"/>
    <w:multiLevelType w:val="hybridMultilevel"/>
    <w:tmpl w:val="B6EE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A8105E"/>
    <w:multiLevelType w:val="hybridMultilevel"/>
    <w:tmpl w:val="0E6A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DD0660"/>
    <w:multiLevelType w:val="hybridMultilevel"/>
    <w:tmpl w:val="5C7C73E2"/>
    <w:lvl w:ilvl="0" w:tplc="1854C944">
      <w:numFmt w:val="bullet"/>
      <w:lvlText w:val="-"/>
      <w:lvlJc w:val="left"/>
      <w:pPr>
        <w:ind w:left="720" w:hanging="360"/>
      </w:pPr>
      <w:rPr>
        <w:rFonts w:ascii="Aptos" w:eastAsia="Nunito" w:hAnsi="Aptos" w:cs="Nuni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41080D"/>
    <w:multiLevelType w:val="multilevel"/>
    <w:tmpl w:val="F71804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5BC7778"/>
    <w:multiLevelType w:val="hybridMultilevel"/>
    <w:tmpl w:val="2F3A3FE6"/>
    <w:lvl w:ilvl="0" w:tplc="1854C944">
      <w:numFmt w:val="bullet"/>
      <w:lvlText w:val="-"/>
      <w:lvlJc w:val="left"/>
      <w:pPr>
        <w:ind w:left="720" w:hanging="360"/>
      </w:pPr>
      <w:rPr>
        <w:rFonts w:ascii="Aptos" w:eastAsia="Nunito" w:hAnsi="Aptos" w:cs="Nuni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3364263">
    <w:abstractNumId w:val="42"/>
  </w:num>
  <w:num w:numId="2" w16cid:durableId="1993634320">
    <w:abstractNumId w:val="22"/>
  </w:num>
  <w:num w:numId="3" w16cid:durableId="1920359591">
    <w:abstractNumId w:val="41"/>
  </w:num>
  <w:num w:numId="4" w16cid:durableId="720131801">
    <w:abstractNumId w:val="7"/>
  </w:num>
  <w:num w:numId="5" w16cid:durableId="487015923">
    <w:abstractNumId w:val="37"/>
  </w:num>
  <w:num w:numId="6" w16cid:durableId="1583639779">
    <w:abstractNumId w:val="39"/>
  </w:num>
  <w:num w:numId="7" w16cid:durableId="569463080">
    <w:abstractNumId w:val="0"/>
  </w:num>
  <w:num w:numId="8" w16cid:durableId="456413456">
    <w:abstractNumId w:val="34"/>
  </w:num>
  <w:num w:numId="9" w16cid:durableId="1626354289">
    <w:abstractNumId w:val="40"/>
  </w:num>
  <w:num w:numId="10" w16cid:durableId="131413916">
    <w:abstractNumId w:val="38"/>
  </w:num>
  <w:num w:numId="11" w16cid:durableId="460347618">
    <w:abstractNumId w:val="1"/>
  </w:num>
  <w:num w:numId="12" w16cid:durableId="159464505">
    <w:abstractNumId w:val="25"/>
  </w:num>
  <w:num w:numId="13" w16cid:durableId="342364871">
    <w:abstractNumId w:val="36"/>
  </w:num>
  <w:num w:numId="14" w16cid:durableId="45302556">
    <w:abstractNumId w:val="26"/>
  </w:num>
  <w:num w:numId="15" w16cid:durableId="693650554">
    <w:abstractNumId w:val="33"/>
  </w:num>
  <w:num w:numId="16" w16cid:durableId="1630552449">
    <w:abstractNumId w:val="12"/>
  </w:num>
  <w:num w:numId="17" w16cid:durableId="1785421177">
    <w:abstractNumId w:val="30"/>
  </w:num>
  <w:num w:numId="18" w16cid:durableId="1338266660">
    <w:abstractNumId w:val="15"/>
  </w:num>
  <w:num w:numId="19" w16cid:durableId="1987196428">
    <w:abstractNumId w:val="10"/>
  </w:num>
  <w:num w:numId="20" w16cid:durableId="445663506">
    <w:abstractNumId w:val="3"/>
  </w:num>
  <w:num w:numId="21" w16cid:durableId="1039164800">
    <w:abstractNumId w:val="20"/>
  </w:num>
  <w:num w:numId="22" w16cid:durableId="441412993">
    <w:abstractNumId w:val="35"/>
  </w:num>
  <w:num w:numId="23" w16cid:durableId="98843013">
    <w:abstractNumId w:val="47"/>
  </w:num>
  <w:num w:numId="24" w16cid:durableId="284581760">
    <w:abstractNumId w:val="49"/>
  </w:num>
  <w:num w:numId="25" w16cid:durableId="501438355">
    <w:abstractNumId w:val="23"/>
  </w:num>
  <w:num w:numId="26" w16cid:durableId="1418282773">
    <w:abstractNumId w:val="18"/>
  </w:num>
  <w:num w:numId="27" w16cid:durableId="1742437693">
    <w:abstractNumId w:val="46"/>
  </w:num>
  <w:num w:numId="28" w16cid:durableId="521476204">
    <w:abstractNumId w:val="9"/>
  </w:num>
  <w:num w:numId="29" w16cid:durableId="1252928967">
    <w:abstractNumId w:val="44"/>
  </w:num>
  <w:num w:numId="30" w16cid:durableId="130176629">
    <w:abstractNumId w:val="19"/>
  </w:num>
  <w:num w:numId="31" w16cid:durableId="2064211210">
    <w:abstractNumId w:val="11"/>
  </w:num>
  <w:num w:numId="32" w16cid:durableId="52849190">
    <w:abstractNumId w:val="13"/>
  </w:num>
  <w:num w:numId="33" w16cid:durableId="1818180094">
    <w:abstractNumId w:val="6"/>
  </w:num>
  <w:num w:numId="34" w16cid:durableId="1102913188">
    <w:abstractNumId w:val="17"/>
  </w:num>
  <w:num w:numId="35" w16cid:durableId="875853654">
    <w:abstractNumId w:val="43"/>
  </w:num>
  <w:num w:numId="36" w16cid:durableId="1320574603">
    <w:abstractNumId w:val="31"/>
  </w:num>
  <w:num w:numId="37" w16cid:durableId="633491109">
    <w:abstractNumId w:val="32"/>
  </w:num>
  <w:num w:numId="38" w16cid:durableId="1055661521">
    <w:abstractNumId w:val="4"/>
  </w:num>
  <w:num w:numId="39" w16cid:durableId="397485905">
    <w:abstractNumId w:val="2"/>
  </w:num>
  <w:num w:numId="40" w16cid:durableId="1177425371">
    <w:abstractNumId w:val="14"/>
  </w:num>
  <w:num w:numId="41" w16cid:durableId="550266270">
    <w:abstractNumId w:val="21"/>
  </w:num>
  <w:num w:numId="42" w16cid:durableId="2008558345">
    <w:abstractNumId w:val="28"/>
  </w:num>
  <w:num w:numId="43" w16cid:durableId="106698808">
    <w:abstractNumId w:val="29"/>
  </w:num>
  <w:num w:numId="44" w16cid:durableId="1645503604">
    <w:abstractNumId w:val="8"/>
  </w:num>
  <w:num w:numId="45" w16cid:durableId="330957083">
    <w:abstractNumId w:val="16"/>
  </w:num>
  <w:num w:numId="46" w16cid:durableId="1442722354">
    <w:abstractNumId w:val="45"/>
  </w:num>
  <w:num w:numId="47" w16cid:durableId="616568773">
    <w:abstractNumId w:val="5"/>
  </w:num>
  <w:num w:numId="48" w16cid:durableId="47536058">
    <w:abstractNumId w:val="24"/>
  </w:num>
  <w:num w:numId="49" w16cid:durableId="1001473867">
    <w:abstractNumId w:val="27"/>
  </w:num>
  <w:num w:numId="50" w16cid:durableId="2133593962">
    <w:abstractNumId w:val="4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85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59D"/>
    <w:rsid w:val="00010CA0"/>
    <w:rsid w:val="00014D38"/>
    <w:rsid w:val="00033A98"/>
    <w:rsid w:val="0004772A"/>
    <w:rsid w:val="00077F2D"/>
    <w:rsid w:val="000848B0"/>
    <w:rsid w:val="00086AFB"/>
    <w:rsid w:val="000B29E7"/>
    <w:rsid w:val="000D3F0C"/>
    <w:rsid w:val="00104B23"/>
    <w:rsid w:val="0013302D"/>
    <w:rsid w:val="00135B61"/>
    <w:rsid w:val="0015630C"/>
    <w:rsid w:val="001E02B0"/>
    <w:rsid w:val="00204B1F"/>
    <w:rsid w:val="00224360"/>
    <w:rsid w:val="00261BAF"/>
    <w:rsid w:val="00286926"/>
    <w:rsid w:val="00296A90"/>
    <w:rsid w:val="00301A25"/>
    <w:rsid w:val="0030535B"/>
    <w:rsid w:val="003146FE"/>
    <w:rsid w:val="00351B04"/>
    <w:rsid w:val="003713A3"/>
    <w:rsid w:val="00376993"/>
    <w:rsid w:val="003C39FE"/>
    <w:rsid w:val="003D1B99"/>
    <w:rsid w:val="003D4C37"/>
    <w:rsid w:val="003F5813"/>
    <w:rsid w:val="00405B4C"/>
    <w:rsid w:val="0042111A"/>
    <w:rsid w:val="004329D9"/>
    <w:rsid w:val="00434C6F"/>
    <w:rsid w:val="00482D85"/>
    <w:rsid w:val="004A4706"/>
    <w:rsid w:val="004A4D88"/>
    <w:rsid w:val="004A7451"/>
    <w:rsid w:val="004B52FA"/>
    <w:rsid w:val="004C3B23"/>
    <w:rsid w:val="004C503B"/>
    <w:rsid w:val="004D1891"/>
    <w:rsid w:val="004F1127"/>
    <w:rsid w:val="004F44C6"/>
    <w:rsid w:val="00573525"/>
    <w:rsid w:val="00581662"/>
    <w:rsid w:val="00595D0D"/>
    <w:rsid w:val="0059749B"/>
    <w:rsid w:val="005A4858"/>
    <w:rsid w:val="005B4BAE"/>
    <w:rsid w:val="005C52B3"/>
    <w:rsid w:val="005C55E6"/>
    <w:rsid w:val="005C765C"/>
    <w:rsid w:val="005D56E8"/>
    <w:rsid w:val="00672B57"/>
    <w:rsid w:val="00677218"/>
    <w:rsid w:val="006813CB"/>
    <w:rsid w:val="006919BD"/>
    <w:rsid w:val="006B374D"/>
    <w:rsid w:val="006C64DC"/>
    <w:rsid w:val="006E7BBB"/>
    <w:rsid w:val="006F4C1A"/>
    <w:rsid w:val="006F7436"/>
    <w:rsid w:val="00707382"/>
    <w:rsid w:val="00723321"/>
    <w:rsid w:val="00734583"/>
    <w:rsid w:val="00773060"/>
    <w:rsid w:val="007C7820"/>
    <w:rsid w:val="007D3885"/>
    <w:rsid w:val="00814C6B"/>
    <w:rsid w:val="00836270"/>
    <w:rsid w:val="00891A5B"/>
    <w:rsid w:val="008A457A"/>
    <w:rsid w:val="008C0FDB"/>
    <w:rsid w:val="008C563C"/>
    <w:rsid w:val="0094263D"/>
    <w:rsid w:val="009601EE"/>
    <w:rsid w:val="00971694"/>
    <w:rsid w:val="00990F75"/>
    <w:rsid w:val="00997D9A"/>
    <w:rsid w:val="00997F8C"/>
    <w:rsid w:val="009B77C2"/>
    <w:rsid w:val="00A150F7"/>
    <w:rsid w:val="00A25A7F"/>
    <w:rsid w:val="00A42A4F"/>
    <w:rsid w:val="00A60AB2"/>
    <w:rsid w:val="00A83773"/>
    <w:rsid w:val="00A85D5C"/>
    <w:rsid w:val="00AD46E3"/>
    <w:rsid w:val="00AD5879"/>
    <w:rsid w:val="00AE1EB0"/>
    <w:rsid w:val="00AE560D"/>
    <w:rsid w:val="00B249EA"/>
    <w:rsid w:val="00B64D28"/>
    <w:rsid w:val="00B66A53"/>
    <w:rsid w:val="00B75E29"/>
    <w:rsid w:val="00B84336"/>
    <w:rsid w:val="00BA417B"/>
    <w:rsid w:val="00BA77C0"/>
    <w:rsid w:val="00BB75E1"/>
    <w:rsid w:val="00BD159D"/>
    <w:rsid w:val="00C07505"/>
    <w:rsid w:val="00C23353"/>
    <w:rsid w:val="00C4067F"/>
    <w:rsid w:val="00C43821"/>
    <w:rsid w:val="00C70BA5"/>
    <w:rsid w:val="00CA55C5"/>
    <w:rsid w:val="00CE3D94"/>
    <w:rsid w:val="00CF18A9"/>
    <w:rsid w:val="00CF7BD6"/>
    <w:rsid w:val="00D3146C"/>
    <w:rsid w:val="00D36108"/>
    <w:rsid w:val="00D42E06"/>
    <w:rsid w:val="00D75FCF"/>
    <w:rsid w:val="00D76B61"/>
    <w:rsid w:val="00D77F04"/>
    <w:rsid w:val="00DA3314"/>
    <w:rsid w:val="00DD138C"/>
    <w:rsid w:val="00E175D9"/>
    <w:rsid w:val="00E2778D"/>
    <w:rsid w:val="00E341C9"/>
    <w:rsid w:val="00E36304"/>
    <w:rsid w:val="00E40D06"/>
    <w:rsid w:val="00E45723"/>
    <w:rsid w:val="00EA3B06"/>
    <w:rsid w:val="00EB741D"/>
    <w:rsid w:val="00EF2A43"/>
    <w:rsid w:val="00F01374"/>
    <w:rsid w:val="00F0278F"/>
    <w:rsid w:val="00F12673"/>
    <w:rsid w:val="00F162A5"/>
    <w:rsid w:val="00F32598"/>
    <w:rsid w:val="00F45963"/>
    <w:rsid w:val="00F5070F"/>
    <w:rsid w:val="00F52E32"/>
    <w:rsid w:val="00F91752"/>
    <w:rsid w:val="00FA14F4"/>
    <w:rsid w:val="00FA171E"/>
    <w:rsid w:val="00FA46A9"/>
    <w:rsid w:val="00FD7771"/>
  </w:rsids>
  <m:mathPr>
    <m:mathFont m:val="Cambria Math"/>
    <m:brkBin m:val="before"/>
    <m:brkBinSub m:val="--"/>
    <m:smallFrac m:val="0"/>
    <m:dispDef/>
    <m:lMargin m:val="0"/>
    <m:rMargin m:val="0"/>
    <m:defJc m:val="centerGroup"/>
    <m:wrapIndent m:val="1440"/>
    <m:intLim m:val="subSup"/>
    <m:naryLim m:val="undOvr"/>
  </m:mathPr>
  <w:themeFontLang w:val="hu-HU" w:eastAsia="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B3008"/>
  <w15:docId w15:val="{F7D8371B-BD72-4AC5-B59F-01FF0D9D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w:eastAsia="Nunito" w:hAnsi="Nunito" w:cs="Nunito"/>
        <w:color w:val="535353"/>
        <w:sz w:val="22"/>
        <w:szCs w:val="22"/>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jc w:val="both"/>
    </w:pPr>
    <w:rPr>
      <w:rFonts w:ascii="Aptos" w:hAnsi="Aptos"/>
      <w:color w:val="000000"/>
    </w:rPr>
  </w:style>
  <w:style w:type="paragraph" w:styleId="Heading1">
    <w:name w:val="heading 1"/>
    <w:basedOn w:val="normal1"/>
    <w:next w:val="normal1"/>
    <w:link w:val="Heading1Char1"/>
    <w:uiPriority w:val="9"/>
    <w:qFormat/>
    <w:pPr>
      <w:keepNext/>
      <w:keepLines/>
      <w:shd w:val="clear" w:color="auto" w:fill="D6F3F5"/>
      <w:spacing w:before="480" w:after="0"/>
      <w:jc w:val="left"/>
      <w:outlineLvl w:val="0"/>
    </w:pPr>
    <w:rPr>
      <w:b/>
      <w:color w:val="154949"/>
      <w:sz w:val="44"/>
      <w:szCs w:val="36"/>
    </w:rPr>
  </w:style>
  <w:style w:type="paragraph" w:styleId="Heading2">
    <w:name w:val="heading 2"/>
    <w:basedOn w:val="normal1"/>
    <w:next w:val="normal1"/>
    <w:link w:val="Heading2Char1"/>
    <w:uiPriority w:val="9"/>
    <w:unhideWhenUsed/>
    <w:qFormat/>
    <w:pPr>
      <w:keepNext/>
      <w:spacing w:before="200" w:after="0"/>
      <w:jc w:val="left"/>
      <w:outlineLvl w:val="1"/>
    </w:pPr>
    <w:rPr>
      <w:b/>
      <w:color w:val="3D8A7F"/>
      <w:sz w:val="28"/>
      <w:szCs w:val="32"/>
      <w:highlight w:val="white"/>
    </w:rPr>
  </w:style>
  <w:style w:type="paragraph" w:styleId="Heading3">
    <w:name w:val="heading 3"/>
    <w:basedOn w:val="normal1"/>
    <w:next w:val="normal1"/>
    <w:link w:val="Heading3Char1"/>
    <w:uiPriority w:val="9"/>
    <w:unhideWhenUsed/>
    <w:qFormat/>
    <w:pPr>
      <w:keepNext/>
      <w:spacing w:before="200" w:after="0"/>
      <w:ind w:left="284"/>
      <w:jc w:val="left"/>
      <w:outlineLvl w:val="2"/>
    </w:pPr>
    <w:rPr>
      <w:b/>
      <w:color w:val="3D8A7F"/>
      <w:sz w:val="24"/>
      <w:szCs w:val="28"/>
      <w:highlight w:val="white"/>
    </w:rPr>
  </w:style>
  <w:style w:type="paragraph" w:styleId="Heading4">
    <w:name w:val="heading 4"/>
    <w:basedOn w:val="normal1"/>
    <w:next w:val="normal1"/>
    <w:link w:val="Heading4Char1"/>
    <w:uiPriority w:val="9"/>
    <w:unhideWhenUsed/>
    <w:qFormat/>
    <w:pPr>
      <w:keepNext/>
      <w:keepLines/>
      <w:pBdr>
        <w:top w:val="single" w:sz="18" w:space="7" w:color="D6F3F5"/>
      </w:pBdr>
      <w:spacing w:before="173" w:after="86"/>
      <w:outlineLvl w:val="3"/>
    </w:pPr>
    <w:rPr>
      <w:szCs w:val="26"/>
    </w:rPr>
  </w:style>
  <w:style w:type="paragraph" w:styleId="Heading5">
    <w:name w:val="heading 5"/>
    <w:basedOn w:val="normal1"/>
    <w:next w:val="normal1"/>
    <w:link w:val="Heading5Char1"/>
    <w:uiPriority w:val="9"/>
    <w:unhideWhenUsed/>
    <w:qFormat/>
    <w:pPr>
      <w:keepNext/>
      <w:keepLines/>
      <w:spacing w:before="86" w:after="0"/>
      <w:outlineLvl w:val="4"/>
    </w:pPr>
    <w:rPr>
      <w:szCs w:val="24"/>
    </w:rPr>
  </w:style>
  <w:style w:type="paragraph" w:styleId="Heading6">
    <w:name w:val="heading 6"/>
    <w:basedOn w:val="normal1"/>
    <w:next w:val="normal1"/>
    <w:link w:val="Heading6Char"/>
    <w:uiPriority w:val="9"/>
    <w:unhideWhenUsed/>
    <w:qFormat/>
    <w:pPr>
      <w:keepNext/>
      <w:keepLines/>
      <w:spacing w:before="160" w:after="0"/>
      <w:outlineLvl w:val="5"/>
    </w:pPr>
    <w:rPr>
      <w:rFonts w:eastAsia="Trebuchet MS" w:cs="Trebuchet MS"/>
      <w:i/>
      <w:szCs w:val="1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Accent1">
    <w:name w:val="Grid Table 1 Light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DefaultParagraphFont"/>
    <w:uiPriority w:val="9"/>
    <w:rPr>
      <w:rFonts w:ascii="Arial" w:eastAsia="Arial" w:hAnsi="Arial" w:cs="Arial"/>
      <w:color w:val="0F4761" w:themeColor="accent1" w:themeShade="BF"/>
      <w:sz w:val="40"/>
      <w:szCs w:val="40"/>
    </w:rPr>
  </w:style>
  <w:style w:type="character" w:customStyle="1" w:styleId="Heading2Char">
    <w:name w:val="Heading 2 Char"/>
    <w:basedOn w:val="DefaultParagraphFont"/>
    <w:uiPriority w:val="9"/>
    <w:rPr>
      <w:rFonts w:ascii="Arial" w:eastAsia="Arial" w:hAnsi="Arial" w:cs="Arial"/>
      <w:color w:val="0F4761" w:themeColor="accent1" w:themeShade="BF"/>
      <w:sz w:val="32"/>
      <w:szCs w:val="32"/>
    </w:rPr>
  </w:style>
  <w:style w:type="character" w:customStyle="1" w:styleId="Heading3Char">
    <w:name w:val="Heading 3 Char"/>
    <w:basedOn w:val="DefaultParagraphFont"/>
    <w:uiPriority w:val="9"/>
    <w:rPr>
      <w:rFonts w:ascii="Arial" w:eastAsia="Arial" w:hAnsi="Arial" w:cs="Arial"/>
      <w:color w:val="0F476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0F4761" w:themeColor="accent1" w:themeShade="BF"/>
    </w:rPr>
  </w:style>
  <w:style w:type="character" w:customStyle="1" w:styleId="Heading5Char">
    <w:name w:val="Heading 5 Char"/>
    <w:basedOn w:val="DefaultParagraphFont"/>
    <w:uiPriority w:val="9"/>
    <w:rPr>
      <w:rFonts w:ascii="Arial" w:eastAsia="Arial" w:hAnsi="Arial" w:cs="Arial"/>
      <w:color w:val="0F4761" w:themeColor="accent1" w:themeShade="BF"/>
    </w:rPr>
  </w:style>
  <w:style w:type="character" w:customStyle="1" w:styleId="Heading6Char">
    <w:name w:val="Heading 6 Char"/>
    <w:basedOn w:val="DefaultParagraphFont"/>
    <w:link w:val="Heading6"/>
    <w:uiPriority w:val="9"/>
    <w:rPr>
      <w:rFonts w:ascii="Aptos" w:eastAsia="Trebuchet MS" w:hAnsi="Aptos" w:cs="Trebuchet MS"/>
      <w:i/>
      <w:color w:val="000000"/>
      <w:szCs w:val="1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0F476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6607D" w:themeColor="followedHyperlink"/>
      <w:u w:val="single"/>
    </w:rPr>
  </w:style>
  <w:style w:type="character" w:styleId="PlaceholderText">
    <w:name w:val="Placeholder Text"/>
    <w:basedOn w:val="DefaultParagraphFont"/>
    <w:uiPriority w:val="99"/>
    <w:semiHidden/>
    <w:rPr>
      <w:color w:val="666666"/>
    </w:rPr>
  </w:style>
  <w:style w:type="paragraph" w:styleId="TableofFigures">
    <w:name w:val="table of figures"/>
    <w:basedOn w:val="Normal"/>
    <w:next w:val="Normal"/>
    <w:uiPriority w:val="99"/>
    <w:unhideWhenUsed/>
    <w:pPr>
      <w:spacing w:after="0"/>
    </w:pPr>
  </w:style>
  <w:style w:type="character" w:customStyle="1" w:styleId="NumberingSymbols">
    <w:name w:val="Numbering Symbols"/>
    <w:qFormat/>
    <w:rPr>
      <w:rFonts w:ascii="Tahoma" w:hAnsi="Tahoma"/>
      <w:b w:val="0"/>
      <w:i w:val="0"/>
      <w:color w:val="000000" w:themeColor="text1"/>
      <w:sz w:val="22"/>
    </w:rPr>
  </w:style>
  <w:style w:type="character" w:customStyle="1" w:styleId="Heading5Char1">
    <w:name w:val="Heading 5 Char1"/>
    <w:basedOn w:val="DefaultParagraphFont"/>
    <w:link w:val="Heading5"/>
    <w:uiPriority w:val="9"/>
    <w:qFormat/>
    <w:rPr>
      <w:rFonts w:ascii="Aptos" w:hAnsi="Aptos"/>
      <w:color w:val="000000"/>
      <w:szCs w:val="24"/>
    </w:rPr>
  </w:style>
  <w:style w:type="character" w:styleId="Strong">
    <w:name w:val="Strong"/>
    <w:basedOn w:val="DefaultParagraphFont"/>
    <w:uiPriority w:val="22"/>
    <w:qFormat/>
    <w:rPr>
      <w:rFonts w:ascii="Aptos" w:hAnsi="Aptos"/>
      <w:b/>
      <w:bCs/>
      <w:sz w:val="22"/>
    </w:rPr>
  </w:style>
  <w:style w:type="character" w:customStyle="1" w:styleId="Heading1Char1">
    <w:name w:val="Heading 1 Char1"/>
    <w:basedOn w:val="DefaultParagraphFont"/>
    <w:link w:val="Heading1"/>
    <w:uiPriority w:val="9"/>
    <w:qFormat/>
    <w:rPr>
      <w:rFonts w:ascii="Aptos" w:hAnsi="Aptos"/>
      <w:b/>
      <w:color w:val="154949"/>
      <w:sz w:val="44"/>
      <w:szCs w:val="36"/>
      <w:shd w:val="clear" w:color="auto" w:fill="D6F3F5"/>
    </w:rPr>
  </w:style>
  <w:style w:type="character" w:customStyle="1" w:styleId="Heading2Char1">
    <w:name w:val="Heading 2 Char1"/>
    <w:basedOn w:val="DefaultParagraphFont"/>
    <w:link w:val="Heading2"/>
    <w:uiPriority w:val="9"/>
    <w:qFormat/>
    <w:rPr>
      <w:rFonts w:ascii="Aptos" w:hAnsi="Aptos"/>
      <w:b/>
      <w:color w:val="3D8A7F"/>
      <w:sz w:val="28"/>
      <w:szCs w:val="32"/>
      <w:highlight w:val="white"/>
    </w:rPr>
  </w:style>
  <w:style w:type="character" w:styleId="Hyperlink">
    <w:name w:val="Hyperlink"/>
    <w:basedOn w:val="DefaultParagraphFont"/>
    <w:uiPriority w:val="99"/>
    <w:unhideWhenUsed/>
    <w:rPr>
      <w:color w:val="0000FF"/>
      <w:u w:val="single"/>
    </w:rPr>
  </w:style>
  <w:style w:type="character" w:customStyle="1" w:styleId="Heading3Char1">
    <w:name w:val="Heading 3 Char1"/>
    <w:basedOn w:val="DefaultParagraphFont"/>
    <w:link w:val="Heading3"/>
    <w:uiPriority w:val="9"/>
    <w:qFormat/>
    <w:rPr>
      <w:rFonts w:ascii="Aptos" w:hAnsi="Aptos"/>
      <w:b/>
      <w:color w:val="3D8A7F"/>
      <w:sz w:val="24"/>
      <w:szCs w:val="28"/>
      <w:highlight w:val="white"/>
    </w:rPr>
  </w:style>
  <w:style w:type="character" w:customStyle="1" w:styleId="Heading4Char1">
    <w:name w:val="Heading 4 Char1"/>
    <w:basedOn w:val="DefaultParagraphFont"/>
    <w:link w:val="Heading4"/>
    <w:uiPriority w:val="9"/>
    <w:qFormat/>
    <w:rPr>
      <w:rFonts w:ascii="Aptos" w:hAnsi="Aptos"/>
      <w:color w:val="000000"/>
      <w:szCs w:val="26"/>
    </w:rPr>
  </w:style>
  <w:style w:type="character" w:customStyle="1" w:styleId="HeaderChar1">
    <w:name w:val="Header Char1"/>
    <w:basedOn w:val="DefaultParagraphFont"/>
    <w:link w:val="Header"/>
    <w:uiPriority w:val="99"/>
    <w:qFormat/>
    <w:rPr>
      <w:rFonts w:ascii="Tahoma" w:hAnsi="Tahoma" w:cs="Mangal"/>
      <w:color w:val="000000" w:themeColor="text1"/>
      <w:sz w:val="16"/>
      <w:szCs w:val="20"/>
    </w:rPr>
  </w:style>
  <w:style w:type="character" w:customStyle="1" w:styleId="FooterChar1">
    <w:name w:val="Footer Char1"/>
    <w:basedOn w:val="DefaultParagraphFont"/>
    <w:link w:val="Footer"/>
    <w:uiPriority w:val="99"/>
    <w:qFormat/>
    <w:rPr>
      <w:rFonts w:ascii="Tahoma" w:hAnsi="Tahoma" w:cs="Mangal"/>
      <w:color w:val="000000" w:themeColor="text1"/>
      <w:sz w:val="16"/>
      <w:szCs w:val="20"/>
    </w:rPr>
  </w:style>
  <w:style w:type="character" w:customStyle="1" w:styleId="BadgeChar">
    <w:name w:val="Badge Char"/>
    <w:basedOn w:val="DefaultParagraphFont"/>
    <w:link w:val="Badge"/>
    <w:qFormat/>
    <w:rPr>
      <w:rFonts w:ascii="Tahoma" w:hAnsi="Tahoma"/>
      <w:color w:val="000000" w:themeColor="text1"/>
      <w:sz w:val="16"/>
    </w:rPr>
  </w:style>
  <w:style w:type="character" w:customStyle="1" w:styleId="BadgeCharacter">
    <w:name w:val="Badge_Character"/>
    <w:basedOn w:val="DefaultParagraphFont"/>
    <w:uiPriority w:val="1"/>
    <w:qFormat/>
    <w:rPr>
      <w:rFonts w:ascii="Aptos" w:hAnsi="Aptos"/>
      <w:b/>
      <w:i w:val="0"/>
      <w:color w:val="000000" w:themeColor="text1"/>
      <w:spacing w:val="-4"/>
      <w:sz w:val="22"/>
    </w:rPr>
  </w:style>
  <w:style w:type="character" w:styleId="Emphasis">
    <w:name w:val="Emphasis"/>
    <w:basedOn w:val="DefaultParagraphFont"/>
    <w:uiPriority w:val="20"/>
    <w:qFormat/>
    <w:rPr>
      <w:rFonts w:ascii="Aptos" w:hAnsi="Aptos"/>
      <w:i/>
      <w:iCs/>
      <w:color w:val="000000" w:themeColor="text1"/>
      <w:sz w:val="22"/>
    </w:rPr>
  </w:style>
  <w:style w:type="character" w:styleId="SubtleEmphasis">
    <w:name w:val="Subtle Emphasis"/>
    <w:basedOn w:val="DefaultParagraphFont"/>
    <w:uiPriority w:val="19"/>
    <w:qFormat/>
    <w:rPr>
      <w:rFonts w:ascii="Tahoma" w:hAnsi="Tahoma"/>
      <w:i/>
      <w:iCs/>
      <w:color w:val="000000" w:themeColor="text1"/>
    </w:rPr>
  </w:style>
  <w:style w:type="character" w:styleId="IntenseEmphasis">
    <w:name w:val="Intense Emphasis"/>
    <w:basedOn w:val="DefaultParagraphFont"/>
    <w:uiPriority w:val="21"/>
    <w:qFormat/>
    <w:rPr>
      <w:rFonts w:ascii="Tahoma" w:hAnsi="Tahoma"/>
      <w:i/>
      <w:iCs/>
      <w:color w:val="000000" w:themeColor="text1"/>
      <w:sz w:val="22"/>
    </w:rPr>
  </w:style>
  <w:style w:type="character" w:customStyle="1" w:styleId="QuoteChar1">
    <w:name w:val="Quote Char1"/>
    <w:basedOn w:val="DefaultParagraphFont"/>
    <w:link w:val="Quote"/>
    <w:uiPriority w:val="29"/>
    <w:qFormat/>
    <w:rPr>
      <w:rFonts w:ascii="Tahoma" w:hAnsi="Tahoma" w:cs="Mangal"/>
      <w:i/>
      <w:iCs/>
      <w:color w:val="000000" w:themeColor="text1"/>
      <w:szCs w:val="20"/>
    </w:rPr>
  </w:style>
  <w:style w:type="character" w:customStyle="1" w:styleId="IntenseQuoteChar1">
    <w:name w:val="Intense Quote Char1"/>
    <w:basedOn w:val="DefaultParagraphFont"/>
    <w:link w:val="IntenseQuote"/>
    <w:uiPriority w:val="30"/>
    <w:qFormat/>
    <w:rPr>
      <w:rFonts w:ascii="Tahoma" w:hAnsi="Tahoma" w:cs="Mangal"/>
      <w:i/>
      <w:iCs/>
      <w:color w:val="000000" w:themeColor="text1"/>
      <w:szCs w:val="20"/>
    </w:rPr>
  </w:style>
  <w:style w:type="character" w:styleId="SubtleReference">
    <w:name w:val="Subtle Reference"/>
    <w:basedOn w:val="DefaultParagraphFont"/>
    <w:uiPriority w:val="31"/>
    <w:qFormat/>
    <w:rPr>
      <w:rFonts w:ascii="Tahoma" w:hAnsi="Tahoma"/>
      <w:smallCaps/>
      <w:color w:val="000000" w:themeColor="text1"/>
      <w:sz w:val="22"/>
    </w:rPr>
  </w:style>
  <w:style w:type="character" w:styleId="IntenseReference">
    <w:name w:val="Intense Reference"/>
    <w:basedOn w:val="DefaultParagraphFont"/>
    <w:uiPriority w:val="32"/>
    <w:qFormat/>
    <w:rPr>
      <w:rFonts w:ascii="Tahoma" w:hAnsi="Tahoma"/>
      <w:b/>
      <w:bCs/>
      <w:smallCaps/>
      <w:color w:val="000000" w:themeColor="text1"/>
      <w:spacing w:val="5"/>
      <w:sz w:val="22"/>
    </w:rPr>
  </w:style>
  <w:style w:type="character" w:styleId="BookTitle">
    <w:name w:val="Book Title"/>
    <w:basedOn w:val="DefaultParagraphFont"/>
    <w:uiPriority w:val="33"/>
    <w:qFormat/>
    <w:rPr>
      <w:rFonts w:ascii="Tahoma" w:hAnsi="Tahoma"/>
      <w:b/>
      <w:bCs/>
      <w:i/>
      <w:iCs/>
      <w:color w:val="000000" w:themeColor="text1"/>
      <w:spacing w:val="5"/>
      <w:sz w:val="22"/>
    </w:rPr>
  </w:style>
  <w:style w:type="character" w:customStyle="1" w:styleId="ValueSpacing">
    <w:name w:val="ValueSpacing"/>
    <w:qFormat/>
    <w:rPr>
      <w:rFonts w:ascii="Aptos" w:eastAsia="Nunito" w:hAnsi="Aptos" w:cs="Nunito"/>
      <w:b/>
      <w:color w:val="000000"/>
      <w:sz w:val="22"/>
      <w:szCs w:val="24"/>
      <w:lang w:val="hu-HU" w:eastAsia="hu-HU" w:bidi="ar-SA"/>
      <w14:textFill>
        <w14:solidFill>
          <w14:srgbClr w14:val="000000">
            <w14:alpha w14:val="75000"/>
          </w14:srgbClr>
        </w14:solidFill>
      </w14:textFill>
    </w:rPr>
  </w:style>
  <w:style w:type="paragraph" w:customStyle="1" w:styleId="Heading">
    <w:name w:val="Heading"/>
    <w:basedOn w:val="Normal"/>
    <w:next w:val="BodyText"/>
    <w:qFormat/>
    <w:pPr>
      <w:keepNext/>
      <w:spacing w:before="240" w:after="120"/>
    </w:pPr>
    <w:rPr>
      <w:rFonts w:eastAsia="Arial Unicode MS" w:cs="Arial Unicode MS"/>
      <w:sz w:val="28"/>
      <w:szCs w:val="28"/>
    </w:rPr>
  </w:style>
  <w:style w:type="paragraph" w:styleId="BodyText">
    <w:name w:val="Body Text"/>
    <w:basedOn w:val="Normal"/>
    <w:pPr>
      <w:spacing w:before="180" w:after="18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Cs w:val="24"/>
    </w:rPr>
  </w:style>
  <w:style w:type="paragraph" w:customStyle="1" w:styleId="Index">
    <w:name w:val="Index"/>
    <w:basedOn w:val="Normal"/>
    <w:qFormat/>
    <w:pPr>
      <w:suppressLineNumbers/>
    </w:pPr>
    <w:rPr>
      <w:rFonts w:cs="Arial Unicode MS"/>
    </w:rPr>
  </w:style>
  <w:style w:type="paragraph" w:customStyle="1" w:styleId="normal1">
    <w:name w:val="normal1"/>
    <w:qFormat/>
    <w:pPr>
      <w:spacing w:before="180" w:after="180"/>
      <w:jc w:val="both"/>
    </w:pPr>
    <w:rPr>
      <w:rFonts w:ascii="Aptos" w:hAnsi="Aptos"/>
      <w:color w:val="000000"/>
    </w:rPr>
  </w:style>
  <w:style w:type="paragraph" w:styleId="Title">
    <w:name w:val="Title"/>
    <w:basedOn w:val="normal1"/>
    <w:next w:val="normal1"/>
    <w:link w:val="TitleChar"/>
    <w:uiPriority w:val="10"/>
    <w:qFormat/>
    <w:pPr>
      <w:spacing w:before="320"/>
    </w:pPr>
    <w:rPr>
      <w:rFonts w:eastAsia="PT Sans Narrow" w:cs="PT Sans Narrow"/>
      <w:b/>
      <w:sz w:val="84"/>
      <w:szCs w:val="84"/>
    </w:rPr>
  </w:style>
  <w:style w:type="paragraph" w:styleId="Subtitle">
    <w:name w:val="Subtitle"/>
    <w:basedOn w:val="normal1"/>
    <w:next w:val="normal1"/>
    <w:link w:val="SubtitleChar"/>
    <w:uiPriority w:val="11"/>
    <w:qFormat/>
    <w:pPr>
      <w:spacing w:before="200"/>
    </w:pPr>
    <w:rPr>
      <w:rFonts w:eastAsia="PT Sans Narrow" w:cs="PT Sans Narrow"/>
      <w:sz w:val="28"/>
      <w:szCs w:val="28"/>
    </w:rPr>
  </w:style>
  <w:style w:type="paragraph" w:styleId="NormalWeb">
    <w:name w:val="Normal (Web)"/>
    <w:basedOn w:val="Normal"/>
    <w:uiPriority w:val="99"/>
    <w:unhideWhenUsed/>
    <w:qFormat/>
    <w:pPr>
      <w:spacing w:before="180" w:beforeAutospacing="1" w:after="180" w:afterAutospacing="1"/>
    </w:pPr>
    <w:rPr>
      <w:rFonts w:eastAsiaTheme="minorEastAsia" w:cs="Times New Roman"/>
      <w:szCs w:val="24"/>
    </w:rPr>
  </w:style>
  <w:style w:type="paragraph" w:customStyle="1" w:styleId="report-header">
    <w:name w:val="report-header"/>
    <w:basedOn w:val="Normal"/>
    <w:qFormat/>
    <w:pPr>
      <w:spacing w:beforeAutospacing="1" w:afterAutospacing="1"/>
    </w:pPr>
    <w:rPr>
      <w:rFonts w:eastAsiaTheme="minorEastAsia" w:cs="Times New Roman"/>
      <w:szCs w:val="24"/>
    </w:rPr>
  </w:style>
  <w:style w:type="paragraph" w:customStyle="1" w:styleId="HeaderandFooter">
    <w:name w:val="Header and Footer"/>
    <w:basedOn w:val="Normal"/>
    <w:qFormat/>
  </w:style>
  <w:style w:type="paragraph" w:styleId="Header">
    <w:name w:val="header"/>
    <w:basedOn w:val="Normal"/>
    <w:link w:val="HeaderChar1"/>
    <w:uiPriority w:val="99"/>
    <w:unhideWhenUsed/>
    <w:pPr>
      <w:tabs>
        <w:tab w:val="center" w:pos="4513"/>
        <w:tab w:val="right" w:pos="9026"/>
      </w:tabs>
      <w:spacing w:after="0"/>
    </w:pPr>
    <w:rPr>
      <w:rFonts w:cs="Mangal"/>
      <w:szCs w:val="20"/>
    </w:rPr>
  </w:style>
  <w:style w:type="paragraph" w:styleId="Footer">
    <w:name w:val="footer"/>
    <w:basedOn w:val="Normal"/>
    <w:link w:val="FooterChar1"/>
    <w:uiPriority w:val="99"/>
    <w:unhideWhenUsed/>
    <w:pPr>
      <w:tabs>
        <w:tab w:val="center" w:pos="4513"/>
        <w:tab w:val="right" w:pos="9026"/>
      </w:tabs>
      <w:spacing w:after="0"/>
    </w:pPr>
    <w:rPr>
      <w:rFonts w:cs="Mangal"/>
      <w:szCs w:val="20"/>
    </w:rPr>
  </w:style>
  <w:style w:type="paragraph" w:customStyle="1" w:styleId="Badge">
    <w:name w:val="Badge"/>
    <w:basedOn w:val="Normal"/>
    <w:link w:val="BadgeChar"/>
    <w:qFormat/>
    <w:pPr>
      <w:pBdr>
        <w:top w:val="single" w:sz="2" w:space="1" w:color="000000"/>
        <w:left w:val="single" w:sz="2" w:space="4" w:color="000000"/>
        <w:bottom w:val="single" w:sz="2" w:space="1" w:color="000000"/>
        <w:right w:val="single" w:sz="2" w:space="4" w:color="000000"/>
      </w:pBdr>
      <w:spacing w:after="0"/>
      <w:ind w:left="113" w:right="113"/>
      <w:jc w:val="center"/>
    </w:pPr>
  </w:style>
  <w:style w:type="paragraph" w:customStyle="1" w:styleId="BadgeMaterial">
    <w:name w:val="BadgeMaterial"/>
    <w:basedOn w:val="Badge"/>
    <w:qFormat/>
    <w:pPr>
      <w:pBdr>
        <w:top w:val="single" w:sz="2" w:space="1" w:color="B8E7D4"/>
        <w:left w:val="single" w:sz="2" w:space="4" w:color="B8E7D4"/>
        <w:bottom w:val="single" w:sz="2" w:space="1" w:color="B8E7D4"/>
        <w:right w:val="single" w:sz="2" w:space="4" w:color="B8E7D4"/>
      </w:pBdr>
      <w:shd w:val="clear" w:color="auto" w:fill="B8E7D4"/>
    </w:pPr>
  </w:style>
  <w:style w:type="paragraph" w:customStyle="1" w:styleId="Error">
    <w:name w:val="Error"/>
    <w:basedOn w:val="Normal"/>
    <w:qFormat/>
    <w:pPr>
      <w:shd w:val="clear" w:color="auto" w:fill="FB777A"/>
      <w:spacing w:before="120" w:after="120"/>
      <w:jc w:val="center"/>
    </w:pPr>
    <w:rPr>
      <w:color w:val="FFFFFF" w:themeColor="background1"/>
      <w:sz w:val="15"/>
    </w:rPr>
  </w:style>
  <w:style w:type="paragraph" w:customStyle="1" w:styleId="Coverintro">
    <w:name w:val="Cover: intro"/>
    <w:basedOn w:val="Normal"/>
    <w:qFormat/>
    <w:pPr>
      <w:spacing w:before="720"/>
    </w:pPr>
    <w:rPr>
      <w:bCs/>
      <w:caps/>
      <w:color w:val="808080" w:themeColor="background1" w:themeShade="80"/>
      <w:sz w:val="28"/>
      <w:szCs w:val="42"/>
      <w:shd w:val="clear" w:color="auto" w:fill="FFFFFF"/>
    </w:rPr>
  </w:style>
  <w:style w:type="paragraph" w:customStyle="1" w:styleId="Covercompany">
    <w:name w:val="Cover: company"/>
    <w:basedOn w:val="Normal"/>
    <w:qFormat/>
    <w:rPr>
      <w:b/>
      <w:bCs/>
      <w:sz w:val="40"/>
      <w:szCs w:val="84"/>
      <w:shd w:val="clear" w:color="auto" w:fill="FFFFFF"/>
    </w:rPr>
  </w:style>
  <w:style w:type="paragraph" w:customStyle="1" w:styleId="Coverreport">
    <w:name w:val="Cover: report"/>
    <w:basedOn w:val="Covercompany"/>
    <w:qFormat/>
    <w:rPr>
      <w:sz w:val="72"/>
    </w:rPr>
  </w:style>
  <w:style w:type="paragraph" w:customStyle="1" w:styleId="Coveryear">
    <w:name w:val="Cover: year"/>
    <w:basedOn w:val="Normal"/>
    <w:qFormat/>
    <w:rPr>
      <w:bCs/>
      <w:sz w:val="44"/>
      <w:szCs w:val="84"/>
      <w:shd w:val="clear" w:color="auto" w:fill="FFFFFF"/>
    </w:rPr>
  </w:style>
  <w:style w:type="paragraph" w:styleId="NoSpacing">
    <w:name w:val="No Spacing"/>
    <w:uiPriority w:val="1"/>
    <w:qFormat/>
    <w:rPr>
      <w:rFonts w:ascii="Tahoma" w:hAnsi="Tahoma" w:cs="Mangal"/>
      <w:color w:val="000000" w:themeColor="text1"/>
      <w:szCs w:val="20"/>
    </w:rPr>
  </w:style>
  <w:style w:type="paragraph" w:styleId="Quote">
    <w:name w:val="Quote"/>
    <w:basedOn w:val="Normal"/>
    <w:next w:val="Normal"/>
    <w:link w:val="QuoteChar1"/>
    <w:uiPriority w:val="29"/>
    <w:qFormat/>
    <w:pPr>
      <w:spacing w:before="200" w:after="160"/>
      <w:ind w:left="864" w:right="864"/>
      <w:jc w:val="center"/>
    </w:pPr>
    <w:rPr>
      <w:rFonts w:cs="Mangal"/>
      <w:i/>
      <w:iCs/>
      <w:szCs w:val="20"/>
    </w:rPr>
  </w:style>
  <w:style w:type="paragraph" w:styleId="IntenseQuote">
    <w:name w:val="Intense Quote"/>
    <w:basedOn w:val="Normal"/>
    <w:next w:val="Normal"/>
    <w:link w:val="IntenseQuoteChar1"/>
    <w:uiPriority w:val="30"/>
    <w:qFormat/>
    <w:pPr>
      <w:pBdr>
        <w:top w:val="single" w:sz="4" w:space="10" w:color="156082" w:themeColor="accent1"/>
        <w:bottom w:val="single" w:sz="4" w:space="10" w:color="156082" w:themeColor="accent1"/>
      </w:pBdr>
      <w:spacing w:before="360" w:after="360"/>
      <w:ind w:left="864" w:right="864"/>
      <w:jc w:val="center"/>
    </w:pPr>
    <w:rPr>
      <w:rFonts w:cs="Mangal"/>
      <w:i/>
      <w:iCs/>
      <w:szCs w:val="20"/>
    </w:rPr>
  </w:style>
  <w:style w:type="paragraph" w:customStyle="1" w:styleId="TableCell">
    <w:name w:val="TableCell"/>
    <w:basedOn w:val="Normal"/>
    <w:qFormat/>
    <w:pPr>
      <w:spacing w:after="0"/>
      <w:jc w:val="center"/>
    </w:pPr>
  </w:style>
  <w:style w:type="paragraph" w:customStyle="1" w:styleId="TableContents">
    <w:name w:val="Table Contents"/>
    <w:basedOn w:val="Normal"/>
    <w:qFormat/>
    <w:pPr>
      <w:suppressLineNumbers/>
      <w:spacing w:after="0"/>
    </w:pPr>
  </w:style>
  <w:style w:type="paragraph" w:customStyle="1" w:styleId="TableHeading">
    <w:name w:val="Table Heading"/>
    <w:basedOn w:val="TableContents"/>
    <w:qFormat/>
    <w:pPr>
      <w:jc w:val="center"/>
    </w:pPr>
    <w:rPr>
      <w:b/>
      <w:bCs/>
    </w:rPr>
  </w:style>
  <w:style w:type="paragraph" w:customStyle="1" w:styleId="CompanyHeading">
    <w:name w:val="Company Heading"/>
    <w:basedOn w:val="Heading5"/>
    <w:qFormat/>
    <w:pPr>
      <w:pBdr>
        <w:left w:val="single" w:sz="72" w:space="12" w:color="F10D0C"/>
      </w:pBdr>
    </w:pPr>
  </w:style>
  <w:style w:type="numbering" w:customStyle="1" w:styleId="Bulletuser">
    <w:name w:val="Bullet ✗ (user)"/>
    <w:qFormat/>
  </w:style>
  <w:style w:type="character" w:customStyle="1" w:styleId="Cmsor3Char">
    <w:name w:val="Címsor 3 Char"/>
    <w:basedOn w:val="DefaultParagraphFont"/>
    <w:uiPriority w:val="9"/>
    <w:semiHidden/>
    <w:rPr>
      <w:rFonts w:asciiTheme="minorHAnsi" w:eastAsiaTheme="majorEastAsia" w:hAnsiTheme="minorHAnsi" w:cstheme="majorBidi"/>
      <w:color w:val="0F4761" w:themeColor="accent1" w:themeShade="BF"/>
      <w:sz w:val="28"/>
      <w:szCs w:val="28"/>
    </w:rPr>
  </w:style>
  <w:style w:type="paragraph" w:styleId="z-TopofForm">
    <w:name w:val="HTML Top of Form"/>
    <w:basedOn w:val="Normal"/>
    <w:next w:val="Normal"/>
    <w:link w:val="z-TopofFormChar"/>
    <w:hidden/>
    <w:uiPriority w:val="99"/>
    <w:semiHidden/>
    <w:unhideWhenUsed/>
    <w:pPr>
      <w:pBdr>
        <w:bottom w:val="single" w:sz="6" w:space="1" w:color="000000"/>
      </w:pBdr>
      <w:spacing w:after="0"/>
      <w:jc w:val="center"/>
    </w:pPr>
    <w:rPr>
      <w:rFonts w:ascii="Arial" w:eastAsiaTheme="minorEastAsia" w:hAnsi="Arial" w:cs="Arial"/>
      <w:vanish/>
      <w:color w:val="auto"/>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color w:val="auto"/>
      <w:sz w:val="16"/>
      <w:szCs w:val="16"/>
      <w:lang w:val="hu-HU" w:eastAsia="hu-HU" w:bidi="ar-SA"/>
    </w:rPr>
  </w:style>
  <w:style w:type="paragraph" w:styleId="z-BottomofForm">
    <w:name w:val="HTML Bottom of Form"/>
    <w:basedOn w:val="Normal"/>
    <w:next w:val="Normal"/>
    <w:link w:val="z-BottomofFormChar"/>
    <w:hidden/>
    <w:uiPriority w:val="99"/>
    <w:semiHidden/>
    <w:unhideWhenUsed/>
    <w:pPr>
      <w:pBdr>
        <w:top w:val="single" w:sz="6" w:space="1" w:color="000000"/>
      </w:pBdr>
      <w:spacing w:after="0"/>
      <w:jc w:val="center"/>
    </w:pPr>
    <w:rPr>
      <w:rFonts w:ascii="Arial" w:eastAsiaTheme="minorEastAsia" w:hAnsi="Arial" w:cs="Arial"/>
      <w:vanish/>
      <w:color w:val="auto"/>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color w:val="auto"/>
      <w:sz w:val="16"/>
      <w:szCs w:val="16"/>
      <w:lang w:val="hu-HU" w:eastAsia="hu-HU" w:bidi="ar-SA"/>
    </w:rPr>
  </w:style>
  <w:style w:type="paragraph" w:styleId="ListParagraph">
    <w:name w:val="List Paragraph"/>
    <w:basedOn w:val="Normal"/>
    <w:uiPriority w:val="34"/>
    <w:qFormat/>
    <w:pPr>
      <w:ind w:left="720"/>
    </w:pPr>
    <w:rPr>
      <w:rFonts w:cs="Mangal"/>
    </w:rPr>
  </w:style>
  <w:style w:type="paragraph" w:styleId="TOCHeading">
    <w:name w:val="TOC Heading"/>
    <w:basedOn w:val="Heading1"/>
    <w:next w:val="Normal"/>
    <w:uiPriority w:val="39"/>
    <w:unhideWhenUsed/>
    <w:qFormat/>
    <w:pPr>
      <w:shd w:val="clear" w:color="auto" w:fill="auto"/>
      <w:spacing w:before="240" w:line="259" w:lineRule="auto"/>
      <w:outlineLvl w:val="9"/>
    </w:pPr>
    <w:rPr>
      <w:rFonts w:asciiTheme="majorHAnsi" w:eastAsiaTheme="majorEastAsia" w:hAnsiTheme="majorHAnsi" w:cstheme="majorBidi"/>
      <w:color w:val="0F4761" w:themeColor="accent1" w:themeShade="BF"/>
      <w:szCs w:val="32"/>
    </w:rPr>
  </w:style>
  <w:style w:type="paragraph" w:styleId="TOC1">
    <w:name w:val="toc 1"/>
    <w:basedOn w:val="Normal"/>
    <w:next w:val="Normal"/>
    <w:uiPriority w:val="39"/>
    <w:unhideWhenUsed/>
    <w:pPr>
      <w:tabs>
        <w:tab w:val="right" w:leader="dot" w:pos="9629"/>
      </w:tabs>
      <w:spacing w:after="100"/>
      <w:jc w:val="left"/>
    </w:pPr>
    <w:rPr>
      <w:rFonts w:cs="Mangal"/>
      <w:bCs/>
      <w:sz w:val="24"/>
      <w:szCs w:val="24"/>
    </w:rPr>
  </w:style>
  <w:style w:type="paragraph" w:styleId="TOC2">
    <w:name w:val="toc 2"/>
    <w:basedOn w:val="Normal"/>
    <w:next w:val="Normal"/>
    <w:uiPriority w:val="39"/>
    <w:unhideWhenUsed/>
    <w:pPr>
      <w:tabs>
        <w:tab w:val="right" w:leader="dot" w:pos="9629"/>
      </w:tabs>
      <w:spacing w:after="100"/>
      <w:ind w:left="240"/>
      <w:jc w:val="left"/>
    </w:pPr>
    <w:rPr>
      <w:rFonts w:cs="Mangal"/>
      <w:sz w:val="24"/>
    </w:rPr>
  </w:style>
  <w:style w:type="paragraph" w:styleId="TOC3">
    <w:name w:val="toc 3"/>
    <w:basedOn w:val="Normal"/>
    <w:next w:val="Normal"/>
    <w:uiPriority w:val="39"/>
    <w:unhideWhenUsed/>
    <w:pPr>
      <w:spacing w:after="100"/>
      <w:ind w:left="480"/>
      <w:jc w:val="left"/>
    </w:pPr>
    <w:rPr>
      <w:rFonts w:cs="Mangal"/>
      <w:sz w:val="24"/>
    </w:rPr>
  </w:style>
  <w:style w:type="paragraph" w:customStyle="1" w:styleId="ng-star-inserted">
    <w:name w:val="ng-star-inserted"/>
    <w:basedOn w:val="Normal"/>
    <w:pPr>
      <w:spacing w:before="100" w:beforeAutospacing="1" w:afterAutospacing="1"/>
    </w:pPr>
    <w:rPr>
      <w:rFonts w:ascii="Times New Roman" w:eastAsia="Times New Roman" w:hAnsi="Times New Roman" w:cs="Times New Roman"/>
      <w:color w:val="auto"/>
      <w:sz w:val="24"/>
      <w:szCs w:val="24"/>
    </w:rPr>
  </w:style>
  <w:style w:type="character" w:customStyle="1" w:styleId="CommentReference1">
    <w:name w:val="Comment Reference1"/>
    <w:basedOn w:val="DefaultParagraphFont"/>
    <w:uiPriority w:val="99"/>
    <w:semiHidden/>
    <w:unhideWhenUsed/>
    <w:rPr>
      <w:sz w:val="16"/>
      <w:szCs w:val="16"/>
    </w:rPr>
  </w:style>
  <w:style w:type="paragraph" w:customStyle="1" w:styleId="CommentText1">
    <w:name w:val="Comment Text1"/>
    <w:basedOn w:val="Normal"/>
    <w:link w:val="CommentTextChar"/>
    <w:uiPriority w:val="99"/>
    <w:unhideWhenUsed/>
    <w:rPr>
      <w:rFonts w:cs="Mangal"/>
      <w:sz w:val="20"/>
      <w:szCs w:val="18"/>
    </w:rPr>
  </w:style>
  <w:style w:type="character" w:customStyle="1" w:styleId="CommentTextChar">
    <w:name w:val="Comment Text Char"/>
    <w:basedOn w:val="DefaultParagraphFont"/>
    <w:link w:val="CommentText1"/>
    <w:uiPriority w:val="99"/>
    <w:rPr>
      <w:rFonts w:ascii="Tahoma" w:hAnsi="Tahoma" w:cs="Mangal"/>
      <w:color w:val="000000" w:themeColor="text1"/>
      <w:sz w:val="20"/>
      <w:szCs w:val="18"/>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Tahoma" w:hAnsi="Tahoma" w:cs="Mangal"/>
      <w:b/>
      <w:bCs/>
      <w:color w:val="000000" w:themeColor="text1"/>
      <w:sz w:val="20"/>
      <w:szCs w:val="18"/>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Pr>
      <w:color w:val="2B579A"/>
      <w:shd w:val="clear" w:color="auto" w:fill="E1DFDD"/>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paragraph" w:styleId="ListNumber2">
    <w:name w:val="List Number 2"/>
    <w:basedOn w:val="Normal"/>
    <w:uiPriority w:val="99"/>
    <w:semiHidden/>
    <w:unhideWhenUsed/>
    <w:pPr>
      <w:numPr>
        <w:numId w:val="7"/>
      </w:numPr>
      <w:contextualSpacing/>
    </w:pPr>
    <w:rPr>
      <w:rFonts w:cs="Mangal"/>
    </w:rPr>
  </w:style>
  <w:style w:type="paragraph" w:styleId="Revision">
    <w:name w:val="Revision"/>
    <w:hidden/>
    <w:uiPriority w:val="99"/>
    <w:semiHidden/>
    <w:rPr>
      <w:rFonts w:ascii="Tahoma" w:hAnsi="Tahoma" w:cs="Mangal"/>
      <w:color w:val="000000" w:themeColor="text1"/>
      <w:sz w:val="16"/>
    </w:rPr>
  </w:style>
  <w:style w:type="character" w:styleId="UnresolvedMention">
    <w:name w:val="Unresolved Mention"/>
    <w:basedOn w:val="DefaultParagraphFont"/>
    <w:uiPriority w:val="99"/>
    <w:semiHidden/>
    <w:unhideWhenUsed/>
    <w:rPr>
      <w:color w:val="605E5C"/>
      <w:shd w:val="clear" w:color="auto" w:fill="E1DFDD"/>
    </w:rPr>
  </w:style>
  <w:style w:type="paragraph" w:styleId="CommentText">
    <w:name w:val="annotation text"/>
    <w:basedOn w:val="Normal"/>
    <w:link w:val="CommentTextChar2"/>
    <w:uiPriority w:val="99"/>
    <w:unhideWhenUsed/>
    <w:rPr>
      <w:rFonts w:cs="Mangal"/>
      <w:sz w:val="20"/>
      <w:szCs w:val="18"/>
    </w:rPr>
  </w:style>
  <w:style w:type="character" w:customStyle="1" w:styleId="CommentTextChar2">
    <w:name w:val="Comment Text Char2"/>
    <w:basedOn w:val="DefaultParagraphFont"/>
    <w:link w:val="CommentText"/>
    <w:uiPriority w:val="99"/>
    <w:rPr>
      <w:rFonts w:ascii="Tahoma" w:hAnsi="Tahoma" w:cs="Mangal"/>
      <w:color w:val="000000" w:themeColor="text1"/>
      <w:sz w:val="20"/>
      <w:szCs w:val="18"/>
      <w:lang w:val="hu-HU" w:eastAsia="hu-HU" w:bidi="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2"/>
    <w:uiPriority w:val="99"/>
    <w:semiHidden/>
    <w:unhideWhenUsed/>
    <w:rPr>
      <w:b/>
      <w:bCs/>
    </w:rPr>
  </w:style>
  <w:style w:type="character" w:customStyle="1" w:styleId="CommentSubjectChar2">
    <w:name w:val="Comment Subject Char2"/>
    <w:basedOn w:val="CommentTextChar2"/>
    <w:link w:val="CommentSubject"/>
    <w:uiPriority w:val="99"/>
    <w:semiHidden/>
    <w:rPr>
      <w:rFonts w:ascii="Tahoma" w:hAnsi="Tahoma" w:cs="Mangal"/>
      <w:b/>
      <w:bCs/>
      <w:color w:val="000000" w:themeColor="text1"/>
      <w:sz w:val="20"/>
      <w:szCs w:val="18"/>
      <w:lang w:val="hu-HU" w:eastAsia="hu-HU" w:bidi="ar-SA"/>
    </w:rPr>
  </w:style>
  <w:style w:type="paragraph" w:styleId="TOC4">
    <w:name w:val="toc 4"/>
    <w:basedOn w:val="Normal"/>
    <w:next w:val="Normal"/>
    <w:uiPriority w:val="39"/>
    <w:unhideWhenUsed/>
    <w:pPr>
      <w:tabs>
        <w:tab w:val="right" w:leader="dot" w:pos="9629"/>
      </w:tabs>
      <w:spacing w:after="100"/>
      <w:ind w:left="720"/>
      <w:jc w:val="left"/>
    </w:pPr>
    <w:rPr>
      <w:rFonts w:cs="Mangal"/>
      <w:i/>
      <w:sz w:val="24"/>
    </w:rPr>
  </w:style>
  <w:style w:type="paragraph" w:styleId="TOC5">
    <w:name w:val="toc 5"/>
    <w:basedOn w:val="Normal"/>
    <w:next w:val="Normal"/>
    <w:uiPriority w:val="39"/>
    <w:unhideWhenUsed/>
    <w:pPr>
      <w:spacing w:line="278" w:lineRule="auto"/>
      <w:ind w:left="960"/>
    </w:pPr>
    <w:rPr>
      <w:rFonts w:asciiTheme="minorHAnsi" w:eastAsiaTheme="minorEastAsia" w:hAnsiTheme="minorHAnsi" w:cstheme="minorBidi"/>
      <w:color w:val="auto"/>
      <w:sz w:val="24"/>
      <w:szCs w:val="24"/>
      <w14:ligatures w14:val="standardContextual"/>
    </w:rPr>
  </w:style>
  <w:style w:type="paragraph" w:styleId="TOC6">
    <w:name w:val="toc 6"/>
    <w:basedOn w:val="Normal"/>
    <w:next w:val="Normal"/>
    <w:uiPriority w:val="39"/>
    <w:unhideWhenUsed/>
    <w:pPr>
      <w:spacing w:line="278" w:lineRule="auto"/>
      <w:ind w:left="1200"/>
    </w:pPr>
    <w:rPr>
      <w:rFonts w:asciiTheme="minorHAnsi" w:eastAsiaTheme="minorEastAsia" w:hAnsiTheme="minorHAnsi" w:cstheme="minorBidi"/>
      <w:color w:val="auto"/>
      <w:sz w:val="24"/>
      <w:szCs w:val="24"/>
      <w14:ligatures w14:val="standardContextual"/>
    </w:rPr>
  </w:style>
  <w:style w:type="paragraph" w:styleId="TOC7">
    <w:name w:val="toc 7"/>
    <w:basedOn w:val="Normal"/>
    <w:next w:val="Normal"/>
    <w:uiPriority w:val="39"/>
    <w:unhideWhenUsed/>
    <w:pPr>
      <w:spacing w:line="278" w:lineRule="auto"/>
      <w:ind w:left="1440"/>
    </w:pPr>
    <w:rPr>
      <w:rFonts w:asciiTheme="minorHAnsi" w:eastAsiaTheme="minorEastAsia" w:hAnsiTheme="minorHAnsi" w:cstheme="minorBidi"/>
      <w:color w:val="auto"/>
      <w:sz w:val="24"/>
      <w:szCs w:val="24"/>
      <w14:ligatures w14:val="standardContextual"/>
    </w:rPr>
  </w:style>
  <w:style w:type="paragraph" w:styleId="TOC8">
    <w:name w:val="toc 8"/>
    <w:basedOn w:val="Normal"/>
    <w:next w:val="Normal"/>
    <w:uiPriority w:val="39"/>
    <w:unhideWhenUsed/>
    <w:pPr>
      <w:spacing w:line="278" w:lineRule="auto"/>
      <w:ind w:left="1680"/>
    </w:pPr>
    <w:rPr>
      <w:rFonts w:asciiTheme="minorHAnsi" w:eastAsiaTheme="minorEastAsia" w:hAnsiTheme="minorHAnsi" w:cstheme="minorBidi"/>
      <w:color w:val="auto"/>
      <w:sz w:val="24"/>
      <w:szCs w:val="24"/>
      <w14:ligatures w14:val="standardContextual"/>
    </w:rPr>
  </w:style>
  <w:style w:type="paragraph" w:styleId="TOC9">
    <w:name w:val="toc 9"/>
    <w:basedOn w:val="Normal"/>
    <w:next w:val="Normal"/>
    <w:uiPriority w:val="39"/>
    <w:unhideWhenUsed/>
    <w:pPr>
      <w:spacing w:line="278" w:lineRule="auto"/>
      <w:ind w:left="1920"/>
    </w:pPr>
    <w:rPr>
      <w:rFonts w:asciiTheme="minorHAnsi" w:eastAsiaTheme="minorEastAsia" w:hAnsiTheme="minorHAnsi" w:cstheme="minorBidi"/>
      <w:color w:val="auto"/>
      <w:sz w:val="24"/>
      <w:szCs w:val="24"/>
      <w14:ligatures w14:val="standardContextual"/>
    </w:rPr>
  </w:style>
  <w:style w:type="paragraph" w:customStyle="1" w:styleId="CommentText2">
    <w:name w:val="Comment Text2"/>
    <w:basedOn w:val="Normal"/>
    <w:link w:val="CommentTextChar1"/>
    <w:uiPriority w:val="99"/>
    <w:unhideWhenUsed/>
    <w:rPr>
      <w:rFonts w:cs="Mangal"/>
      <w:sz w:val="20"/>
      <w:szCs w:val="18"/>
    </w:rPr>
  </w:style>
  <w:style w:type="character" w:customStyle="1" w:styleId="CommentTextChar1">
    <w:name w:val="Comment Text Char1"/>
    <w:basedOn w:val="DefaultParagraphFont"/>
    <w:link w:val="CommentText2"/>
    <w:uiPriority w:val="99"/>
    <w:rPr>
      <w:rFonts w:ascii="Tahoma" w:hAnsi="Tahoma" w:cs="Mangal"/>
      <w:color w:val="000000" w:themeColor="text1"/>
      <w:sz w:val="20"/>
      <w:szCs w:val="18"/>
      <w:lang w:val="hu-HU" w:eastAsia="hu-HU" w:bidi="ar-SA"/>
    </w:rPr>
  </w:style>
  <w:style w:type="character" w:customStyle="1" w:styleId="CommentReference2">
    <w:name w:val="Comment Reference2"/>
    <w:basedOn w:val="DefaultParagraphFont"/>
    <w:uiPriority w:val="99"/>
    <w:semiHidden/>
    <w:unhideWhenUsed/>
    <w:rPr>
      <w:sz w:val="16"/>
      <w:szCs w:val="16"/>
    </w:rPr>
  </w:style>
  <w:style w:type="paragraph" w:customStyle="1" w:styleId="CommentSubject2">
    <w:name w:val="Comment Subject2"/>
    <w:basedOn w:val="CommentText2"/>
    <w:next w:val="CommentText2"/>
    <w:link w:val="CommentSubjectChar1"/>
    <w:uiPriority w:val="99"/>
    <w:semiHidden/>
    <w:unhideWhenUsed/>
    <w:rPr>
      <w:b/>
      <w:bCs/>
    </w:rPr>
  </w:style>
  <w:style w:type="character" w:customStyle="1" w:styleId="CommentSubjectChar1">
    <w:name w:val="Comment Subject Char1"/>
    <w:basedOn w:val="CommentTextChar1"/>
    <w:link w:val="CommentSubject2"/>
    <w:uiPriority w:val="99"/>
    <w:semiHidden/>
    <w:rPr>
      <w:rFonts w:ascii="Tahoma" w:hAnsi="Tahoma" w:cs="Mangal"/>
      <w:b/>
      <w:bCs/>
      <w:color w:val="000000" w:themeColor="text1"/>
      <w:sz w:val="20"/>
      <w:szCs w:val="18"/>
      <w:lang w:val="hu-HU" w:eastAsia="hu-HU" w:bidi="ar-SA"/>
    </w:rPr>
  </w:style>
  <w:style w:type="paragraph" w:customStyle="1" w:styleId="Stlus2">
    <w:name w:val="Stílus2"/>
    <w:basedOn w:val="Normal"/>
    <w:link w:val="Stlus2Char"/>
    <w:rsid w:val="00EA3B06"/>
    <w:pPr>
      <w:keepNext/>
      <w:spacing w:before="480" w:after="0"/>
      <w:jc w:val="left"/>
      <w:outlineLvl w:val="0"/>
    </w:pPr>
    <w:rPr>
      <w:b/>
      <w:color w:val="154949"/>
      <w:sz w:val="36"/>
    </w:rPr>
  </w:style>
  <w:style w:type="character" w:customStyle="1" w:styleId="Stlus2Char">
    <w:name w:val="Stílus2 Char"/>
    <w:basedOn w:val="DefaultParagraphFont"/>
    <w:link w:val="Stlus2"/>
    <w:rsid w:val="00EA3B06"/>
    <w:rPr>
      <w:rFonts w:ascii="Aptos" w:hAnsi="Aptos"/>
      <w:b/>
      <w:color w:val="154949"/>
      <w:sz w:val="36"/>
      <w:lang w:val="hu-HU" w:eastAsia="hu-HU" w:bidi="ar-SA"/>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000000"/>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wo.whisly.io/reporting/main-page%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servicedesk.bnref.hu/plugins/servlet/des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plusn.whisly.io/reporting/main-page"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636459-cb6f-4aae-ab39-1edc9400a76d">
      <Terms xmlns="http://schemas.microsoft.com/office/infopath/2007/PartnerControls"/>
    </lcf76f155ced4ddcb4097134ff3c332f>
    <TaxCatchAll xmlns="120b2ef3-ac2e-4ba7-9999-390ec55e0f4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AD47EE6162BD41A8FDF41167CF68D3" ma:contentTypeVersion="18" ma:contentTypeDescription="Create a new document." ma:contentTypeScope="" ma:versionID="bad580286e4ff862eb88dbea7a0921ab">
  <xsd:schema xmlns:xsd="http://www.w3.org/2001/XMLSchema" xmlns:xs="http://www.w3.org/2001/XMLSchema" xmlns:p="http://schemas.microsoft.com/office/2006/metadata/properties" xmlns:ns2="dc636459-cb6f-4aae-ab39-1edc9400a76d" xmlns:ns3="120b2ef3-ac2e-4ba7-9999-390ec55e0f45" targetNamespace="http://schemas.microsoft.com/office/2006/metadata/properties" ma:root="true" ma:fieldsID="e5c3f848f09c08d513d2a6f46398583f" ns2:_="" ns3:_="">
    <xsd:import namespace="dc636459-cb6f-4aae-ab39-1edc9400a76d"/>
    <xsd:import namespace="120b2ef3-ac2e-4ba7-9999-390ec55e0f4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36459-cb6f-4aae-ab39-1edc9400a7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b2ef3-ac2e-4ba7-9999-390ec55e0f4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cb2794e-db73-43cc-bce0-213c0b28cb35}" ma:internalName="TaxCatchAll" ma:showField="CatchAllData" ma:web="120b2ef3-ac2e-4ba7-9999-390ec55e0f4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FB2B1-2C75-4B14-AE14-E19729E71478}">
  <ds:schemaRefs>
    <ds:schemaRef ds:uri="http://schemas.microsoft.com/sharepoint/v3/contenttype/forms"/>
  </ds:schemaRefs>
</ds:datastoreItem>
</file>

<file path=customXml/itemProps2.xml><?xml version="1.0" encoding="utf-8"?>
<ds:datastoreItem xmlns:ds="http://schemas.openxmlformats.org/officeDocument/2006/customXml" ds:itemID="{71E9FEBE-56D6-42CB-AD3B-C7E33849C7C8}">
  <ds:schemaRefs>
    <ds:schemaRef ds:uri="http://schemas.microsoft.com/office/2006/metadata/properties"/>
    <ds:schemaRef ds:uri="http://schemas.microsoft.com/office/infopath/2007/PartnerControls"/>
    <ds:schemaRef ds:uri="dc636459-cb6f-4aae-ab39-1edc9400a76d"/>
    <ds:schemaRef ds:uri="120b2ef3-ac2e-4ba7-9999-390ec55e0f45"/>
  </ds:schemaRefs>
</ds:datastoreItem>
</file>

<file path=customXml/itemProps3.xml><?xml version="1.0" encoding="utf-8"?>
<ds:datastoreItem xmlns:ds="http://schemas.openxmlformats.org/officeDocument/2006/customXml" ds:itemID="{C7776CFF-848A-4143-9410-4CF6635E2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36459-cb6f-4aae-ab39-1edc9400a76d"/>
    <ds:schemaRef ds:uri="120b2ef3-ac2e-4ba7-9999-390ec55e0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7E6178-BDFB-4D36-B61B-9EDA0A8DE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121</Pages>
  <Words>55230</Words>
  <Characters>314813</Characters>
  <Application>Microsoft Office Word</Application>
  <DocSecurity>0</DocSecurity>
  <Lines>2623</Lines>
  <Paragraphs>738</Paragraphs>
  <ScaleCrop>false</ScaleCrop>
  <Company/>
  <LinksUpToDate>false</LinksUpToDate>
  <CharactersWithSpaces>369305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Ángyán Gergely</dc:creator>
  <cp:keywords/>
  <cp:lastModifiedBy>Office01</cp:lastModifiedBy>
  <cp:revision>7</cp:revision>
  <dcterms:created xsi:type="dcterms:W3CDTF">2026-09-16T07:52:00Z</dcterms:created>
  <dcterms:modified xsi:type="dcterms:W3CDTF">2026-09-16T10:42:00Z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0x010100AAAD47EE6162BD41A8FDF41167CF68D3</vt:lpwstr>
  </property>
  <property fmtid="{D5CDD505-2E9C-101B-9397-08002B2CF9AE}" pid="4" name="MSIP_Label_6e757ebc-725d-4277-a6bc-e35fae9dc0f3_Name">
    <vt:lpwstr>Controlled</vt:lpwstr>
  </property>
  <property fmtid="{D5CDD505-2E9C-101B-9397-08002B2CF9AE}" pid="5" name="MSIP_Label_6e757ebc-725d-4277-a6bc-e35fae9dc0f3_Enabled">
    <vt:lpwstr>true</vt:lpwstr>
  </property>
  <property fmtid="{D5CDD505-2E9C-101B-9397-08002B2CF9AE}" pid="6" name="MSIP_Label_6e757ebc-725d-4277-a6bc-e35fae9dc0f3_ActionId">
    <vt:lpwstr>692ad053-7b94-4ecb-ab9f-fe4e8f2edb46</vt:lpwstr>
  </property>
  <property fmtid="{D5CDD505-2E9C-101B-9397-08002B2CF9AE}" pid="7" name="MSIP_Label_6e757ebc-725d-4277-a6bc-e35fae9dc0f3_ContentBits">
    <vt:lpwstr>0</vt:lpwstr>
  </property>
  <property fmtid="{D5CDD505-2E9C-101B-9397-08002B2CF9AE}" pid="8" name="MSIP_Label_6e757ebc-725d-4277-a6bc-e35fae9dc0f3_SetDate">
    <vt:lpwstr>2026-03-24T08:19:32Z</vt:lpwstr>
  </property>
  <property fmtid="{D5CDD505-2E9C-101B-9397-08002B2CF9AE}" pid="9" name="MSIP_Label_6e757ebc-725d-4277-a6bc-e35fae9dc0f3_Tag">
    <vt:lpwstr>10, 3, 0, 1</vt:lpwstr>
  </property>
  <property fmtid="{D5CDD505-2E9C-101B-9397-08002B2CF9AE}" pid="10" name="docLang">
    <vt:lpwstr>hu</vt:lpwstr>
  </property>
  <property fmtid="{D5CDD505-2E9C-101B-9397-08002B2CF9AE}" pid="11" name="MSIP_Label_6e757ebc-725d-4277-a6bc-e35fae9dc0f3_Method">
    <vt:lpwstr>Standard</vt:lpwstr>
  </property>
  <property fmtid="{D5CDD505-2E9C-101B-9397-08002B2CF9AE}" pid="12" name="MSIP_Label_6e757ebc-725d-4277-a6bc-e35fae9dc0f3_SiteId">
    <vt:lpwstr>598bfca5-2933-48cd-b231-4d487d7d0074</vt:lpwstr>
  </property>
</Properties>
</file>