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04FA" w:rsidRDefault="001004FA">
      <w:pPr>
        <w:tabs>
          <w:tab w:val="center" w:pos="4320"/>
          <w:tab w:val="right" w:pos="8640"/>
        </w:tabs>
        <w:jc w:val="center"/>
        <w:rPr>
          <w:rFonts w:ascii="Calibri" w:eastAsia="Calibri" w:hAnsi="Calibri" w:cs="Calibri"/>
          <w:b/>
          <w:sz w:val="18"/>
          <w:szCs w:val="18"/>
        </w:rPr>
      </w:pPr>
    </w:p>
    <w:tbl>
      <w:tblPr>
        <w:tblStyle w:val="7"/>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0"/>
      </w:tblGrid>
      <w:tr w:rsidR="001004FA">
        <w:trPr>
          <w:trHeight w:val="620"/>
        </w:trPr>
        <w:tc>
          <w:tcPr>
            <w:tcW w:w="9590" w:type="dxa"/>
            <w:shd w:val="clear" w:color="auto" w:fill="0B588A"/>
            <w:vAlign w:val="center"/>
          </w:tcPr>
          <w:p w:rsidR="001004FA"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FFFFFF"/>
                <w:sz w:val="22"/>
                <w:szCs w:val="22"/>
              </w:rPr>
              <w:t xml:space="preserve"> DPA Setup Page</w:t>
            </w:r>
            <w:r>
              <w:rPr>
                <w:rFonts w:ascii="Calibri" w:eastAsia="Calibri" w:hAnsi="Calibri" w:cs="Calibri"/>
                <w:b/>
                <w:color w:val="FFFFFF"/>
                <w:sz w:val="22"/>
                <w:szCs w:val="22"/>
              </w:rPr>
              <w:br/>
              <w:t xml:space="preserve">for </w:t>
            </w:r>
            <w:proofErr w:type="spellStart"/>
            <w:r>
              <w:rPr>
                <w:rFonts w:ascii="Calibri" w:eastAsia="Calibri" w:hAnsi="Calibri" w:cs="Calibri"/>
                <w:b/>
                <w:color w:val="FFFFFF"/>
                <w:sz w:val="22"/>
                <w:szCs w:val="22"/>
              </w:rPr>
              <w:t>Bonterms</w:t>
            </w:r>
            <w:proofErr w:type="spellEnd"/>
            <w:r>
              <w:rPr>
                <w:rFonts w:ascii="Calibri" w:eastAsia="Calibri" w:hAnsi="Calibri" w:cs="Calibri"/>
                <w:b/>
                <w:color w:val="FFFFFF"/>
                <w:sz w:val="22"/>
                <w:szCs w:val="22"/>
              </w:rPr>
              <w:t xml:space="preserve"> Data Protection Addendum (DPA)</w:t>
            </w:r>
          </w:p>
        </w:tc>
      </w:tr>
      <w:tr w:rsidR="001004FA">
        <w:trPr>
          <w:trHeight w:val="288"/>
        </w:trPr>
        <w:tc>
          <w:tcPr>
            <w:tcW w:w="9590" w:type="dxa"/>
            <w:shd w:val="clear" w:color="auto" w:fill="auto"/>
            <w:vAlign w:val="center"/>
          </w:tcPr>
          <w:p w:rsidR="001004FA" w:rsidRDefault="00000000">
            <w:pPr>
              <w:tabs>
                <w:tab w:val="center" w:pos="4320"/>
                <w:tab w:val="right" w:pos="8640"/>
              </w:tabs>
              <w:ind w:left="20"/>
              <w:jc w:val="both"/>
              <w:rPr>
                <w:rFonts w:ascii="Calibri" w:eastAsia="Calibri" w:hAnsi="Calibri" w:cs="Calibri"/>
                <w:b/>
                <w:sz w:val="18"/>
                <w:szCs w:val="18"/>
              </w:rPr>
            </w:pPr>
            <w:r>
              <w:rPr>
                <w:rFonts w:ascii="Calibri" w:eastAsia="Calibri" w:hAnsi="Calibri" w:cs="Calibri"/>
                <w:sz w:val="18"/>
                <w:szCs w:val="18"/>
              </w:rPr>
              <w:t xml:space="preserve">By agreeing to this DPA Setup Page, Customer and Provider enter into the </w:t>
            </w:r>
            <w:proofErr w:type="spellStart"/>
            <w:r>
              <w:rPr>
                <w:rFonts w:ascii="Calibri" w:eastAsia="Calibri" w:hAnsi="Calibri" w:cs="Calibri"/>
                <w:sz w:val="18"/>
                <w:szCs w:val="18"/>
              </w:rPr>
              <w:t>Bonterms</w:t>
            </w:r>
            <w:proofErr w:type="spellEnd"/>
            <w:r>
              <w:rPr>
                <w:rFonts w:ascii="Calibri" w:eastAsia="Calibri" w:hAnsi="Calibri" w:cs="Calibri"/>
                <w:sz w:val="18"/>
                <w:szCs w:val="18"/>
              </w:rPr>
              <w:t xml:space="preserve"> Data Protection Addendum (“DPA”) (Version 1.0) (available at </w:t>
            </w:r>
            <w:hyperlink r:id="rId8">
              <w:r>
                <w:rPr>
                  <w:rFonts w:ascii="Calibri" w:eastAsia="Calibri" w:hAnsi="Calibri" w:cs="Calibri"/>
                  <w:color w:val="0000FF"/>
                  <w:sz w:val="18"/>
                  <w:szCs w:val="18"/>
                  <w:u w:val="single"/>
                </w:rPr>
                <w:t>https://bonterms.com/forms/data-protection-addendum-v1/</w:t>
              </w:r>
            </w:hyperlink>
            <w:r>
              <w:rPr>
                <w:rFonts w:ascii="Calibri" w:eastAsia="Calibri" w:hAnsi="Calibri" w:cs="Calibri"/>
                <w:sz w:val="18"/>
                <w:szCs w:val="18"/>
              </w:rPr>
              <w:t xml:space="preserve">) by this reference. The DPA includes the contents of this DPA Setup Page, including the Key Terms, Schedules and any Additional Terms set forth below. Capitalized terms not defined in this DPA Setup Page have the meanings given in the </w:t>
            </w:r>
            <w:proofErr w:type="spellStart"/>
            <w:r>
              <w:rPr>
                <w:rFonts w:ascii="Calibri" w:eastAsia="Calibri" w:hAnsi="Calibri" w:cs="Calibri"/>
                <w:sz w:val="18"/>
                <w:szCs w:val="18"/>
              </w:rPr>
              <w:t>Bonterms</w:t>
            </w:r>
            <w:proofErr w:type="spellEnd"/>
            <w:r>
              <w:rPr>
                <w:rFonts w:ascii="Calibri" w:eastAsia="Calibri" w:hAnsi="Calibri" w:cs="Calibri"/>
                <w:sz w:val="18"/>
                <w:szCs w:val="18"/>
              </w:rPr>
              <w:t xml:space="preserve"> Data Protection Addendum. </w:t>
            </w:r>
          </w:p>
        </w:tc>
      </w:tr>
    </w:tbl>
    <w:p w:rsidR="001004FA" w:rsidRDefault="001004FA">
      <w:pPr>
        <w:tabs>
          <w:tab w:val="center" w:pos="4320"/>
          <w:tab w:val="right" w:pos="8640"/>
        </w:tabs>
        <w:jc w:val="center"/>
        <w:rPr>
          <w:rFonts w:ascii="Calibri" w:eastAsia="Calibri" w:hAnsi="Calibri" w:cs="Calibri"/>
          <w:b/>
          <w:sz w:val="18"/>
          <w:szCs w:val="18"/>
        </w:rPr>
      </w:pPr>
    </w:p>
    <w:tbl>
      <w:tblPr>
        <w:tblStyle w:val="6"/>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7782"/>
      </w:tblGrid>
      <w:tr w:rsidR="001004FA">
        <w:trPr>
          <w:trHeight w:val="288"/>
        </w:trPr>
        <w:tc>
          <w:tcPr>
            <w:tcW w:w="9590" w:type="dxa"/>
            <w:gridSpan w:val="2"/>
            <w:shd w:val="clear" w:color="auto" w:fill="0B588A"/>
            <w:vAlign w:val="center"/>
          </w:tcPr>
          <w:p w:rsidR="001004FA" w:rsidRDefault="00000000">
            <w:pPr>
              <w:pBdr>
                <w:top w:val="nil"/>
                <w:left w:val="nil"/>
                <w:bottom w:val="nil"/>
                <w:right w:val="nil"/>
                <w:between w:val="nil"/>
              </w:pBdr>
              <w:jc w:val="center"/>
              <w:rPr>
                <w:rFonts w:ascii="Calibri" w:eastAsia="Calibri" w:hAnsi="Calibri" w:cs="Calibri"/>
                <w:b/>
                <w:color w:val="FFFFFF"/>
                <w:sz w:val="18"/>
                <w:szCs w:val="18"/>
              </w:rPr>
            </w:pPr>
            <w:r>
              <w:rPr>
                <w:rFonts w:ascii="Calibri" w:eastAsia="Calibri" w:hAnsi="Calibri" w:cs="Calibri"/>
                <w:b/>
                <w:color w:val="FFFFFF"/>
                <w:sz w:val="18"/>
                <w:szCs w:val="18"/>
              </w:rPr>
              <w:t>Key Terms</w:t>
            </w:r>
          </w:p>
        </w:tc>
      </w:tr>
      <w:tr w:rsidR="00E7063B">
        <w:trPr>
          <w:trHeight w:val="113"/>
        </w:trPr>
        <w:tc>
          <w:tcPr>
            <w:tcW w:w="1808" w:type="dxa"/>
            <w:vMerge w:val="restart"/>
            <w:shd w:val="clear" w:color="auto" w:fill="D9D9D9"/>
            <w:vAlign w:val="center"/>
          </w:tcPr>
          <w:p w:rsidR="00E7063B" w:rsidRDefault="00E7063B">
            <w:pPr>
              <w:pBdr>
                <w:top w:val="nil"/>
                <w:left w:val="nil"/>
                <w:bottom w:val="nil"/>
                <w:right w:val="nil"/>
                <w:between w:val="nil"/>
              </w:pBdr>
              <w:rPr>
                <w:rFonts w:ascii="Calibri" w:eastAsia="Calibri" w:hAnsi="Calibri" w:cs="Calibri"/>
                <w:b/>
                <w:color w:val="0000FF"/>
                <w:sz w:val="18"/>
                <w:szCs w:val="18"/>
              </w:rPr>
            </w:pPr>
            <w:r>
              <w:rPr>
                <w:rFonts w:ascii="Calibri" w:eastAsia="Calibri" w:hAnsi="Calibri" w:cs="Calibri"/>
                <w:b/>
                <w:color w:val="0000FF"/>
                <w:sz w:val="18"/>
                <w:szCs w:val="18"/>
              </w:rPr>
              <w:t>Agreement</w:t>
            </w:r>
          </w:p>
        </w:tc>
        <w:tc>
          <w:tcPr>
            <w:tcW w:w="7782" w:type="dxa"/>
            <w:shd w:val="clear" w:color="auto" w:fill="auto"/>
            <w:vAlign w:val="center"/>
          </w:tcPr>
          <w:p w:rsidR="00E7063B" w:rsidRDefault="00E7063B">
            <w:pPr>
              <w:pBdr>
                <w:top w:val="nil"/>
                <w:left w:val="nil"/>
                <w:bottom w:val="nil"/>
                <w:right w:val="nil"/>
                <w:between w:val="nil"/>
              </w:pBdr>
              <w:jc w:val="both"/>
              <w:rPr>
                <w:rFonts w:ascii="Calibri" w:eastAsia="Calibri" w:hAnsi="Calibri" w:cs="Calibri"/>
                <w:b/>
                <w:color w:val="808080"/>
                <w:sz w:val="18"/>
                <w:szCs w:val="18"/>
              </w:rPr>
            </w:pPr>
            <w:r>
              <w:rPr>
                <w:rFonts w:ascii="Calibri" w:eastAsia="Calibri" w:hAnsi="Calibri" w:cs="Calibri"/>
                <w:color w:val="000000"/>
                <w:sz w:val="18"/>
                <w:szCs w:val="18"/>
              </w:rPr>
              <w:t>This DPA is an Attachment to the Agreement between Customer and Provider identified below:</w:t>
            </w:r>
          </w:p>
        </w:tc>
      </w:tr>
      <w:tr w:rsidR="00E7063B">
        <w:trPr>
          <w:trHeight w:val="112"/>
        </w:trPr>
        <w:tc>
          <w:tcPr>
            <w:tcW w:w="1808" w:type="dxa"/>
            <w:vMerge/>
            <w:shd w:val="clear" w:color="auto" w:fill="D9D9D9"/>
            <w:vAlign w:val="center"/>
          </w:tcPr>
          <w:p w:rsidR="00E7063B" w:rsidRDefault="00E7063B">
            <w:pPr>
              <w:widowControl w:val="0"/>
              <w:pBdr>
                <w:top w:val="nil"/>
                <w:left w:val="nil"/>
                <w:bottom w:val="nil"/>
                <w:right w:val="nil"/>
                <w:between w:val="nil"/>
              </w:pBdr>
              <w:spacing w:line="276" w:lineRule="auto"/>
              <w:rPr>
                <w:rFonts w:ascii="Calibri" w:eastAsia="Calibri" w:hAnsi="Calibri" w:cs="Calibri"/>
                <w:b/>
                <w:color w:val="808080"/>
                <w:sz w:val="18"/>
                <w:szCs w:val="18"/>
              </w:rPr>
            </w:pPr>
          </w:p>
        </w:tc>
        <w:tc>
          <w:tcPr>
            <w:tcW w:w="7782" w:type="dxa"/>
            <w:shd w:val="clear" w:color="auto" w:fill="auto"/>
            <w:vAlign w:val="center"/>
          </w:tcPr>
          <w:p w:rsidR="00E7063B" w:rsidRDefault="00E7063B">
            <w:pPr>
              <w:pBdr>
                <w:top w:val="nil"/>
                <w:left w:val="nil"/>
                <w:bottom w:val="nil"/>
                <w:right w:val="nil"/>
                <w:between w:val="nil"/>
              </w:pBdr>
              <w:jc w:val="both"/>
              <w:rPr>
                <w:rFonts w:ascii="Calibri" w:eastAsia="Calibri" w:hAnsi="Calibri" w:cs="Calibri"/>
                <w:b/>
                <w:i/>
                <w:color w:val="808080"/>
                <w:sz w:val="18"/>
                <w:szCs w:val="18"/>
              </w:rPr>
            </w:pPr>
            <w:r>
              <w:rPr>
                <w:rFonts w:ascii="Calibri" w:eastAsia="Calibri" w:hAnsi="Calibri" w:cs="Calibri"/>
                <w:b/>
                <w:i/>
                <w:sz w:val="18"/>
                <w:szCs w:val="18"/>
              </w:rPr>
              <w:t>GrowthBook Customer</w:t>
            </w:r>
            <w:r>
              <w:rPr>
                <w:rFonts w:ascii="Calibri" w:eastAsia="Calibri" w:hAnsi="Calibri" w:cs="Calibri"/>
                <w:b/>
                <w:i/>
                <w:color w:val="000000"/>
                <w:sz w:val="18"/>
                <w:szCs w:val="18"/>
              </w:rPr>
              <w:t xml:space="preserve"> Agreement located at </w:t>
            </w:r>
            <w:hyperlink r:id="rId9">
              <w:r>
                <w:rPr>
                  <w:rFonts w:ascii="Calibri" w:eastAsia="Calibri" w:hAnsi="Calibri" w:cs="Calibri"/>
                  <w:b/>
                  <w:i/>
                  <w:color w:val="0000FF"/>
                  <w:sz w:val="18"/>
                  <w:szCs w:val="18"/>
                  <w:u w:val="single"/>
                </w:rPr>
                <w:t>https://www.growthbook.io/legal</w:t>
              </w:r>
            </w:hyperlink>
            <w:r>
              <w:rPr>
                <w:rFonts w:ascii="Calibri" w:eastAsia="Calibri" w:hAnsi="Calibri" w:cs="Calibri"/>
                <w:b/>
                <w:i/>
                <w:color w:val="000000"/>
                <w:sz w:val="18"/>
                <w:szCs w:val="18"/>
              </w:rPr>
              <w:t xml:space="preserve"> (the “Agreement”)</w:t>
            </w:r>
          </w:p>
        </w:tc>
      </w:tr>
      <w:tr w:rsidR="00E7063B">
        <w:trPr>
          <w:trHeight w:val="112"/>
        </w:trPr>
        <w:tc>
          <w:tcPr>
            <w:tcW w:w="1808" w:type="dxa"/>
            <w:vMerge/>
            <w:shd w:val="clear" w:color="auto" w:fill="D9D9D9"/>
            <w:vAlign w:val="center"/>
          </w:tcPr>
          <w:p w:rsidR="00E7063B" w:rsidRDefault="00E7063B">
            <w:pPr>
              <w:widowControl w:val="0"/>
              <w:pBdr>
                <w:top w:val="nil"/>
                <w:left w:val="nil"/>
                <w:bottom w:val="nil"/>
                <w:right w:val="nil"/>
                <w:between w:val="nil"/>
              </w:pBdr>
              <w:spacing w:line="276" w:lineRule="auto"/>
              <w:rPr>
                <w:rFonts w:ascii="Calibri" w:eastAsia="Calibri" w:hAnsi="Calibri" w:cs="Calibri"/>
                <w:b/>
                <w:color w:val="808080"/>
                <w:sz w:val="18"/>
                <w:szCs w:val="18"/>
              </w:rPr>
            </w:pPr>
          </w:p>
        </w:tc>
        <w:tc>
          <w:tcPr>
            <w:tcW w:w="7782" w:type="dxa"/>
            <w:shd w:val="clear" w:color="auto" w:fill="auto"/>
            <w:vAlign w:val="center"/>
          </w:tcPr>
          <w:p w:rsidR="00E7063B" w:rsidRDefault="00E7063B">
            <w:pPr>
              <w:pBdr>
                <w:top w:val="nil"/>
                <w:left w:val="nil"/>
                <w:bottom w:val="nil"/>
                <w:right w:val="nil"/>
                <w:between w:val="nil"/>
              </w:pBdr>
              <w:jc w:val="both"/>
              <w:rPr>
                <w:rFonts w:ascii="Calibri" w:eastAsia="Calibri" w:hAnsi="Calibri" w:cs="Calibri"/>
                <w:b/>
                <w:i/>
                <w:sz w:val="18"/>
                <w:szCs w:val="18"/>
              </w:rPr>
            </w:pPr>
            <w:r w:rsidRPr="00E7063B">
              <w:rPr>
                <w:rFonts w:ascii="Calibri" w:eastAsia="Calibri" w:hAnsi="Calibri" w:cs="Calibri"/>
                <w:color w:val="000000"/>
                <w:sz w:val="18"/>
                <w:szCs w:val="18"/>
              </w:rPr>
              <w:t xml:space="preserve">For the avoidance of doubt, the </w:t>
            </w:r>
            <w:proofErr w:type="spellStart"/>
            <w:r w:rsidRPr="00E7063B">
              <w:rPr>
                <w:rFonts w:ascii="Calibri" w:eastAsia="Calibri" w:hAnsi="Calibri" w:cs="Calibri"/>
                <w:color w:val="000000"/>
                <w:sz w:val="18"/>
                <w:szCs w:val="18"/>
              </w:rPr>
              <w:t>Bonterms</w:t>
            </w:r>
            <w:proofErr w:type="spellEnd"/>
            <w:r w:rsidRPr="00E7063B">
              <w:rPr>
                <w:rFonts w:ascii="Calibri" w:eastAsia="Calibri" w:hAnsi="Calibri" w:cs="Calibri"/>
                <w:color w:val="000000"/>
                <w:sz w:val="18"/>
                <w:szCs w:val="18"/>
              </w:rPr>
              <w:t xml:space="preserve"> Cloud Terms are not incorporated or applicable in any manner.</w:t>
            </w:r>
          </w:p>
        </w:tc>
      </w:tr>
      <w:tr w:rsidR="001004FA">
        <w:trPr>
          <w:trHeight w:val="296"/>
        </w:trPr>
        <w:tc>
          <w:tcPr>
            <w:tcW w:w="1808" w:type="dxa"/>
            <w:shd w:val="clear" w:color="auto" w:fill="D9D9D9"/>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FF"/>
                <w:sz w:val="18"/>
                <w:szCs w:val="18"/>
              </w:rPr>
              <w:t xml:space="preserve">DPA Effective Date </w:t>
            </w:r>
          </w:p>
        </w:tc>
        <w:tc>
          <w:tcPr>
            <w:tcW w:w="7782"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808080"/>
                <w:sz w:val="18"/>
                <w:szCs w:val="18"/>
              </w:rPr>
            </w:pPr>
            <w:r>
              <w:rPr>
                <w:rFonts w:ascii="Calibri" w:eastAsia="Calibri" w:hAnsi="Calibri" w:cs="Calibri"/>
                <w:b/>
                <w:i/>
                <w:sz w:val="18"/>
                <w:szCs w:val="18"/>
              </w:rPr>
              <w:t>Effective Date of the Agreement</w:t>
            </w:r>
          </w:p>
        </w:tc>
      </w:tr>
      <w:tr w:rsidR="001004FA">
        <w:trPr>
          <w:trHeight w:val="296"/>
        </w:trPr>
        <w:tc>
          <w:tcPr>
            <w:tcW w:w="1808" w:type="dxa"/>
            <w:shd w:val="clear" w:color="auto" w:fill="D9D9D9"/>
            <w:vAlign w:val="center"/>
          </w:tcPr>
          <w:p w:rsidR="001004FA" w:rsidRDefault="00000000">
            <w:pPr>
              <w:pBdr>
                <w:top w:val="nil"/>
                <w:left w:val="nil"/>
                <w:bottom w:val="nil"/>
                <w:right w:val="nil"/>
                <w:between w:val="nil"/>
              </w:pBdr>
              <w:rPr>
                <w:rFonts w:ascii="Calibri" w:eastAsia="Calibri" w:hAnsi="Calibri" w:cs="Calibri"/>
                <w:b/>
                <w:color w:val="0000FF"/>
                <w:sz w:val="18"/>
                <w:szCs w:val="18"/>
              </w:rPr>
            </w:pPr>
            <w:proofErr w:type="spellStart"/>
            <w:r>
              <w:rPr>
                <w:rFonts w:ascii="Calibri" w:eastAsia="Calibri" w:hAnsi="Calibri" w:cs="Calibri"/>
                <w:b/>
                <w:color w:val="0000FF"/>
                <w:sz w:val="18"/>
                <w:szCs w:val="18"/>
              </w:rPr>
              <w:t>Subprocessor</w:t>
            </w:r>
            <w:proofErr w:type="spellEnd"/>
            <w:r>
              <w:rPr>
                <w:rFonts w:ascii="Calibri" w:eastAsia="Calibri" w:hAnsi="Calibri" w:cs="Calibri"/>
                <w:b/>
                <w:color w:val="0000FF"/>
                <w:sz w:val="18"/>
                <w:szCs w:val="18"/>
              </w:rPr>
              <w:t xml:space="preserve"> List</w:t>
            </w:r>
          </w:p>
        </w:tc>
        <w:tc>
          <w:tcPr>
            <w:tcW w:w="7782" w:type="dxa"/>
            <w:shd w:val="clear" w:color="auto" w:fill="auto"/>
            <w:vAlign w:val="center"/>
          </w:tcPr>
          <w:p w:rsidR="001004FA" w:rsidRDefault="00000000">
            <w:pPr>
              <w:pBdr>
                <w:top w:val="nil"/>
                <w:left w:val="nil"/>
                <w:bottom w:val="nil"/>
                <w:right w:val="nil"/>
                <w:between w:val="nil"/>
              </w:pBdr>
              <w:jc w:val="both"/>
              <w:rPr>
                <w:rFonts w:ascii="Calibri" w:eastAsia="Calibri" w:hAnsi="Calibri" w:cs="Calibri"/>
                <w:b/>
                <w:i/>
                <w:color w:val="000000"/>
                <w:sz w:val="18"/>
                <w:szCs w:val="18"/>
              </w:rPr>
            </w:pPr>
            <w:hyperlink r:id="rId10">
              <w:r>
                <w:rPr>
                  <w:rFonts w:ascii="Calibri" w:eastAsia="Calibri" w:hAnsi="Calibri" w:cs="Calibri"/>
                  <w:b/>
                  <w:i/>
                  <w:color w:val="1155CC"/>
                  <w:sz w:val="18"/>
                  <w:szCs w:val="18"/>
                  <w:u w:val="single"/>
                </w:rPr>
                <w:t>https://www.growthbook.io/subprocessors</w:t>
              </w:r>
            </w:hyperlink>
          </w:p>
        </w:tc>
      </w:tr>
    </w:tbl>
    <w:p w:rsidR="001004FA" w:rsidRDefault="001004FA">
      <w:pPr>
        <w:tabs>
          <w:tab w:val="center" w:pos="4320"/>
          <w:tab w:val="right" w:pos="8640"/>
        </w:tabs>
        <w:jc w:val="center"/>
        <w:rPr>
          <w:rFonts w:ascii="Calibri" w:eastAsia="Calibri" w:hAnsi="Calibri" w:cs="Calibri"/>
          <w:b/>
          <w:sz w:val="18"/>
          <w:szCs w:val="18"/>
        </w:rPr>
      </w:pPr>
    </w:p>
    <w:tbl>
      <w:tblPr>
        <w:tblStyle w:val="5"/>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3"/>
        <w:gridCol w:w="5177"/>
      </w:tblGrid>
      <w:tr w:rsidR="001004FA">
        <w:trPr>
          <w:trHeight w:val="288"/>
        </w:trPr>
        <w:tc>
          <w:tcPr>
            <w:tcW w:w="9590" w:type="dxa"/>
            <w:gridSpan w:val="2"/>
            <w:shd w:val="clear" w:color="auto" w:fill="0B588A"/>
            <w:vAlign w:val="center"/>
          </w:tcPr>
          <w:p w:rsidR="001004FA" w:rsidRDefault="00000000">
            <w:pPr>
              <w:pBdr>
                <w:top w:val="nil"/>
                <w:left w:val="nil"/>
                <w:bottom w:val="nil"/>
                <w:right w:val="nil"/>
                <w:between w:val="nil"/>
              </w:pBd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Schedules </w:t>
            </w:r>
            <w:r>
              <w:rPr>
                <w:rFonts w:ascii="Calibri" w:eastAsia="Calibri" w:hAnsi="Calibri" w:cs="Calibri"/>
                <w:i/>
                <w:color w:val="FFFFFF"/>
                <w:sz w:val="18"/>
                <w:szCs w:val="18"/>
              </w:rPr>
              <w:t>(attach)</w:t>
            </w:r>
          </w:p>
        </w:tc>
      </w:tr>
      <w:tr w:rsidR="001004FA">
        <w:trPr>
          <w:trHeight w:val="297"/>
        </w:trPr>
        <w:tc>
          <w:tcPr>
            <w:tcW w:w="9590" w:type="dxa"/>
            <w:gridSpan w:val="2"/>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The following Schedules are incorporated into this DPA:</w:t>
            </w:r>
          </w:p>
        </w:tc>
      </w:tr>
      <w:tr w:rsidR="001004FA">
        <w:trPr>
          <w:trHeight w:val="296"/>
        </w:trPr>
        <w:tc>
          <w:tcPr>
            <w:tcW w:w="4413"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Schedule 1: Subject Matter and Details of Processing</w:t>
            </w:r>
          </w:p>
        </w:tc>
        <w:tc>
          <w:tcPr>
            <w:tcW w:w="5177"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Attached</w:t>
            </w:r>
          </w:p>
        </w:tc>
      </w:tr>
      <w:tr w:rsidR="001004FA">
        <w:trPr>
          <w:trHeight w:val="296"/>
        </w:trPr>
        <w:tc>
          <w:tcPr>
            <w:tcW w:w="4413"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Schedule 2: Technical and Organizational Measures</w:t>
            </w:r>
          </w:p>
        </w:tc>
        <w:tc>
          <w:tcPr>
            <w:tcW w:w="5177"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Attached</w:t>
            </w:r>
          </w:p>
        </w:tc>
      </w:tr>
      <w:tr w:rsidR="001004FA">
        <w:trPr>
          <w:trHeight w:val="296"/>
        </w:trPr>
        <w:tc>
          <w:tcPr>
            <w:tcW w:w="4413"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Schedule 3: Cross-Border Transfer Mechanisms</w:t>
            </w:r>
            <w:r>
              <w:rPr>
                <w:rFonts w:ascii="Calibri" w:eastAsia="Calibri" w:hAnsi="Calibri" w:cs="Calibri"/>
                <w:b/>
                <w:color w:val="0000FF"/>
                <w:sz w:val="18"/>
                <w:szCs w:val="18"/>
              </w:rPr>
              <w:t xml:space="preserve"> </w:t>
            </w:r>
          </w:p>
        </w:tc>
        <w:tc>
          <w:tcPr>
            <w:tcW w:w="5177"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Attached</w:t>
            </w:r>
          </w:p>
        </w:tc>
      </w:tr>
      <w:tr w:rsidR="001004FA">
        <w:trPr>
          <w:trHeight w:val="296"/>
        </w:trPr>
        <w:tc>
          <w:tcPr>
            <w:tcW w:w="4413"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Schedule 4: Region-Specific Terms</w:t>
            </w:r>
          </w:p>
        </w:tc>
        <w:tc>
          <w:tcPr>
            <w:tcW w:w="5177" w:type="dxa"/>
            <w:shd w:val="clear" w:color="auto" w:fill="auto"/>
            <w:vAlign w:val="center"/>
          </w:tcPr>
          <w:p w:rsidR="001004FA" w:rsidRDefault="00000000">
            <w:p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b/>
                <w:color w:val="000000"/>
                <w:sz w:val="18"/>
                <w:szCs w:val="18"/>
              </w:rPr>
              <w:t>Attached</w:t>
            </w:r>
          </w:p>
        </w:tc>
      </w:tr>
    </w:tbl>
    <w:p w:rsidR="001004FA" w:rsidRDefault="001004FA">
      <w:pPr>
        <w:tabs>
          <w:tab w:val="center" w:pos="4320"/>
          <w:tab w:val="right" w:pos="8640"/>
        </w:tabs>
        <w:jc w:val="center"/>
        <w:rPr>
          <w:rFonts w:ascii="Calibri" w:eastAsia="Calibri" w:hAnsi="Calibri" w:cs="Calibri"/>
          <w:b/>
          <w:sz w:val="18"/>
          <w:szCs w:val="18"/>
        </w:rPr>
      </w:pPr>
    </w:p>
    <w:p w:rsidR="001004FA" w:rsidRDefault="001004FA">
      <w:pPr>
        <w:tabs>
          <w:tab w:val="center" w:pos="4320"/>
          <w:tab w:val="right" w:pos="8640"/>
        </w:tabs>
        <w:jc w:val="center"/>
        <w:rPr>
          <w:rFonts w:ascii="Calibri" w:eastAsia="Calibri" w:hAnsi="Calibri" w:cs="Calibri"/>
          <w:b/>
          <w:sz w:val="18"/>
          <w:szCs w:val="18"/>
        </w:rPr>
      </w:pPr>
    </w:p>
    <w:p w:rsidR="001004FA" w:rsidRDefault="001004FA">
      <w:pPr>
        <w:rPr>
          <w:rFonts w:ascii="Calibri" w:eastAsia="Calibri" w:hAnsi="Calibri" w:cs="Calibri"/>
          <w:b/>
          <w:sz w:val="18"/>
          <w:szCs w:val="18"/>
        </w:rPr>
      </w:pPr>
    </w:p>
    <w:p w:rsidR="001004FA" w:rsidRDefault="00000000">
      <w:pPr>
        <w:keepNext/>
        <w:jc w:val="center"/>
        <w:rPr>
          <w:rFonts w:ascii="Cambria" w:eastAsia="Cambria" w:hAnsi="Cambria" w:cs="Cambria"/>
          <w:b/>
          <w:sz w:val="18"/>
          <w:szCs w:val="18"/>
        </w:rPr>
      </w:pPr>
      <w:r>
        <w:br w:type="page"/>
      </w:r>
    </w:p>
    <w:p w:rsidR="001004FA" w:rsidRDefault="00000000">
      <w:pPr>
        <w:keepNext/>
        <w:jc w:val="center"/>
        <w:rPr>
          <w:rFonts w:ascii="Cambria" w:eastAsia="Cambria" w:hAnsi="Cambria" w:cs="Cambria"/>
          <w:b/>
          <w:sz w:val="18"/>
          <w:szCs w:val="18"/>
        </w:rPr>
      </w:pPr>
      <w:r>
        <w:rPr>
          <w:rFonts w:ascii="Cambria" w:eastAsia="Cambria" w:hAnsi="Cambria" w:cs="Cambria"/>
          <w:b/>
          <w:sz w:val="18"/>
          <w:szCs w:val="18"/>
        </w:rPr>
        <w:lastRenderedPageBreak/>
        <w:t>Schedule 1: Subject Matter and Details of Processing</w:t>
      </w:r>
    </w:p>
    <w:p w:rsidR="001004FA" w:rsidRDefault="00000000">
      <w:pPr>
        <w:keepNext/>
        <w:jc w:val="center"/>
        <w:rPr>
          <w:rFonts w:ascii="Cambria" w:eastAsia="Cambria" w:hAnsi="Cambria" w:cs="Cambria"/>
          <w:b/>
          <w:sz w:val="18"/>
          <w:szCs w:val="18"/>
          <w:u w:val="single"/>
        </w:rPr>
      </w:pPr>
      <w:r>
        <w:rPr>
          <w:rFonts w:ascii="Cambria" w:eastAsia="Cambria" w:hAnsi="Cambria" w:cs="Cambria"/>
          <w:b/>
          <w:sz w:val="18"/>
          <w:szCs w:val="18"/>
          <w:u w:val="single"/>
        </w:rPr>
        <w:t xml:space="preserve">Customer / ‘Data Exporter’ Details </w:t>
      </w:r>
    </w:p>
    <w:tbl>
      <w:tblPr>
        <w:tblStyle w:val="4"/>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2"/>
        <w:gridCol w:w="6838"/>
      </w:tblGrid>
      <w:tr w:rsidR="001004FA">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keepNext/>
              <w:spacing w:before="120" w:after="120"/>
              <w:rPr>
                <w:rFonts w:ascii="Cambria" w:eastAsia="Cambria" w:hAnsi="Cambria" w:cs="Cambria"/>
                <w:b/>
                <w:sz w:val="18"/>
                <w:szCs w:val="18"/>
              </w:rPr>
            </w:pPr>
            <w:bookmarkStart w:id="0" w:name="_heading=h.3tbugp1" w:colFirst="0" w:colLast="0"/>
            <w:bookmarkEnd w:id="0"/>
            <w:r>
              <w:rPr>
                <w:rFonts w:ascii="Cambria" w:eastAsia="Cambria" w:hAnsi="Cambria" w:cs="Cambria"/>
                <w:b/>
                <w:sz w:val="18"/>
                <w:szCs w:val="18"/>
              </w:rPr>
              <w:t>Name:</w:t>
            </w:r>
          </w:p>
        </w:tc>
        <w:tc>
          <w:tcPr>
            <w:tcW w:w="6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Customer Name as provided by Customer in account setup</w:t>
            </w:r>
          </w:p>
        </w:tc>
      </w:tr>
      <w:tr w:rsidR="001004FA">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keepNext/>
              <w:spacing w:before="120" w:after="120"/>
              <w:rPr>
                <w:rFonts w:ascii="Cambria" w:eastAsia="Cambria" w:hAnsi="Cambria" w:cs="Cambria"/>
                <w:b/>
                <w:sz w:val="18"/>
                <w:szCs w:val="18"/>
              </w:rPr>
            </w:pPr>
            <w:r>
              <w:rPr>
                <w:rFonts w:ascii="Cambria" w:eastAsia="Cambria" w:hAnsi="Cambria" w:cs="Cambria"/>
                <w:b/>
                <w:sz w:val="18"/>
                <w:szCs w:val="18"/>
              </w:rPr>
              <w:t>Contact details for data protection:</w:t>
            </w:r>
          </w:p>
        </w:tc>
        <w:tc>
          <w:tcPr>
            <w:tcW w:w="6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Customer Representative Contact Information as provided by Customer in account setup</w:t>
            </w:r>
          </w:p>
        </w:tc>
      </w:tr>
      <w:tr w:rsidR="001004FA">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r>
              <w:rPr>
                <w:rFonts w:ascii="Cambria" w:eastAsia="Cambria" w:hAnsi="Cambria" w:cs="Cambria"/>
                <w:b/>
                <w:sz w:val="18"/>
                <w:szCs w:val="18"/>
              </w:rPr>
              <w:t>Main address:</w:t>
            </w:r>
          </w:p>
        </w:tc>
        <w:tc>
          <w:tcPr>
            <w:tcW w:w="6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Customer Address as provided by Customer in account setup</w:t>
            </w:r>
          </w:p>
        </w:tc>
      </w:tr>
      <w:tr w:rsidR="001004FA">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bookmarkStart w:id="1" w:name="_heading=h.28h4qwu" w:colFirst="0" w:colLast="0"/>
            <w:bookmarkEnd w:id="1"/>
            <w:r>
              <w:rPr>
                <w:rFonts w:ascii="Cambria" w:eastAsia="Cambria" w:hAnsi="Cambria" w:cs="Cambria"/>
                <w:b/>
                <w:sz w:val="18"/>
                <w:szCs w:val="18"/>
              </w:rPr>
              <w:t>Customer activities:</w:t>
            </w:r>
          </w:p>
        </w:tc>
        <w:tc>
          <w:tcPr>
            <w:tcW w:w="6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Receiving and using GrowthBook Services</w:t>
            </w:r>
          </w:p>
        </w:tc>
      </w:tr>
      <w:tr w:rsidR="001004FA">
        <w:tc>
          <w:tcPr>
            <w:tcW w:w="2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bookmarkStart w:id="2" w:name="_heading=h.nmf14n" w:colFirst="0" w:colLast="0"/>
            <w:bookmarkEnd w:id="2"/>
            <w:r>
              <w:rPr>
                <w:rFonts w:ascii="Cambria" w:eastAsia="Cambria" w:hAnsi="Cambria" w:cs="Cambria"/>
                <w:b/>
                <w:sz w:val="18"/>
                <w:szCs w:val="18"/>
              </w:rPr>
              <w:t xml:space="preserve">Role: </w:t>
            </w:r>
          </w:p>
        </w:tc>
        <w:tc>
          <w:tcPr>
            <w:tcW w:w="6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bookmarkStart w:id="3" w:name="_heading=h.37m2jsg" w:colFirst="0" w:colLast="0"/>
            <w:bookmarkEnd w:id="3"/>
            <w:r>
              <w:rPr>
                <w:rFonts w:ascii="Cambria" w:eastAsia="Cambria" w:hAnsi="Cambria" w:cs="Cambria"/>
                <w:sz w:val="18"/>
                <w:szCs w:val="18"/>
              </w:rPr>
              <w:t>Controller</w:t>
            </w:r>
          </w:p>
        </w:tc>
      </w:tr>
    </w:tbl>
    <w:p w:rsidR="001004FA" w:rsidRDefault="001004FA">
      <w:pPr>
        <w:rPr>
          <w:rFonts w:ascii="Cambria" w:eastAsia="Cambria" w:hAnsi="Cambria" w:cs="Cambria"/>
          <w:sz w:val="18"/>
          <w:szCs w:val="18"/>
        </w:rPr>
      </w:pPr>
    </w:p>
    <w:p w:rsidR="001004FA" w:rsidRDefault="00000000">
      <w:pPr>
        <w:jc w:val="center"/>
        <w:rPr>
          <w:rFonts w:ascii="Cambria" w:eastAsia="Cambria" w:hAnsi="Cambria" w:cs="Cambria"/>
          <w:b/>
          <w:sz w:val="18"/>
          <w:szCs w:val="18"/>
          <w:u w:val="single"/>
        </w:rPr>
      </w:pPr>
      <w:r>
        <w:rPr>
          <w:rFonts w:ascii="Cambria" w:eastAsia="Cambria" w:hAnsi="Cambria" w:cs="Cambria"/>
          <w:b/>
          <w:sz w:val="18"/>
          <w:szCs w:val="18"/>
          <w:u w:val="single"/>
        </w:rPr>
        <w:t>Provider / ‘Data Importer’ Details</w:t>
      </w:r>
    </w:p>
    <w:tbl>
      <w:tblPr>
        <w:tblStyle w:val="3"/>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5"/>
        <w:gridCol w:w="6855"/>
      </w:tblGrid>
      <w:tr w:rsidR="001004FA">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r>
              <w:rPr>
                <w:rFonts w:ascii="Cambria" w:eastAsia="Cambria" w:hAnsi="Cambria" w:cs="Cambria"/>
                <w:b/>
                <w:sz w:val="18"/>
                <w:szCs w:val="18"/>
              </w:rPr>
              <w:t>Name:</w:t>
            </w:r>
          </w:p>
        </w:tc>
        <w:tc>
          <w:tcPr>
            <w:tcW w:w="6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 xml:space="preserve">GrowthBook, Inc. </w:t>
            </w:r>
          </w:p>
        </w:tc>
      </w:tr>
      <w:tr w:rsidR="001004FA">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r>
              <w:rPr>
                <w:rFonts w:ascii="Cambria" w:eastAsia="Cambria" w:hAnsi="Cambria" w:cs="Cambria"/>
                <w:b/>
                <w:sz w:val="18"/>
                <w:szCs w:val="18"/>
              </w:rPr>
              <w:t>Contact details for data protection:</w:t>
            </w:r>
          </w:p>
        </w:tc>
        <w:tc>
          <w:tcPr>
            <w:tcW w:w="6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 xml:space="preserve">Jeremy Dorn, CTO, </w:t>
            </w:r>
            <w:hyperlink r:id="rId11">
              <w:r>
                <w:rPr>
                  <w:rFonts w:ascii="Cambria" w:eastAsia="Cambria" w:hAnsi="Cambria" w:cs="Cambria"/>
                  <w:color w:val="1155CC"/>
                  <w:sz w:val="18"/>
                  <w:szCs w:val="18"/>
                  <w:u w:val="single"/>
                </w:rPr>
                <w:t>dpo@growthbook.io</w:t>
              </w:r>
            </w:hyperlink>
            <w:r>
              <w:rPr>
                <w:rFonts w:ascii="Cambria" w:eastAsia="Cambria" w:hAnsi="Cambria" w:cs="Cambria"/>
                <w:sz w:val="18"/>
                <w:szCs w:val="18"/>
              </w:rPr>
              <w:t xml:space="preserve"> </w:t>
            </w:r>
          </w:p>
        </w:tc>
      </w:tr>
      <w:tr w:rsidR="001004FA">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r>
              <w:rPr>
                <w:rFonts w:ascii="Cambria" w:eastAsia="Cambria" w:hAnsi="Cambria" w:cs="Cambria"/>
                <w:b/>
                <w:sz w:val="18"/>
                <w:szCs w:val="18"/>
              </w:rPr>
              <w:t>Main address:</w:t>
            </w:r>
          </w:p>
        </w:tc>
        <w:tc>
          <w:tcPr>
            <w:tcW w:w="6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1950 W Corporate Way # 34560, Anaheim, CA 92801</w:t>
            </w:r>
          </w:p>
        </w:tc>
      </w:tr>
      <w:tr w:rsidR="001004FA">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r>
              <w:rPr>
                <w:rFonts w:ascii="Cambria" w:eastAsia="Cambria" w:hAnsi="Cambria" w:cs="Cambria"/>
                <w:b/>
                <w:sz w:val="18"/>
                <w:szCs w:val="18"/>
              </w:rPr>
              <w:t>Provider activities:</w:t>
            </w:r>
          </w:p>
        </w:tc>
        <w:tc>
          <w:tcPr>
            <w:tcW w:w="6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r>
              <w:rPr>
                <w:rFonts w:ascii="Cambria" w:eastAsia="Cambria" w:hAnsi="Cambria" w:cs="Cambria"/>
                <w:sz w:val="18"/>
                <w:szCs w:val="18"/>
              </w:rPr>
              <w:t>The “Services” as described in the Agreement.</w:t>
            </w:r>
          </w:p>
        </w:tc>
      </w:tr>
      <w:tr w:rsidR="001004FA">
        <w:tc>
          <w:tcPr>
            <w:tcW w:w="2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b/>
                <w:sz w:val="18"/>
                <w:szCs w:val="18"/>
              </w:rPr>
            </w:pPr>
            <w:bookmarkStart w:id="4" w:name="_heading=h.1mrcu09" w:colFirst="0" w:colLast="0"/>
            <w:bookmarkEnd w:id="4"/>
            <w:r>
              <w:rPr>
                <w:rFonts w:ascii="Cambria" w:eastAsia="Cambria" w:hAnsi="Cambria" w:cs="Cambria"/>
                <w:b/>
                <w:sz w:val="18"/>
                <w:szCs w:val="18"/>
              </w:rPr>
              <w:t xml:space="preserve">Role: </w:t>
            </w:r>
          </w:p>
        </w:tc>
        <w:tc>
          <w:tcPr>
            <w:tcW w:w="6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before="120" w:after="120"/>
              <w:rPr>
                <w:rFonts w:ascii="Cambria" w:eastAsia="Cambria" w:hAnsi="Cambria" w:cs="Cambria"/>
                <w:sz w:val="18"/>
                <w:szCs w:val="18"/>
              </w:rPr>
            </w:pPr>
            <w:bookmarkStart w:id="5" w:name="_heading=h.46r0co2" w:colFirst="0" w:colLast="0"/>
            <w:bookmarkEnd w:id="5"/>
            <w:r>
              <w:rPr>
                <w:rFonts w:ascii="Cambria" w:eastAsia="Cambria" w:hAnsi="Cambria" w:cs="Cambria"/>
                <w:sz w:val="18"/>
                <w:szCs w:val="18"/>
              </w:rPr>
              <w:t xml:space="preserve">Processor </w:t>
            </w:r>
          </w:p>
        </w:tc>
      </w:tr>
    </w:tbl>
    <w:p w:rsidR="001004FA" w:rsidRDefault="001004FA">
      <w:pPr>
        <w:jc w:val="center"/>
        <w:rPr>
          <w:rFonts w:ascii="Cambria" w:eastAsia="Cambria" w:hAnsi="Cambria" w:cs="Cambria"/>
          <w:b/>
          <w:sz w:val="18"/>
          <w:szCs w:val="18"/>
          <w:u w:val="single"/>
        </w:rPr>
      </w:pPr>
    </w:p>
    <w:p w:rsidR="001004FA" w:rsidRDefault="00000000">
      <w:pPr>
        <w:jc w:val="center"/>
        <w:rPr>
          <w:rFonts w:ascii="Cambria" w:eastAsia="Cambria" w:hAnsi="Cambria" w:cs="Cambria"/>
          <w:b/>
          <w:sz w:val="18"/>
          <w:szCs w:val="18"/>
          <w:u w:val="single"/>
        </w:rPr>
      </w:pPr>
      <w:r>
        <w:rPr>
          <w:rFonts w:ascii="Cambria" w:eastAsia="Cambria" w:hAnsi="Cambria" w:cs="Cambria"/>
          <w:b/>
          <w:sz w:val="18"/>
          <w:szCs w:val="18"/>
          <w:u w:val="single"/>
        </w:rPr>
        <w:t>Details of Processing</w:t>
      </w:r>
    </w:p>
    <w:tbl>
      <w:tblPr>
        <w:tblStyle w:val="2"/>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3"/>
        <w:gridCol w:w="6857"/>
      </w:tblGrid>
      <w:tr w:rsidR="001004FA">
        <w:trPr>
          <w:trHeight w:val="638"/>
        </w:trPr>
        <w:tc>
          <w:tcPr>
            <w:tcW w:w="2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b/>
                <w:sz w:val="18"/>
                <w:szCs w:val="18"/>
              </w:rPr>
            </w:pPr>
            <w:bookmarkStart w:id="6" w:name="_heading=h.2lwamvv" w:colFirst="0" w:colLast="0"/>
            <w:bookmarkEnd w:id="6"/>
            <w:r>
              <w:rPr>
                <w:rFonts w:ascii="Cambria" w:eastAsia="Cambria" w:hAnsi="Cambria" w:cs="Cambria"/>
                <w:b/>
                <w:sz w:val="18"/>
                <w:szCs w:val="18"/>
              </w:rPr>
              <w:t>Categories of Data Subjects:</w:t>
            </w:r>
          </w:p>
        </w:tc>
        <w:tc>
          <w:tcPr>
            <w:tcW w:w="6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after="160" w:line="259" w:lineRule="auto"/>
              <w:rPr>
                <w:rFonts w:ascii="Calibri" w:eastAsia="Calibri" w:hAnsi="Calibri" w:cs="Calibri"/>
                <w:color w:val="000000"/>
                <w:sz w:val="18"/>
                <w:szCs w:val="18"/>
              </w:rPr>
            </w:pPr>
            <w:r>
              <w:rPr>
                <w:rFonts w:ascii="Calibri" w:eastAsia="Calibri" w:hAnsi="Calibri" w:cs="Calibri"/>
                <w:color w:val="000000"/>
                <w:sz w:val="18"/>
                <w:szCs w:val="18"/>
              </w:rPr>
              <w:t>Any individual accessing and/or using the Services through the Customer's account ("Users"); and any individual whose information is stored on or collected via the Services.</w:t>
            </w:r>
          </w:p>
        </w:tc>
      </w:tr>
      <w:tr w:rsidR="001004FA">
        <w:tc>
          <w:tcPr>
            <w:tcW w:w="2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b/>
                <w:sz w:val="18"/>
                <w:szCs w:val="18"/>
              </w:rPr>
            </w:pPr>
            <w:bookmarkStart w:id="7" w:name="_heading=h.111kx3o" w:colFirst="0" w:colLast="0"/>
            <w:bookmarkEnd w:id="7"/>
            <w:r>
              <w:rPr>
                <w:rFonts w:ascii="Cambria" w:eastAsia="Cambria" w:hAnsi="Cambria" w:cs="Cambria"/>
                <w:b/>
                <w:sz w:val="18"/>
                <w:szCs w:val="18"/>
              </w:rPr>
              <w:t>Categories of Customer Personal Data:</w:t>
            </w:r>
          </w:p>
        </w:tc>
        <w:tc>
          <w:tcPr>
            <w:tcW w:w="6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spacing w:after="160" w:line="259" w:lineRule="auto"/>
              <w:rPr>
                <w:rFonts w:ascii="Calibri" w:eastAsia="Calibri" w:hAnsi="Calibri" w:cs="Calibri"/>
                <w:color w:val="000000"/>
                <w:sz w:val="18"/>
                <w:szCs w:val="18"/>
              </w:rPr>
            </w:pPr>
            <w:r>
              <w:rPr>
                <w:rFonts w:ascii="Calibri" w:eastAsia="Calibri" w:hAnsi="Calibri" w:cs="Calibri"/>
                <w:sz w:val="18"/>
                <w:szCs w:val="18"/>
              </w:rPr>
              <w:t>Provider</w:t>
            </w:r>
            <w:r>
              <w:rPr>
                <w:rFonts w:ascii="Calibri" w:eastAsia="Calibri" w:hAnsi="Calibri" w:cs="Calibri"/>
                <w:color w:val="000000"/>
                <w:sz w:val="18"/>
                <w:szCs w:val="18"/>
              </w:rPr>
              <w:t xml:space="preserve"> processes</w:t>
            </w:r>
            <w:r>
              <w:rPr>
                <w:rFonts w:ascii="Calibri" w:eastAsia="Calibri" w:hAnsi="Calibri" w:cs="Calibri"/>
                <w:sz w:val="18"/>
                <w:szCs w:val="18"/>
              </w:rPr>
              <w:t xml:space="preserve"> data</w:t>
            </w:r>
            <w:r>
              <w:rPr>
                <w:rFonts w:ascii="Calibri" w:eastAsia="Calibri" w:hAnsi="Calibri" w:cs="Calibri"/>
                <w:color w:val="000000"/>
                <w:sz w:val="18"/>
                <w:szCs w:val="18"/>
              </w:rPr>
              <w:t xml:space="preserve"> provided by Customer (including any Personal Data Customer collects from its end users and processes through its use of the Services) or collected by </w:t>
            </w:r>
            <w:r>
              <w:rPr>
                <w:rFonts w:ascii="Calibri" w:eastAsia="Calibri" w:hAnsi="Calibri" w:cs="Calibri"/>
                <w:sz w:val="18"/>
                <w:szCs w:val="18"/>
              </w:rPr>
              <w:t>Provider</w:t>
            </w:r>
            <w:r>
              <w:rPr>
                <w:rFonts w:ascii="Calibri" w:eastAsia="Calibri" w:hAnsi="Calibri" w:cs="Calibri"/>
                <w:color w:val="000000"/>
                <w:sz w:val="18"/>
                <w:szCs w:val="18"/>
              </w:rPr>
              <w:t xml:space="preserve"> in order to provide the Services or as otherwise set forth in the Agreement or this Addendum. </w:t>
            </w:r>
            <w:r>
              <w:rPr>
                <w:rFonts w:ascii="Calibri" w:eastAsia="Calibri" w:hAnsi="Calibri" w:cs="Calibri"/>
                <w:sz w:val="18"/>
                <w:szCs w:val="18"/>
              </w:rPr>
              <w:t>Provider</w:t>
            </w:r>
            <w:r>
              <w:rPr>
                <w:rFonts w:ascii="Calibri" w:eastAsia="Calibri" w:hAnsi="Calibri" w:cs="Calibri"/>
                <w:color w:val="000000"/>
                <w:sz w:val="18"/>
                <w:szCs w:val="18"/>
              </w:rPr>
              <w:t xml:space="preserve"> does not request or require Personal Data in order to provide the Services.  Any Personal Data shared with </w:t>
            </w:r>
            <w:r>
              <w:rPr>
                <w:rFonts w:ascii="Calibri" w:eastAsia="Calibri" w:hAnsi="Calibri" w:cs="Calibri"/>
                <w:sz w:val="18"/>
                <w:szCs w:val="18"/>
              </w:rPr>
              <w:t>Provider</w:t>
            </w:r>
            <w:r>
              <w:rPr>
                <w:rFonts w:ascii="Calibri" w:eastAsia="Calibri" w:hAnsi="Calibri" w:cs="Calibri"/>
                <w:color w:val="000000"/>
                <w:sz w:val="18"/>
                <w:szCs w:val="18"/>
              </w:rPr>
              <w:t xml:space="preserve"> is done at Customer</w:t>
            </w:r>
            <w:r>
              <w:rPr>
                <w:rFonts w:ascii="Calibri" w:eastAsia="Calibri" w:hAnsi="Calibri" w:cs="Calibri"/>
                <w:sz w:val="18"/>
                <w:szCs w:val="18"/>
              </w:rPr>
              <w:t>’</w:t>
            </w:r>
            <w:r>
              <w:rPr>
                <w:rFonts w:ascii="Calibri" w:eastAsia="Calibri" w:hAnsi="Calibri" w:cs="Calibri"/>
                <w:color w:val="000000"/>
                <w:sz w:val="18"/>
                <w:szCs w:val="18"/>
              </w:rPr>
              <w:t xml:space="preserve">s discretion and Customer is responsible for ensuring it: 1) has obtained all necessary consents to share such Personal Data and 2) does not unnecessarily provide </w:t>
            </w:r>
            <w:r>
              <w:rPr>
                <w:rFonts w:ascii="Calibri" w:eastAsia="Calibri" w:hAnsi="Calibri" w:cs="Calibri"/>
                <w:sz w:val="18"/>
                <w:szCs w:val="18"/>
              </w:rPr>
              <w:t>Provider</w:t>
            </w:r>
            <w:r>
              <w:rPr>
                <w:rFonts w:ascii="Calibri" w:eastAsia="Calibri" w:hAnsi="Calibri" w:cs="Calibri"/>
                <w:color w:val="000000"/>
                <w:sz w:val="18"/>
                <w:szCs w:val="18"/>
              </w:rPr>
              <w:t xml:space="preserve"> with such Personal Data.  As such, Categories of Personal Data could potentially include identification and contact data (name, address, title, contact details, username); financial information (credit card details, account details, payment information); employment details (employer, job title, geographic location, area of responsibility) or any additional Personal Data provided by Customer. </w:t>
            </w:r>
          </w:p>
        </w:tc>
      </w:tr>
      <w:tr w:rsidR="001004FA">
        <w:tc>
          <w:tcPr>
            <w:tcW w:w="2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b/>
                <w:sz w:val="18"/>
                <w:szCs w:val="18"/>
              </w:rPr>
            </w:pPr>
            <w:bookmarkStart w:id="8" w:name="bookmark=id.3l18frh" w:colFirst="0" w:colLast="0"/>
            <w:bookmarkStart w:id="9" w:name="_heading=h.206ipza" w:colFirst="0" w:colLast="0"/>
            <w:bookmarkEnd w:id="8"/>
            <w:bookmarkEnd w:id="9"/>
            <w:r>
              <w:rPr>
                <w:rFonts w:ascii="Cambria" w:eastAsia="Cambria" w:hAnsi="Cambria" w:cs="Cambria"/>
                <w:b/>
                <w:sz w:val="18"/>
                <w:szCs w:val="18"/>
              </w:rPr>
              <w:t>Sensitive Categories of Data and additional associated restrictions/safeguards:</w:t>
            </w:r>
          </w:p>
        </w:tc>
        <w:tc>
          <w:tcPr>
            <w:tcW w:w="6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keepNext/>
              <w:tabs>
                <w:tab w:val="left" w:pos="720"/>
              </w:tabs>
              <w:spacing w:before="120" w:after="120"/>
              <w:rPr>
                <w:rFonts w:ascii="Cambria" w:eastAsia="Cambria" w:hAnsi="Cambria" w:cs="Cambria"/>
                <w:sz w:val="18"/>
                <w:szCs w:val="18"/>
              </w:rPr>
            </w:pPr>
            <w:r>
              <w:rPr>
                <w:rFonts w:ascii="Cambria" w:eastAsia="Cambria" w:hAnsi="Cambria" w:cs="Cambria"/>
                <w:sz w:val="18"/>
                <w:szCs w:val="18"/>
              </w:rPr>
              <w:t>None.</w:t>
            </w:r>
          </w:p>
        </w:tc>
      </w:tr>
      <w:tr w:rsidR="001004FA">
        <w:tc>
          <w:tcPr>
            <w:tcW w:w="2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b/>
                <w:sz w:val="18"/>
                <w:szCs w:val="18"/>
              </w:rPr>
            </w:pPr>
            <w:r>
              <w:rPr>
                <w:rFonts w:ascii="Cambria" w:eastAsia="Cambria" w:hAnsi="Cambria" w:cs="Cambria"/>
                <w:b/>
                <w:sz w:val="18"/>
                <w:szCs w:val="18"/>
              </w:rPr>
              <w:lastRenderedPageBreak/>
              <w:t>Frequency of transfer:</w:t>
            </w:r>
          </w:p>
        </w:tc>
        <w:tc>
          <w:tcPr>
            <w:tcW w:w="6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sz w:val="18"/>
                <w:szCs w:val="18"/>
              </w:rPr>
            </w:pPr>
            <w:r>
              <w:rPr>
                <w:rFonts w:ascii="Calibri" w:eastAsia="Calibri" w:hAnsi="Calibri" w:cs="Calibri"/>
                <w:sz w:val="18"/>
                <w:szCs w:val="18"/>
              </w:rPr>
              <w:t>To the extent required for Provider to provide the Services and for the parties to perform its respective obligations under the Agreement and Addendum</w:t>
            </w:r>
          </w:p>
        </w:tc>
      </w:tr>
      <w:tr w:rsidR="001004FA">
        <w:tc>
          <w:tcPr>
            <w:tcW w:w="2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b/>
                <w:sz w:val="18"/>
                <w:szCs w:val="18"/>
              </w:rPr>
            </w:pPr>
            <w:bookmarkStart w:id="10" w:name="_heading=h.4k668n3" w:colFirst="0" w:colLast="0"/>
            <w:bookmarkEnd w:id="10"/>
            <w:r>
              <w:rPr>
                <w:rFonts w:ascii="Cambria" w:eastAsia="Cambria" w:hAnsi="Cambria" w:cs="Cambria"/>
                <w:b/>
                <w:sz w:val="18"/>
                <w:szCs w:val="18"/>
              </w:rPr>
              <w:t>Nature and Purpose of the Processing:</w:t>
            </w:r>
          </w:p>
        </w:tc>
        <w:tc>
          <w:tcPr>
            <w:tcW w:w="6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sz w:val="18"/>
                <w:szCs w:val="18"/>
              </w:rPr>
            </w:pPr>
            <w:r>
              <w:rPr>
                <w:rFonts w:ascii="Calibri" w:eastAsia="Calibri" w:hAnsi="Calibri" w:cs="Calibri"/>
                <w:sz w:val="18"/>
                <w:szCs w:val="18"/>
              </w:rPr>
              <w:t>Provider</w:t>
            </w:r>
            <w:r>
              <w:rPr>
                <w:rFonts w:ascii="Calibri" w:eastAsia="Calibri" w:hAnsi="Calibri" w:cs="Calibri"/>
                <w:color w:val="000000"/>
                <w:sz w:val="18"/>
                <w:szCs w:val="18"/>
              </w:rPr>
              <w:t xml:space="preserve"> will process Customer’s Personal Data as necessary to provide the Services under the Agreement, for the purposes specified in the Agreement and this Addendum, and in accordance with Customer’s instructions as set forth in this Addendum.</w:t>
            </w:r>
          </w:p>
        </w:tc>
      </w:tr>
      <w:tr w:rsidR="001004FA">
        <w:tc>
          <w:tcPr>
            <w:tcW w:w="2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b/>
                <w:sz w:val="18"/>
                <w:szCs w:val="18"/>
              </w:rPr>
            </w:pPr>
            <w:r>
              <w:rPr>
                <w:rFonts w:ascii="Cambria" w:eastAsia="Cambria" w:hAnsi="Cambria" w:cs="Cambria"/>
                <w:b/>
                <w:sz w:val="18"/>
                <w:szCs w:val="18"/>
              </w:rPr>
              <w:t>Duration of Processing / retention period:</w:t>
            </w:r>
          </w:p>
        </w:tc>
        <w:tc>
          <w:tcPr>
            <w:tcW w:w="6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sz w:val="18"/>
                <w:szCs w:val="18"/>
              </w:rPr>
            </w:pPr>
            <w:r>
              <w:rPr>
                <w:rFonts w:ascii="Calibri" w:eastAsia="Calibri" w:hAnsi="Calibri" w:cs="Calibri"/>
                <w:sz w:val="18"/>
                <w:szCs w:val="18"/>
              </w:rPr>
              <w:t>To the extent required for Provider to provide the Services and for the parties to perform its respective obligations under the Agreement and Addendum</w:t>
            </w:r>
          </w:p>
        </w:tc>
      </w:tr>
      <w:tr w:rsidR="001004FA">
        <w:tc>
          <w:tcPr>
            <w:tcW w:w="27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b/>
                <w:sz w:val="18"/>
                <w:szCs w:val="18"/>
              </w:rPr>
            </w:pPr>
            <w:bookmarkStart w:id="11" w:name="_heading=h.2zbgiuw" w:colFirst="0" w:colLast="0"/>
            <w:bookmarkEnd w:id="11"/>
            <w:r>
              <w:rPr>
                <w:rFonts w:ascii="Cambria" w:eastAsia="Cambria" w:hAnsi="Cambria" w:cs="Cambria"/>
                <w:b/>
                <w:sz w:val="18"/>
                <w:szCs w:val="18"/>
              </w:rPr>
              <w:t xml:space="preserve">Transfers to </w:t>
            </w:r>
            <w:proofErr w:type="spellStart"/>
            <w:r>
              <w:rPr>
                <w:rFonts w:ascii="Cambria" w:eastAsia="Cambria" w:hAnsi="Cambria" w:cs="Cambria"/>
                <w:b/>
                <w:sz w:val="18"/>
                <w:szCs w:val="18"/>
              </w:rPr>
              <w:t>Subprocessors</w:t>
            </w:r>
            <w:proofErr w:type="spellEnd"/>
            <w:r>
              <w:rPr>
                <w:rFonts w:ascii="Cambria" w:eastAsia="Cambria" w:hAnsi="Cambria" w:cs="Cambria"/>
                <w:b/>
                <w:sz w:val="18"/>
                <w:szCs w:val="18"/>
              </w:rPr>
              <w:t>:</w:t>
            </w:r>
          </w:p>
        </w:tc>
        <w:tc>
          <w:tcPr>
            <w:tcW w:w="6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4FA" w:rsidRDefault="00000000">
            <w:pPr>
              <w:tabs>
                <w:tab w:val="left" w:pos="720"/>
              </w:tabs>
              <w:spacing w:before="120" w:after="120"/>
              <w:rPr>
                <w:rFonts w:ascii="Cambria" w:eastAsia="Cambria" w:hAnsi="Cambria" w:cs="Cambria"/>
                <w:sz w:val="18"/>
                <w:szCs w:val="18"/>
              </w:rPr>
            </w:pPr>
            <w:r>
              <w:rPr>
                <w:rFonts w:ascii="Calibri" w:eastAsia="Calibri" w:hAnsi="Calibri" w:cs="Calibri"/>
                <w:i/>
                <w:sz w:val="18"/>
                <w:szCs w:val="18"/>
              </w:rPr>
              <w:t>https://www.growthbook.io/subprocessors</w:t>
            </w:r>
          </w:p>
        </w:tc>
      </w:tr>
    </w:tbl>
    <w:p w:rsidR="001004FA" w:rsidRDefault="00000000">
      <w:pPr>
        <w:keepNext/>
        <w:jc w:val="center"/>
        <w:rPr>
          <w:rFonts w:ascii="Cambria" w:eastAsia="Cambria" w:hAnsi="Cambria" w:cs="Cambria"/>
          <w:b/>
          <w:sz w:val="18"/>
          <w:szCs w:val="18"/>
        </w:rPr>
      </w:pPr>
      <w:r>
        <w:br w:type="page"/>
      </w:r>
      <w:r>
        <w:rPr>
          <w:rFonts w:ascii="Cambria" w:eastAsia="Cambria" w:hAnsi="Cambria" w:cs="Cambria"/>
          <w:b/>
          <w:sz w:val="18"/>
          <w:szCs w:val="18"/>
        </w:rPr>
        <w:lastRenderedPageBreak/>
        <w:t xml:space="preserve">Schedule 2: Technical and Organizational Measures </w:t>
      </w:r>
    </w:p>
    <w:p w:rsidR="001004FA" w:rsidRDefault="00000000">
      <w:pPr>
        <w:widowControl w:val="0"/>
        <w:pBdr>
          <w:top w:val="nil"/>
          <w:left w:val="nil"/>
          <w:bottom w:val="nil"/>
          <w:right w:val="nil"/>
          <w:between w:val="nil"/>
        </w:pBdr>
        <w:spacing w:before="158"/>
        <w:ind w:left="140" w:right="153"/>
        <w:jc w:val="both"/>
        <w:rPr>
          <w:rFonts w:ascii="Cambria" w:eastAsia="Cambria" w:hAnsi="Cambria" w:cs="Cambria"/>
          <w:color w:val="000000"/>
          <w:sz w:val="18"/>
          <w:szCs w:val="18"/>
        </w:rPr>
      </w:pPr>
      <w:r>
        <w:rPr>
          <w:rFonts w:ascii="Cambria" w:eastAsia="Cambria" w:hAnsi="Cambria" w:cs="Cambria"/>
          <w:color w:val="000000"/>
          <w:sz w:val="18"/>
          <w:szCs w:val="18"/>
        </w:rPr>
        <w:t xml:space="preserve">The technical and organizational measures (TOMs) provided below apply to all standard service offerings provided by </w:t>
      </w:r>
      <w:r>
        <w:rPr>
          <w:rFonts w:ascii="Cambria" w:eastAsia="Cambria" w:hAnsi="Cambria" w:cs="Cambria"/>
          <w:sz w:val="18"/>
          <w:szCs w:val="18"/>
        </w:rPr>
        <w:t>Provider</w:t>
      </w:r>
      <w:r>
        <w:rPr>
          <w:rFonts w:ascii="Cambria" w:eastAsia="Cambria" w:hAnsi="Cambria" w:cs="Cambria"/>
          <w:color w:val="000000"/>
          <w:sz w:val="18"/>
          <w:szCs w:val="18"/>
        </w:rPr>
        <w:t xml:space="preserve">. Evidence of the following measures implemented and maintained by </w:t>
      </w:r>
      <w:r>
        <w:rPr>
          <w:rFonts w:ascii="Cambria" w:eastAsia="Cambria" w:hAnsi="Cambria" w:cs="Cambria"/>
          <w:sz w:val="18"/>
          <w:szCs w:val="18"/>
        </w:rPr>
        <w:t>Provider</w:t>
      </w:r>
      <w:r>
        <w:rPr>
          <w:rFonts w:ascii="Cambria" w:eastAsia="Cambria" w:hAnsi="Cambria" w:cs="Cambria"/>
          <w:color w:val="000000"/>
          <w:sz w:val="18"/>
          <w:szCs w:val="18"/>
        </w:rPr>
        <w:t>, including extracts from reports, may be requested in writing.</w:t>
      </w:r>
    </w:p>
    <w:p w:rsidR="001004FA" w:rsidRDefault="001004FA">
      <w:pPr>
        <w:widowControl w:val="0"/>
        <w:pBdr>
          <w:top w:val="nil"/>
          <w:left w:val="nil"/>
          <w:bottom w:val="nil"/>
          <w:right w:val="nil"/>
          <w:between w:val="nil"/>
        </w:pBdr>
        <w:spacing w:before="11"/>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Document Management</w:t>
      </w: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validate that necessary documentation is in place between </w:t>
      </w:r>
      <w:r>
        <w:rPr>
          <w:rFonts w:ascii="Cambria" w:eastAsia="Cambria" w:hAnsi="Cambria" w:cs="Cambria"/>
          <w:sz w:val="18"/>
          <w:szCs w:val="18"/>
        </w:rPr>
        <w:t>Provider</w:t>
      </w:r>
      <w:r>
        <w:rPr>
          <w:rFonts w:ascii="Cambria" w:eastAsia="Cambria" w:hAnsi="Cambria" w:cs="Cambria"/>
          <w:color w:val="000000"/>
          <w:sz w:val="18"/>
          <w:szCs w:val="18"/>
        </w:rPr>
        <w:t xml:space="preserve"> and Client where </w:t>
      </w:r>
      <w:r>
        <w:rPr>
          <w:rFonts w:ascii="Cambria" w:eastAsia="Cambria" w:hAnsi="Cambria" w:cs="Cambria"/>
          <w:sz w:val="18"/>
          <w:szCs w:val="18"/>
        </w:rPr>
        <w:t>Provider</w:t>
      </w:r>
      <w:r>
        <w:rPr>
          <w:rFonts w:ascii="Cambria" w:eastAsia="Cambria" w:hAnsi="Cambria" w:cs="Cambria"/>
          <w:color w:val="000000"/>
          <w:sz w:val="18"/>
          <w:szCs w:val="18"/>
        </w:rPr>
        <w:t xml:space="preserve"> processes Personal Data covered by GDPR. In case of a change to the Services, any change to the processing of Personal Data will be reviewed to determine any impact on required TOMs and other contract exhibits. Where applicable, sub-processors will be identified for Client approval with periodic review to validate ongoing adherence to the agreed upon TOMs.</w:t>
      </w:r>
    </w:p>
    <w:p w:rsidR="001004FA" w:rsidRDefault="001004FA">
      <w:pPr>
        <w:widowControl w:val="0"/>
        <w:pBdr>
          <w:top w:val="nil"/>
          <w:left w:val="nil"/>
          <w:bottom w:val="nil"/>
          <w:right w:val="nil"/>
          <w:between w:val="nil"/>
        </w:pBdr>
        <w:spacing w:before="1"/>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right="74"/>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create and maintain the following security and privacy documentation as well as store them in a central repository with restricted access control:</w:t>
      </w:r>
    </w:p>
    <w:p w:rsidR="001004FA" w:rsidRDefault="00000000">
      <w:pPr>
        <w:widowControl w:val="0"/>
        <w:numPr>
          <w:ilvl w:val="0"/>
          <w:numId w:val="3"/>
        </w:numPr>
        <w:pBdr>
          <w:top w:val="nil"/>
          <w:left w:val="nil"/>
          <w:bottom w:val="nil"/>
          <w:right w:val="nil"/>
          <w:between w:val="nil"/>
        </w:pBdr>
        <w:tabs>
          <w:tab w:val="left" w:pos="861"/>
        </w:tabs>
        <w:jc w:val="both"/>
        <w:rPr>
          <w:rFonts w:ascii="Cambria" w:eastAsia="Cambria" w:hAnsi="Cambria" w:cs="Cambria"/>
          <w:color w:val="000000"/>
          <w:sz w:val="18"/>
          <w:szCs w:val="18"/>
        </w:rPr>
      </w:pPr>
      <w:r>
        <w:rPr>
          <w:rFonts w:ascii="Cambria" w:eastAsia="Cambria" w:hAnsi="Cambria" w:cs="Cambria"/>
          <w:color w:val="000000"/>
          <w:sz w:val="18"/>
          <w:szCs w:val="18"/>
        </w:rPr>
        <w:t>Data Protection and Security Addendum (DPA)</w:t>
      </w:r>
    </w:p>
    <w:p w:rsidR="001004FA" w:rsidRDefault="00000000">
      <w:pPr>
        <w:widowControl w:val="0"/>
        <w:numPr>
          <w:ilvl w:val="0"/>
          <w:numId w:val="3"/>
        </w:numPr>
        <w:pBdr>
          <w:top w:val="nil"/>
          <w:left w:val="nil"/>
          <w:bottom w:val="nil"/>
          <w:right w:val="nil"/>
          <w:between w:val="nil"/>
        </w:pBdr>
        <w:tabs>
          <w:tab w:val="left" w:pos="861"/>
        </w:tabs>
        <w:jc w:val="both"/>
        <w:rPr>
          <w:rFonts w:ascii="Cambria" w:eastAsia="Cambria" w:hAnsi="Cambria" w:cs="Cambria"/>
          <w:color w:val="000000"/>
          <w:sz w:val="18"/>
          <w:szCs w:val="18"/>
        </w:rPr>
      </w:pPr>
      <w:r>
        <w:rPr>
          <w:rFonts w:ascii="Cambria" w:eastAsia="Cambria" w:hAnsi="Cambria" w:cs="Cambria"/>
          <w:color w:val="000000"/>
          <w:sz w:val="18"/>
          <w:szCs w:val="18"/>
        </w:rPr>
        <w:t>Technical and Organizational Measures (TOMs)</w:t>
      </w:r>
    </w:p>
    <w:p w:rsidR="001004FA" w:rsidRDefault="00000000">
      <w:pPr>
        <w:widowControl w:val="0"/>
        <w:numPr>
          <w:ilvl w:val="0"/>
          <w:numId w:val="3"/>
        </w:numPr>
        <w:pBdr>
          <w:top w:val="nil"/>
          <w:left w:val="nil"/>
          <w:bottom w:val="nil"/>
          <w:right w:val="nil"/>
          <w:between w:val="nil"/>
        </w:pBdr>
        <w:tabs>
          <w:tab w:val="left" w:pos="860"/>
          <w:tab w:val="left" w:pos="861"/>
        </w:tabs>
        <w:ind w:right="274"/>
        <w:jc w:val="both"/>
        <w:rPr>
          <w:rFonts w:ascii="Cambria" w:eastAsia="Cambria" w:hAnsi="Cambria" w:cs="Cambria"/>
          <w:color w:val="000000"/>
          <w:sz w:val="18"/>
          <w:szCs w:val="18"/>
        </w:rPr>
      </w:pPr>
      <w:r>
        <w:rPr>
          <w:rFonts w:ascii="Cambria" w:eastAsia="Cambria" w:hAnsi="Cambria" w:cs="Cambria"/>
          <w:color w:val="000000"/>
          <w:sz w:val="18"/>
          <w:szCs w:val="18"/>
        </w:rPr>
        <w:t>Non-disclosure Agreement (NDA) (as required)</w:t>
      </w:r>
    </w:p>
    <w:p w:rsidR="001004FA" w:rsidRDefault="00000000">
      <w:pPr>
        <w:widowControl w:val="0"/>
        <w:numPr>
          <w:ilvl w:val="0"/>
          <w:numId w:val="3"/>
        </w:numPr>
        <w:pBdr>
          <w:top w:val="nil"/>
          <w:left w:val="nil"/>
          <w:bottom w:val="nil"/>
          <w:right w:val="nil"/>
          <w:between w:val="nil"/>
        </w:pBdr>
        <w:tabs>
          <w:tab w:val="left" w:pos="861"/>
        </w:tabs>
        <w:jc w:val="both"/>
        <w:rPr>
          <w:rFonts w:ascii="Cambria" w:eastAsia="Cambria" w:hAnsi="Cambria" w:cs="Cambria"/>
          <w:color w:val="000000"/>
          <w:sz w:val="18"/>
          <w:szCs w:val="18"/>
        </w:rPr>
      </w:pPr>
      <w:r>
        <w:rPr>
          <w:rFonts w:ascii="Cambria" w:eastAsia="Cambria" w:hAnsi="Cambria" w:cs="Cambria"/>
          <w:color w:val="000000"/>
          <w:sz w:val="18"/>
          <w:szCs w:val="18"/>
        </w:rPr>
        <w:t>Sub-processor Agreement (as required)</w:t>
      </w:r>
    </w:p>
    <w:p w:rsidR="001004FA" w:rsidRDefault="00000000">
      <w:pPr>
        <w:widowControl w:val="0"/>
        <w:numPr>
          <w:ilvl w:val="0"/>
          <w:numId w:val="3"/>
        </w:numPr>
        <w:pBdr>
          <w:top w:val="nil"/>
          <w:left w:val="nil"/>
          <w:bottom w:val="nil"/>
          <w:right w:val="nil"/>
          <w:between w:val="nil"/>
        </w:pBdr>
        <w:tabs>
          <w:tab w:val="left" w:pos="861"/>
        </w:tabs>
        <w:jc w:val="both"/>
        <w:rPr>
          <w:rFonts w:ascii="Cambria" w:eastAsia="Cambria" w:hAnsi="Cambria" w:cs="Cambria"/>
          <w:color w:val="000000"/>
          <w:sz w:val="18"/>
          <w:szCs w:val="18"/>
        </w:rPr>
      </w:pPr>
      <w:r>
        <w:rPr>
          <w:rFonts w:ascii="Cambria" w:eastAsia="Cambria" w:hAnsi="Cambria" w:cs="Cambria"/>
          <w:color w:val="000000"/>
          <w:sz w:val="18"/>
          <w:szCs w:val="18"/>
        </w:rPr>
        <w:t>Additional security and privacy documents as required.</w:t>
      </w:r>
    </w:p>
    <w:p w:rsidR="001004FA" w:rsidRDefault="001004FA">
      <w:pPr>
        <w:widowControl w:val="0"/>
        <w:pBdr>
          <w:top w:val="nil"/>
          <w:left w:val="nil"/>
          <w:bottom w:val="nil"/>
          <w:right w:val="nil"/>
          <w:between w:val="nil"/>
        </w:pBdr>
        <w:spacing w:before="1"/>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Security Incidents</w:t>
      </w: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maintain an incident response plan and follow documented incident response policies including data breach notification to Data Controller without undue delay where a breach is known or reasonably suspected to affect Client Personal Data.</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Risk Management</w:t>
      </w:r>
    </w:p>
    <w:p w:rsidR="001004FA" w:rsidRDefault="00000000">
      <w:pPr>
        <w:widowControl w:val="0"/>
        <w:pBdr>
          <w:top w:val="nil"/>
          <w:left w:val="nil"/>
          <w:bottom w:val="nil"/>
          <w:right w:val="nil"/>
          <w:between w:val="nil"/>
        </w:pBdr>
        <w:spacing w:before="1"/>
        <w:ind w:left="140" w:right="656"/>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assess risks related to processing of Client Personal Data and create an action plan to mitigate identified risks.</w:t>
      </w:r>
    </w:p>
    <w:p w:rsidR="001004FA" w:rsidRDefault="001004FA">
      <w:pPr>
        <w:widowControl w:val="0"/>
        <w:pBdr>
          <w:top w:val="nil"/>
          <w:left w:val="nil"/>
          <w:bottom w:val="nil"/>
          <w:right w:val="nil"/>
          <w:between w:val="nil"/>
        </w:pBdr>
        <w:spacing w:before="11"/>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Security Policies</w:t>
      </w: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maintain and follow security policies and practices that are integral to </w:t>
      </w:r>
      <w:r>
        <w:rPr>
          <w:rFonts w:ascii="Cambria" w:eastAsia="Cambria" w:hAnsi="Cambria" w:cs="Cambria"/>
          <w:sz w:val="18"/>
          <w:szCs w:val="18"/>
        </w:rPr>
        <w:t>Provider</w:t>
      </w:r>
      <w:r>
        <w:rPr>
          <w:rFonts w:ascii="Cambria" w:eastAsia="Cambria" w:hAnsi="Cambria" w:cs="Cambria"/>
          <w:color w:val="000000"/>
          <w:sz w:val="18"/>
          <w:szCs w:val="18"/>
        </w:rPr>
        <w:t xml:space="preserve">’s business and mandatory for all </w:t>
      </w:r>
      <w:r>
        <w:rPr>
          <w:rFonts w:ascii="Cambria" w:eastAsia="Cambria" w:hAnsi="Cambria" w:cs="Cambria"/>
          <w:sz w:val="18"/>
          <w:szCs w:val="18"/>
        </w:rPr>
        <w:t>Provider</w:t>
      </w:r>
      <w:r>
        <w:rPr>
          <w:rFonts w:ascii="Cambria" w:eastAsia="Cambria" w:hAnsi="Cambria" w:cs="Cambria"/>
          <w:color w:val="000000"/>
          <w:sz w:val="18"/>
          <w:szCs w:val="18"/>
        </w:rPr>
        <w:t xml:space="preserve"> employees, including supplemental personnel. Security policies will be reviewed periodically and </w:t>
      </w:r>
      <w:r>
        <w:rPr>
          <w:rFonts w:ascii="Cambria" w:eastAsia="Cambria" w:hAnsi="Cambria" w:cs="Cambria"/>
          <w:sz w:val="18"/>
          <w:szCs w:val="18"/>
        </w:rPr>
        <w:t>Provider</w:t>
      </w:r>
      <w:r>
        <w:rPr>
          <w:rFonts w:ascii="Cambria" w:eastAsia="Cambria" w:hAnsi="Cambria" w:cs="Cambria"/>
          <w:color w:val="000000"/>
          <w:sz w:val="18"/>
          <w:szCs w:val="18"/>
        </w:rPr>
        <w:t xml:space="preserve"> shall amend such policies as deems reasonable to maintain protection of Services and Client Personal Data.</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spacing w:before="1"/>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maintain an inventory of Client Personal Data reflecting the instructions set out in the DPA, including disposal instructions upon contract termination. Computing environments with resources containing Client Personal Data will be logged and monitored.</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employees will complete security and privacy education annually and certify each year that they will comply with </w:t>
      </w:r>
      <w:r>
        <w:rPr>
          <w:rFonts w:ascii="Cambria" w:eastAsia="Cambria" w:hAnsi="Cambria" w:cs="Cambria"/>
          <w:sz w:val="18"/>
          <w:szCs w:val="18"/>
        </w:rPr>
        <w:t>Provider</w:t>
      </w:r>
      <w:r>
        <w:rPr>
          <w:rFonts w:ascii="Cambria" w:eastAsia="Cambria" w:hAnsi="Cambria" w:cs="Cambria"/>
          <w:color w:val="000000"/>
          <w:sz w:val="18"/>
          <w:szCs w:val="18"/>
        </w:rPr>
        <w:t xml:space="preserve">’s ethical business conduct, confidentiality, and security policies. Additional policy and process training will be provided to persons granted administrative access to security components that is specific to their role within </w:t>
      </w:r>
      <w:r>
        <w:rPr>
          <w:rFonts w:ascii="Cambria" w:eastAsia="Cambria" w:hAnsi="Cambria" w:cs="Cambria"/>
          <w:sz w:val="18"/>
          <w:szCs w:val="18"/>
        </w:rPr>
        <w:t>Provider</w:t>
      </w:r>
      <w:r>
        <w:rPr>
          <w:rFonts w:ascii="Cambria" w:eastAsia="Cambria" w:hAnsi="Cambria" w:cs="Cambria"/>
          <w:color w:val="000000"/>
          <w:sz w:val="18"/>
          <w:szCs w:val="18"/>
        </w:rPr>
        <w:t>’s operation and support of the service, and as required to maintain compliance and certifications.</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sectPr w:rsidR="001004FA">
          <w:pgSz w:w="12240" w:h="15840"/>
          <w:pgMar w:top="1440" w:right="1340" w:bottom="280" w:left="1300" w:header="720" w:footer="720" w:gutter="0"/>
          <w:pgNumType w:start="1"/>
          <w:cols w:space="720"/>
        </w:sectPr>
      </w:pPr>
    </w:p>
    <w:p w:rsidR="001004FA" w:rsidRDefault="00000000">
      <w:pPr>
        <w:widowControl w:val="0"/>
        <w:pBdr>
          <w:top w:val="nil"/>
          <w:left w:val="nil"/>
          <w:bottom w:val="nil"/>
          <w:right w:val="nil"/>
          <w:between w:val="nil"/>
        </w:pBdr>
        <w:spacing w:before="173"/>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lastRenderedPageBreak/>
        <w:t>User Access Management</w:t>
      </w:r>
    </w:p>
    <w:p w:rsidR="001004FA" w:rsidRDefault="00000000">
      <w:pPr>
        <w:widowControl w:val="0"/>
        <w:pBdr>
          <w:top w:val="nil"/>
          <w:left w:val="nil"/>
          <w:bottom w:val="nil"/>
          <w:right w:val="nil"/>
          <w:between w:val="nil"/>
        </w:pBdr>
        <w:ind w:left="140" w:right="115"/>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maintain proper controls for requesting, approving, granting, modifying, revoking and revalidating user access to systems and applications containing Client Personal Data. Only employees with a clear business need will be granted access to Client Personal Data located on servers, within applications, databases and/or ability to download data within </w:t>
      </w:r>
      <w:r>
        <w:rPr>
          <w:rFonts w:ascii="Cambria" w:eastAsia="Cambria" w:hAnsi="Cambria" w:cs="Cambria"/>
          <w:sz w:val="18"/>
          <w:szCs w:val="18"/>
        </w:rPr>
        <w:t>Provider</w:t>
      </w:r>
      <w:r>
        <w:rPr>
          <w:rFonts w:ascii="Cambria" w:eastAsia="Cambria" w:hAnsi="Cambria" w:cs="Cambria"/>
          <w:color w:val="000000"/>
          <w:sz w:val="18"/>
          <w:szCs w:val="18"/>
        </w:rPr>
        <w:t xml:space="preserve">’s network. All access requests will be approved based on individual role-based access and reviewed on a regular basis for continued business need. All systems must meet </w:t>
      </w:r>
      <w:r>
        <w:rPr>
          <w:rFonts w:ascii="Cambria" w:eastAsia="Cambria" w:hAnsi="Cambria" w:cs="Cambria"/>
          <w:sz w:val="18"/>
          <w:szCs w:val="18"/>
        </w:rPr>
        <w:t>Provider</w:t>
      </w:r>
      <w:r>
        <w:rPr>
          <w:rFonts w:ascii="Cambria" w:eastAsia="Cambria" w:hAnsi="Cambria" w:cs="Cambria"/>
          <w:color w:val="000000"/>
          <w:sz w:val="18"/>
          <w:szCs w:val="18"/>
        </w:rPr>
        <w:t xml:space="preserve"> security standards and employ security configurations and security hygiene practices to protect against unauthorized access.</w:t>
      </w:r>
    </w:p>
    <w:p w:rsidR="001004FA" w:rsidRDefault="001004FA">
      <w:pPr>
        <w:widowControl w:val="0"/>
        <w:pBdr>
          <w:top w:val="nil"/>
          <w:left w:val="nil"/>
          <w:bottom w:val="nil"/>
          <w:right w:val="nil"/>
          <w:between w:val="nil"/>
        </w:pBdr>
        <w:spacing w:before="3"/>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System and Network Security</w:t>
      </w: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employ encrypted and authenticated remote connectivity to </w:t>
      </w:r>
      <w:r>
        <w:rPr>
          <w:rFonts w:ascii="Cambria" w:eastAsia="Cambria" w:hAnsi="Cambria" w:cs="Cambria"/>
          <w:sz w:val="18"/>
          <w:szCs w:val="18"/>
        </w:rPr>
        <w:t>Provider</w:t>
      </w:r>
      <w:r>
        <w:rPr>
          <w:rFonts w:ascii="Cambria" w:eastAsia="Cambria" w:hAnsi="Cambria" w:cs="Cambria"/>
          <w:color w:val="000000"/>
          <w:sz w:val="18"/>
          <w:szCs w:val="18"/>
        </w:rPr>
        <w:t>’s computing environments.</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implement network security measures to support the security and availability of computing environments, including, as applicable, firewalls, remote access control via virtual private networks or remote access solutions, network segmentation, and detection of unauthorized or malicious network activity via security logging and monitoring.</w:t>
      </w:r>
    </w:p>
    <w:p w:rsidR="001004FA" w:rsidRDefault="001004FA">
      <w:pPr>
        <w:widowControl w:val="0"/>
        <w:pBdr>
          <w:top w:val="nil"/>
          <w:left w:val="nil"/>
          <w:bottom w:val="nil"/>
          <w:right w:val="nil"/>
          <w:between w:val="nil"/>
        </w:pBdr>
        <w:spacing w:before="7"/>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spacing w:before="1"/>
        <w:ind w:left="140" w:right="74"/>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maintain defined, documented and annually validated business continuity and disaster recovery plans consistent with industry standard practices. </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Controls and Validation</w:t>
      </w:r>
    </w:p>
    <w:p w:rsidR="001004FA" w:rsidRDefault="00000000">
      <w:pPr>
        <w:widowControl w:val="0"/>
        <w:pBdr>
          <w:top w:val="nil"/>
          <w:left w:val="nil"/>
          <w:bottom w:val="nil"/>
          <w:right w:val="nil"/>
          <w:between w:val="nil"/>
        </w:pBdr>
        <w:ind w:left="140" w:right="656"/>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maintain policies and procedures designed to manage risks associated with the application of changes to the Services. Prior to implementation, changes to systems, networks and underlying components, will be documented in a registered change request that includes a description and reason for the change, implementation details and schedule, rollback plan, and documented approval by authorized personnel.</w:t>
      </w:r>
    </w:p>
    <w:p w:rsidR="001004FA" w:rsidRDefault="001004FA">
      <w:pPr>
        <w:widowControl w:val="0"/>
        <w:pBdr>
          <w:top w:val="nil"/>
          <w:left w:val="nil"/>
          <w:bottom w:val="nil"/>
          <w:right w:val="nil"/>
          <w:between w:val="nil"/>
        </w:pBdr>
        <w:spacing w:before="1"/>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Media Handling</w:t>
      </w: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t>
      </w:r>
      <w:r>
        <w:rPr>
          <w:rFonts w:ascii="Cambria" w:eastAsia="Cambria" w:hAnsi="Cambria" w:cs="Cambria"/>
          <w:sz w:val="18"/>
          <w:szCs w:val="18"/>
        </w:rPr>
        <w:t>does</w:t>
      </w:r>
      <w:r>
        <w:rPr>
          <w:rFonts w:ascii="Cambria" w:eastAsia="Cambria" w:hAnsi="Cambria" w:cs="Cambria"/>
          <w:color w:val="000000"/>
          <w:sz w:val="18"/>
          <w:szCs w:val="18"/>
        </w:rPr>
        <w:t xml:space="preserve"> not </w:t>
      </w:r>
      <w:r>
        <w:rPr>
          <w:rFonts w:ascii="Cambria" w:eastAsia="Cambria" w:hAnsi="Cambria" w:cs="Cambria"/>
          <w:sz w:val="18"/>
          <w:szCs w:val="18"/>
        </w:rPr>
        <w:t xml:space="preserve">use or accept </w:t>
      </w:r>
      <w:proofErr w:type="gramStart"/>
      <w:r>
        <w:rPr>
          <w:rFonts w:ascii="Cambria" w:eastAsia="Cambria" w:hAnsi="Cambria" w:cs="Cambria"/>
          <w:sz w:val="18"/>
          <w:szCs w:val="18"/>
        </w:rPr>
        <w:t xml:space="preserve">any </w:t>
      </w:r>
      <w:r>
        <w:rPr>
          <w:rFonts w:ascii="Cambria" w:eastAsia="Cambria" w:hAnsi="Cambria" w:cs="Cambria"/>
          <w:color w:val="000000"/>
          <w:sz w:val="18"/>
          <w:szCs w:val="18"/>
        </w:rPr>
        <w:t xml:space="preserve"> portable</w:t>
      </w:r>
      <w:proofErr w:type="gramEnd"/>
      <w:r>
        <w:rPr>
          <w:rFonts w:ascii="Cambria" w:eastAsia="Cambria" w:hAnsi="Cambria" w:cs="Cambria"/>
          <w:color w:val="000000"/>
          <w:sz w:val="18"/>
          <w:szCs w:val="18"/>
        </w:rPr>
        <w:t xml:space="preserve"> storage media. </w:t>
      </w:r>
    </w:p>
    <w:p w:rsidR="001004FA" w:rsidRDefault="001004FA">
      <w:pPr>
        <w:widowControl w:val="0"/>
        <w:pBdr>
          <w:top w:val="nil"/>
          <w:left w:val="nil"/>
          <w:bottom w:val="nil"/>
          <w:right w:val="nil"/>
          <w:between w:val="nil"/>
        </w:pBdr>
        <w:ind w:left="140" w:right="153"/>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right="153"/>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securely sanitize physical storage media intended for reuse prior to such reuse and will destroy physical storage media not intended for reuse.</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spacing w:before="1"/>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Workstation Protection</w:t>
      </w:r>
    </w:p>
    <w:p w:rsidR="001004FA" w:rsidRDefault="00000000">
      <w:pPr>
        <w:widowControl w:val="0"/>
        <w:pBdr>
          <w:top w:val="nil"/>
          <w:left w:val="nil"/>
          <w:bottom w:val="nil"/>
          <w:right w:val="nil"/>
          <w:between w:val="nil"/>
        </w:pBdr>
        <w:ind w:left="140" w:right="74"/>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implement protections on end-user devices and monitor those devices to be in compliance with the security standard requiring hard drive passwords, screen saver, antivirus software, firewall software, unauthenticated file sharing, hard disk encryption and appropriate patch levels. Controls are implemented to detect and remediate workstation compliance deviations. </w:t>
      </w:r>
    </w:p>
    <w:p w:rsidR="001004FA" w:rsidRDefault="00000000">
      <w:pPr>
        <w:widowControl w:val="0"/>
        <w:pBdr>
          <w:top w:val="nil"/>
          <w:left w:val="nil"/>
          <w:bottom w:val="nil"/>
          <w:right w:val="nil"/>
          <w:between w:val="nil"/>
        </w:pBdr>
        <w:spacing w:before="173"/>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Privacy by Design</w:t>
      </w:r>
    </w:p>
    <w:p w:rsidR="001004FA" w:rsidRDefault="00000000">
      <w:pPr>
        <w:widowControl w:val="0"/>
        <w:pBdr>
          <w:top w:val="nil"/>
          <w:left w:val="nil"/>
          <w:bottom w:val="nil"/>
          <w:right w:val="nil"/>
          <w:between w:val="nil"/>
        </w:pBdr>
        <w:ind w:left="140" w:right="74"/>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incorporate Privacy by Design principles for Services and enhancements at the earliest stage of development as well as educate all employees on security and privacy annually.</w:t>
      </w:r>
    </w:p>
    <w:p w:rsidR="001004FA" w:rsidRDefault="001004FA">
      <w:pPr>
        <w:widowControl w:val="0"/>
        <w:pBdr>
          <w:top w:val="nil"/>
          <w:left w:val="nil"/>
          <w:bottom w:val="nil"/>
          <w:right w:val="nil"/>
          <w:between w:val="nil"/>
        </w:pBdr>
        <w:jc w:val="both"/>
        <w:rPr>
          <w:rFonts w:ascii="Cambria" w:eastAsia="Cambria" w:hAnsi="Cambria" w:cs="Cambria"/>
          <w:color w:val="000000"/>
          <w:sz w:val="18"/>
          <w:szCs w:val="18"/>
        </w:rPr>
      </w:pPr>
    </w:p>
    <w:p w:rsidR="001004FA" w:rsidRDefault="00000000">
      <w:pPr>
        <w:widowControl w:val="0"/>
        <w:pBdr>
          <w:top w:val="nil"/>
          <w:left w:val="nil"/>
          <w:bottom w:val="nil"/>
          <w:right w:val="nil"/>
          <w:between w:val="nil"/>
        </w:pBdr>
        <w:ind w:left="140"/>
        <w:jc w:val="both"/>
        <w:rPr>
          <w:rFonts w:ascii="Cambria" w:eastAsia="Cambria" w:hAnsi="Cambria" w:cs="Cambria"/>
          <w:b/>
          <w:color w:val="000000"/>
          <w:sz w:val="18"/>
          <w:szCs w:val="18"/>
        </w:rPr>
      </w:pPr>
      <w:r>
        <w:rPr>
          <w:rFonts w:ascii="Cambria" w:eastAsia="Cambria" w:hAnsi="Cambria" w:cs="Cambria"/>
          <w:b/>
          <w:color w:val="000000"/>
          <w:sz w:val="18"/>
          <w:szCs w:val="18"/>
          <w:u w:val="single"/>
        </w:rPr>
        <w:t>Threat and Vulnerability Management</w:t>
      </w:r>
    </w:p>
    <w:p w:rsidR="001004FA" w:rsidRDefault="00000000">
      <w:pPr>
        <w:widowControl w:val="0"/>
        <w:pBdr>
          <w:top w:val="nil"/>
          <w:left w:val="nil"/>
          <w:bottom w:val="nil"/>
          <w:right w:val="nil"/>
          <w:between w:val="nil"/>
        </w:pBdr>
        <w:ind w:left="140"/>
        <w:jc w:val="both"/>
        <w:rPr>
          <w:rFonts w:ascii="Cambria" w:eastAsia="Cambria" w:hAnsi="Cambria" w:cs="Cambria"/>
          <w:color w:val="000000"/>
          <w:sz w:val="18"/>
          <w:szCs w:val="18"/>
        </w:rPr>
      </w:pPr>
      <w:r>
        <w:rPr>
          <w:rFonts w:ascii="Cambria" w:eastAsia="Cambria" w:hAnsi="Cambria" w:cs="Cambria"/>
          <w:sz w:val="18"/>
          <w:szCs w:val="18"/>
        </w:rPr>
        <w:t>Provider</w:t>
      </w:r>
      <w:r>
        <w:rPr>
          <w:rFonts w:ascii="Cambria" w:eastAsia="Cambria" w:hAnsi="Cambria" w:cs="Cambria"/>
          <w:color w:val="000000"/>
          <w:sz w:val="18"/>
          <w:szCs w:val="18"/>
        </w:rPr>
        <w:t xml:space="preserve"> will maintain measures meant to identify, manage, mitigate and/or remediate vulnerabilities within the </w:t>
      </w:r>
      <w:r>
        <w:rPr>
          <w:rFonts w:ascii="Cambria" w:eastAsia="Cambria" w:hAnsi="Cambria" w:cs="Cambria"/>
          <w:sz w:val="18"/>
          <w:szCs w:val="18"/>
        </w:rPr>
        <w:t>Provider</w:t>
      </w:r>
      <w:r>
        <w:rPr>
          <w:rFonts w:ascii="Cambria" w:eastAsia="Cambria" w:hAnsi="Cambria" w:cs="Cambria"/>
          <w:color w:val="000000"/>
          <w:sz w:val="18"/>
          <w:szCs w:val="18"/>
        </w:rPr>
        <w:t xml:space="preserve"> computing environments. Security measures include: </w:t>
      </w:r>
    </w:p>
    <w:p w:rsidR="001004FA" w:rsidRDefault="001004FA">
      <w:pPr>
        <w:widowControl w:val="0"/>
        <w:pBdr>
          <w:top w:val="nil"/>
          <w:left w:val="nil"/>
          <w:bottom w:val="nil"/>
          <w:right w:val="nil"/>
          <w:between w:val="nil"/>
        </w:pBdr>
        <w:tabs>
          <w:tab w:val="left" w:pos="860"/>
          <w:tab w:val="left" w:pos="861"/>
        </w:tabs>
        <w:spacing w:before="2" w:line="242" w:lineRule="auto"/>
        <w:jc w:val="both"/>
        <w:rPr>
          <w:rFonts w:ascii="Cambria" w:eastAsia="Cambria" w:hAnsi="Cambria" w:cs="Cambria"/>
          <w:sz w:val="18"/>
          <w:szCs w:val="18"/>
        </w:rPr>
      </w:pPr>
    </w:p>
    <w:p w:rsidR="001004FA" w:rsidRDefault="00000000">
      <w:pPr>
        <w:widowControl w:val="0"/>
        <w:numPr>
          <w:ilvl w:val="0"/>
          <w:numId w:val="2"/>
        </w:numPr>
        <w:pBdr>
          <w:top w:val="nil"/>
          <w:left w:val="nil"/>
          <w:bottom w:val="nil"/>
          <w:right w:val="nil"/>
          <w:between w:val="nil"/>
        </w:pBdr>
        <w:tabs>
          <w:tab w:val="left" w:pos="860"/>
          <w:tab w:val="left" w:pos="861"/>
        </w:tabs>
        <w:spacing w:before="2" w:line="242" w:lineRule="auto"/>
        <w:jc w:val="both"/>
        <w:rPr>
          <w:rFonts w:ascii="Cambria" w:eastAsia="Cambria" w:hAnsi="Cambria" w:cs="Cambria"/>
          <w:sz w:val="18"/>
          <w:szCs w:val="18"/>
        </w:rPr>
      </w:pPr>
      <w:r>
        <w:rPr>
          <w:rFonts w:ascii="Cambria" w:eastAsia="Cambria" w:hAnsi="Cambria" w:cs="Cambria"/>
          <w:sz w:val="18"/>
          <w:szCs w:val="18"/>
        </w:rPr>
        <w:t>Code quality audits</w:t>
      </w:r>
    </w:p>
    <w:p w:rsidR="001004FA" w:rsidRDefault="00000000">
      <w:pPr>
        <w:widowControl w:val="0"/>
        <w:numPr>
          <w:ilvl w:val="0"/>
          <w:numId w:val="2"/>
        </w:numPr>
        <w:pBdr>
          <w:top w:val="nil"/>
          <w:left w:val="nil"/>
          <w:bottom w:val="nil"/>
          <w:right w:val="nil"/>
          <w:between w:val="nil"/>
        </w:pBdr>
        <w:tabs>
          <w:tab w:val="left" w:pos="860"/>
          <w:tab w:val="left" w:pos="861"/>
        </w:tabs>
        <w:spacing w:before="2" w:line="242" w:lineRule="auto"/>
        <w:jc w:val="both"/>
        <w:rPr>
          <w:rFonts w:ascii="Cambria" w:eastAsia="Cambria" w:hAnsi="Cambria" w:cs="Cambria"/>
          <w:sz w:val="18"/>
          <w:szCs w:val="18"/>
        </w:rPr>
      </w:pPr>
      <w:r>
        <w:rPr>
          <w:rFonts w:ascii="Cambria" w:eastAsia="Cambria" w:hAnsi="Cambria" w:cs="Cambria"/>
          <w:sz w:val="18"/>
          <w:szCs w:val="18"/>
        </w:rPr>
        <w:t>Code reviews/</w:t>
      </w:r>
      <w:r>
        <w:rPr>
          <w:rFonts w:ascii="Cambria" w:eastAsia="Cambria" w:hAnsi="Cambria" w:cs="Cambria"/>
          <w:color w:val="000000"/>
          <w:sz w:val="18"/>
          <w:szCs w:val="18"/>
        </w:rPr>
        <w:t>Patch management</w:t>
      </w:r>
    </w:p>
    <w:p w:rsidR="001004FA" w:rsidRDefault="00000000">
      <w:pPr>
        <w:widowControl w:val="0"/>
        <w:numPr>
          <w:ilvl w:val="0"/>
          <w:numId w:val="2"/>
        </w:numPr>
        <w:pBdr>
          <w:top w:val="nil"/>
          <w:left w:val="nil"/>
          <w:bottom w:val="nil"/>
          <w:right w:val="nil"/>
          <w:between w:val="nil"/>
        </w:pBdr>
        <w:tabs>
          <w:tab w:val="left" w:pos="860"/>
          <w:tab w:val="left" w:pos="861"/>
        </w:tabs>
        <w:spacing w:line="242" w:lineRule="auto"/>
        <w:jc w:val="both"/>
        <w:rPr>
          <w:rFonts w:ascii="Cambria" w:eastAsia="Cambria" w:hAnsi="Cambria" w:cs="Cambria"/>
          <w:color w:val="000000"/>
          <w:sz w:val="18"/>
          <w:szCs w:val="18"/>
        </w:rPr>
      </w:pPr>
      <w:r>
        <w:rPr>
          <w:rFonts w:ascii="Cambria" w:eastAsia="Cambria" w:hAnsi="Cambria" w:cs="Cambria"/>
          <w:color w:val="000000"/>
          <w:sz w:val="18"/>
          <w:szCs w:val="18"/>
        </w:rPr>
        <w:t>Anti-virus / anti-malware</w:t>
      </w:r>
    </w:p>
    <w:p w:rsidR="001004FA" w:rsidRDefault="00000000">
      <w:pPr>
        <w:widowControl w:val="0"/>
        <w:numPr>
          <w:ilvl w:val="0"/>
          <w:numId w:val="2"/>
        </w:numPr>
        <w:pBdr>
          <w:top w:val="nil"/>
          <w:left w:val="nil"/>
          <w:bottom w:val="nil"/>
          <w:right w:val="nil"/>
          <w:between w:val="nil"/>
        </w:pBdr>
        <w:tabs>
          <w:tab w:val="left" w:pos="860"/>
          <w:tab w:val="left" w:pos="861"/>
        </w:tabs>
        <w:jc w:val="both"/>
        <w:rPr>
          <w:rFonts w:ascii="Cambria" w:eastAsia="Cambria" w:hAnsi="Cambria" w:cs="Cambria"/>
          <w:color w:val="000000"/>
          <w:sz w:val="18"/>
          <w:szCs w:val="18"/>
        </w:rPr>
      </w:pPr>
      <w:r>
        <w:rPr>
          <w:rFonts w:ascii="Cambria" w:eastAsia="Cambria" w:hAnsi="Cambria" w:cs="Cambria"/>
          <w:color w:val="000000"/>
          <w:sz w:val="18"/>
          <w:szCs w:val="18"/>
        </w:rPr>
        <w:t>Threat notification advisories</w:t>
      </w:r>
    </w:p>
    <w:p w:rsidR="001004FA" w:rsidRDefault="00000000">
      <w:pPr>
        <w:widowControl w:val="0"/>
        <w:numPr>
          <w:ilvl w:val="0"/>
          <w:numId w:val="2"/>
        </w:numPr>
        <w:pBdr>
          <w:top w:val="nil"/>
          <w:left w:val="nil"/>
          <w:bottom w:val="nil"/>
          <w:right w:val="nil"/>
          <w:between w:val="nil"/>
        </w:pBdr>
        <w:ind w:right="677"/>
        <w:jc w:val="both"/>
        <w:rPr>
          <w:rFonts w:ascii="Cambria" w:eastAsia="Cambria" w:hAnsi="Cambria" w:cs="Cambria"/>
          <w:color w:val="000000"/>
          <w:sz w:val="18"/>
          <w:szCs w:val="18"/>
        </w:rPr>
      </w:pPr>
      <w:r>
        <w:rPr>
          <w:rFonts w:ascii="Cambria" w:eastAsia="Cambria" w:hAnsi="Cambria" w:cs="Cambria"/>
          <w:color w:val="000000"/>
          <w:sz w:val="18"/>
          <w:szCs w:val="18"/>
        </w:rPr>
        <w:t xml:space="preserve">Vulnerability scanning (all internal systems) and periodic penetration testing (Internet facing systems) </w:t>
      </w:r>
    </w:p>
    <w:p w:rsidR="001004FA" w:rsidRDefault="00000000">
      <w:pPr>
        <w:rPr>
          <w:rFonts w:ascii="Cambria" w:eastAsia="Cambria" w:hAnsi="Cambria" w:cs="Cambria"/>
          <w:b/>
          <w:sz w:val="18"/>
          <w:szCs w:val="18"/>
        </w:rPr>
      </w:pPr>
      <w:r>
        <w:br w:type="page"/>
      </w:r>
    </w:p>
    <w:p w:rsidR="001004FA" w:rsidRDefault="00000000">
      <w:pPr>
        <w:jc w:val="center"/>
        <w:rPr>
          <w:rFonts w:ascii="Cambria" w:eastAsia="Cambria" w:hAnsi="Cambria" w:cs="Cambria"/>
          <w:b/>
          <w:sz w:val="18"/>
          <w:szCs w:val="18"/>
        </w:rPr>
      </w:pPr>
      <w:r>
        <w:rPr>
          <w:rFonts w:ascii="Cambria" w:eastAsia="Cambria" w:hAnsi="Cambria" w:cs="Cambria"/>
          <w:b/>
          <w:sz w:val="18"/>
          <w:szCs w:val="18"/>
        </w:rPr>
        <w:lastRenderedPageBreak/>
        <w:t>Schedule 3: Cross-Border Transfer Mechanisms</w:t>
      </w:r>
    </w:p>
    <w:p w:rsidR="001004FA" w:rsidRDefault="00000000">
      <w:pPr>
        <w:numPr>
          <w:ilvl w:val="0"/>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b/>
          <w:color w:val="000000"/>
          <w:sz w:val="18"/>
          <w:szCs w:val="18"/>
        </w:rPr>
        <w:t>Definitions</w:t>
      </w:r>
      <w:r>
        <w:rPr>
          <w:rFonts w:ascii="Cambria" w:eastAsia="Cambria" w:hAnsi="Cambria" w:cs="Cambria"/>
          <w:color w:val="000000"/>
          <w:sz w:val="18"/>
          <w:szCs w:val="18"/>
        </w:rPr>
        <w:t>. Capitalized terms not defined in this Schedule are defined in the DPA.</w:t>
      </w:r>
    </w:p>
    <w:p w:rsidR="001004FA" w:rsidRDefault="00000000">
      <w:pPr>
        <w:numPr>
          <w:ilvl w:val="1"/>
          <w:numId w:val="6"/>
        </w:numPr>
        <w:pBdr>
          <w:top w:val="nil"/>
          <w:left w:val="nil"/>
          <w:bottom w:val="nil"/>
          <w:right w:val="nil"/>
          <w:between w:val="nil"/>
        </w:pBdr>
        <w:spacing w:line="276" w:lineRule="auto"/>
        <w:jc w:val="both"/>
        <w:rPr>
          <w:rFonts w:ascii="Cambria" w:eastAsia="Cambria" w:hAnsi="Cambria" w:cs="Cambria"/>
          <w:color w:val="000000"/>
          <w:sz w:val="18"/>
          <w:szCs w:val="18"/>
        </w:rPr>
      </w:pPr>
      <w:r>
        <w:rPr>
          <w:rFonts w:ascii="Cambria" w:eastAsia="Cambria" w:hAnsi="Cambria" w:cs="Cambria"/>
          <w:color w:val="000000"/>
          <w:sz w:val="18"/>
          <w:szCs w:val="18"/>
        </w:rPr>
        <w:t>“</w:t>
      </w:r>
      <w:r>
        <w:rPr>
          <w:rFonts w:ascii="Cambria" w:eastAsia="Cambria" w:hAnsi="Cambria" w:cs="Cambria"/>
          <w:b/>
          <w:color w:val="000000"/>
          <w:sz w:val="18"/>
          <w:szCs w:val="18"/>
        </w:rPr>
        <w:t>EU Standard Contractual Clauses</w:t>
      </w:r>
      <w:r>
        <w:rPr>
          <w:rFonts w:ascii="Cambria" w:eastAsia="Cambria" w:hAnsi="Cambria" w:cs="Cambria"/>
          <w:color w:val="000000"/>
          <w:sz w:val="18"/>
          <w:szCs w:val="18"/>
        </w:rPr>
        <w:t>” or “</w:t>
      </w:r>
      <w:r>
        <w:rPr>
          <w:rFonts w:ascii="Cambria" w:eastAsia="Cambria" w:hAnsi="Cambria" w:cs="Cambria"/>
          <w:b/>
          <w:color w:val="000000"/>
          <w:sz w:val="18"/>
          <w:szCs w:val="18"/>
        </w:rPr>
        <w:t>EU SCCs</w:t>
      </w:r>
      <w:r>
        <w:rPr>
          <w:rFonts w:ascii="Cambria" w:eastAsia="Cambria" w:hAnsi="Cambria" w:cs="Cambria"/>
          <w:color w:val="000000"/>
          <w:sz w:val="18"/>
          <w:szCs w:val="18"/>
        </w:rPr>
        <w:t>” means the Standard Contractual Clauses approved by the European Commission in decision 2021/914.</w:t>
      </w:r>
    </w:p>
    <w:p w:rsidR="001004FA" w:rsidRDefault="00000000">
      <w:pPr>
        <w:numPr>
          <w:ilvl w:val="1"/>
          <w:numId w:val="6"/>
        </w:numPr>
        <w:pBdr>
          <w:top w:val="nil"/>
          <w:left w:val="nil"/>
          <w:bottom w:val="nil"/>
          <w:right w:val="nil"/>
          <w:between w:val="nil"/>
        </w:pBdr>
        <w:spacing w:line="276" w:lineRule="auto"/>
        <w:jc w:val="both"/>
        <w:rPr>
          <w:rFonts w:ascii="Cambria" w:eastAsia="Cambria" w:hAnsi="Cambria" w:cs="Cambria"/>
          <w:color w:val="000000"/>
          <w:sz w:val="18"/>
          <w:szCs w:val="18"/>
        </w:rPr>
      </w:pPr>
      <w:r>
        <w:rPr>
          <w:rFonts w:ascii="Cambria" w:eastAsia="Cambria" w:hAnsi="Cambria" w:cs="Cambria"/>
          <w:color w:val="000000"/>
          <w:sz w:val="18"/>
          <w:szCs w:val="18"/>
        </w:rPr>
        <w:t>“</w:t>
      </w:r>
      <w:r>
        <w:rPr>
          <w:rFonts w:ascii="Cambria" w:eastAsia="Cambria" w:hAnsi="Cambria" w:cs="Cambria"/>
          <w:b/>
          <w:color w:val="000000"/>
          <w:sz w:val="18"/>
          <w:szCs w:val="18"/>
        </w:rPr>
        <w:t>UK International Data Transfer Agreement</w:t>
      </w:r>
      <w:r>
        <w:rPr>
          <w:rFonts w:ascii="Cambria" w:eastAsia="Cambria" w:hAnsi="Cambria" w:cs="Cambria"/>
          <w:color w:val="000000"/>
          <w:sz w:val="18"/>
          <w:szCs w:val="18"/>
        </w:rPr>
        <w:t>” means the International Data Transfer Addendum to the EU Commission Standard Contractual Clauses issued by the UK Information Commissioner, Version B1.0, in force as of March 21, 2022.</w:t>
      </w:r>
    </w:p>
    <w:p w:rsidR="001004FA" w:rsidRDefault="00000000">
      <w:pPr>
        <w:numPr>
          <w:ilvl w:val="1"/>
          <w:numId w:val="6"/>
        </w:numPr>
        <w:pBdr>
          <w:top w:val="nil"/>
          <w:left w:val="nil"/>
          <w:bottom w:val="nil"/>
          <w:right w:val="nil"/>
          <w:between w:val="nil"/>
        </w:pBdr>
        <w:spacing w:line="276" w:lineRule="auto"/>
        <w:rPr>
          <w:rFonts w:ascii="Cambria" w:eastAsia="Cambria" w:hAnsi="Cambria" w:cs="Cambria"/>
          <w:color w:val="000000"/>
          <w:sz w:val="18"/>
          <w:szCs w:val="18"/>
        </w:rPr>
      </w:pPr>
      <w:r>
        <w:rPr>
          <w:rFonts w:ascii="Cambria" w:eastAsia="Cambria" w:hAnsi="Cambria" w:cs="Cambria"/>
          <w:color w:val="000000"/>
          <w:sz w:val="18"/>
          <w:szCs w:val="18"/>
        </w:rPr>
        <w:t>In addition:</w:t>
      </w:r>
    </w:p>
    <w:p w:rsidR="001004FA" w:rsidRDefault="001004FA">
      <w:pPr>
        <w:spacing w:line="276" w:lineRule="auto"/>
        <w:rPr>
          <w:rFonts w:ascii="Cambria" w:eastAsia="Cambria" w:hAnsi="Cambria" w:cs="Cambria"/>
          <w:sz w:val="18"/>
          <w:szCs w:val="18"/>
        </w:rPr>
      </w:pPr>
    </w:p>
    <w:tbl>
      <w:tblPr>
        <w:tblStyle w:val="1"/>
        <w:tblW w:w="810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3870"/>
      </w:tblGrid>
      <w:tr w:rsidR="001004FA">
        <w:tc>
          <w:tcPr>
            <w:tcW w:w="4230" w:type="dxa"/>
            <w:tcBorders>
              <w:bottom w:val="nil"/>
            </w:tcBorders>
            <w:shd w:val="clear" w:color="auto" w:fill="FFFFFF"/>
          </w:tcPr>
          <w:p w:rsidR="001004FA" w:rsidRDefault="00000000">
            <w:pPr>
              <w:spacing w:line="276" w:lineRule="auto"/>
              <w:rPr>
                <w:rFonts w:ascii="Cambria" w:eastAsia="Cambria" w:hAnsi="Cambria" w:cs="Cambria"/>
                <w:sz w:val="18"/>
                <w:szCs w:val="18"/>
              </w:rPr>
            </w:pPr>
            <w:r>
              <w:rPr>
                <w:rFonts w:ascii="Cambria" w:eastAsia="Cambria" w:hAnsi="Cambria" w:cs="Cambria"/>
                <w:sz w:val="18"/>
                <w:szCs w:val="18"/>
              </w:rPr>
              <w:t>“</w:t>
            </w:r>
            <w:r>
              <w:rPr>
                <w:rFonts w:ascii="Cambria" w:eastAsia="Cambria" w:hAnsi="Cambria" w:cs="Cambria"/>
                <w:b/>
                <w:sz w:val="18"/>
                <w:szCs w:val="18"/>
              </w:rPr>
              <w:t>Designated EU Governing Law</w:t>
            </w:r>
            <w:r>
              <w:rPr>
                <w:rFonts w:ascii="Cambria" w:eastAsia="Cambria" w:hAnsi="Cambria" w:cs="Cambria"/>
                <w:sz w:val="18"/>
                <w:szCs w:val="18"/>
              </w:rPr>
              <w:t>” means:</w:t>
            </w:r>
          </w:p>
        </w:tc>
        <w:tc>
          <w:tcPr>
            <w:tcW w:w="3870" w:type="dxa"/>
            <w:tcBorders>
              <w:bottom w:val="nil"/>
            </w:tcBorders>
            <w:shd w:val="clear" w:color="auto" w:fill="FFFFFF"/>
          </w:tcPr>
          <w:p w:rsidR="001004FA" w:rsidRDefault="00000000">
            <w:pPr>
              <w:pBdr>
                <w:top w:val="nil"/>
                <w:left w:val="nil"/>
                <w:bottom w:val="nil"/>
                <w:right w:val="nil"/>
                <w:between w:val="nil"/>
              </w:pBdr>
              <w:spacing w:line="276" w:lineRule="auto"/>
              <w:jc w:val="both"/>
              <w:rPr>
                <w:rFonts w:ascii="Cambria" w:eastAsia="Cambria" w:hAnsi="Cambria" w:cs="Cambria"/>
                <w:sz w:val="18"/>
                <w:szCs w:val="18"/>
              </w:rPr>
            </w:pPr>
            <w:r>
              <w:rPr>
                <w:rFonts w:ascii="Cambria" w:eastAsia="Cambria" w:hAnsi="Cambria" w:cs="Cambria"/>
                <w:sz w:val="18"/>
                <w:szCs w:val="18"/>
              </w:rPr>
              <w:t>Ireland</w:t>
            </w:r>
          </w:p>
        </w:tc>
      </w:tr>
      <w:tr w:rsidR="001004FA">
        <w:tc>
          <w:tcPr>
            <w:tcW w:w="4230" w:type="dxa"/>
            <w:tcBorders>
              <w:top w:val="nil"/>
            </w:tcBorders>
            <w:shd w:val="clear" w:color="auto" w:fill="FFFFFF"/>
          </w:tcPr>
          <w:p w:rsidR="001004FA" w:rsidRDefault="00000000">
            <w:pPr>
              <w:spacing w:line="276" w:lineRule="auto"/>
              <w:rPr>
                <w:rFonts w:ascii="Cambria" w:eastAsia="Cambria" w:hAnsi="Cambria" w:cs="Cambria"/>
                <w:sz w:val="18"/>
                <w:szCs w:val="18"/>
              </w:rPr>
            </w:pPr>
            <w:r>
              <w:rPr>
                <w:rFonts w:ascii="Cambria" w:eastAsia="Cambria" w:hAnsi="Cambria" w:cs="Cambria"/>
                <w:sz w:val="18"/>
                <w:szCs w:val="18"/>
              </w:rPr>
              <w:t>“</w:t>
            </w:r>
            <w:r>
              <w:rPr>
                <w:rFonts w:ascii="Cambria" w:eastAsia="Cambria" w:hAnsi="Cambria" w:cs="Cambria"/>
                <w:b/>
                <w:sz w:val="18"/>
                <w:szCs w:val="18"/>
              </w:rPr>
              <w:t>Designated EU Member State</w:t>
            </w:r>
            <w:r>
              <w:rPr>
                <w:rFonts w:ascii="Cambria" w:eastAsia="Cambria" w:hAnsi="Cambria" w:cs="Cambria"/>
                <w:sz w:val="18"/>
                <w:szCs w:val="18"/>
              </w:rPr>
              <w:t>” means:</w:t>
            </w:r>
          </w:p>
        </w:tc>
        <w:tc>
          <w:tcPr>
            <w:tcW w:w="3870" w:type="dxa"/>
            <w:tcBorders>
              <w:top w:val="nil"/>
            </w:tcBorders>
            <w:shd w:val="clear" w:color="auto" w:fill="FFFFFF"/>
          </w:tcPr>
          <w:p w:rsidR="001004FA" w:rsidRDefault="00000000">
            <w:pPr>
              <w:spacing w:line="276" w:lineRule="auto"/>
              <w:rPr>
                <w:rFonts w:ascii="Cambria" w:eastAsia="Cambria" w:hAnsi="Cambria" w:cs="Cambria"/>
                <w:sz w:val="18"/>
                <w:szCs w:val="18"/>
              </w:rPr>
            </w:pPr>
            <w:r>
              <w:rPr>
                <w:rFonts w:ascii="Cambria" w:eastAsia="Cambria" w:hAnsi="Cambria" w:cs="Cambria"/>
                <w:sz w:val="18"/>
                <w:szCs w:val="18"/>
              </w:rPr>
              <w:t>Ireland</w:t>
            </w:r>
          </w:p>
        </w:tc>
      </w:tr>
    </w:tbl>
    <w:p w:rsidR="001004FA" w:rsidRDefault="001004FA">
      <w:pPr>
        <w:spacing w:line="276" w:lineRule="auto"/>
        <w:rPr>
          <w:rFonts w:ascii="Cambria" w:eastAsia="Cambria" w:hAnsi="Cambria" w:cs="Cambria"/>
          <w:sz w:val="18"/>
          <w:szCs w:val="18"/>
        </w:rPr>
      </w:pPr>
    </w:p>
    <w:p w:rsidR="001004FA" w:rsidRDefault="00000000">
      <w:pPr>
        <w:numPr>
          <w:ilvl w:val="0"/>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b/>
          <w:color w:val="000000"/>
          <w:sz w:val="18"/>
          <w:szCs w:val="18"/>
        </w:rPr>
        <w:t>EU Transfers</w:t>
      </w:r>
      <w:r>
        <w:rPr>
          <w:rFonts w:ascii="Cambria" w:eastAsia="Cambria" w:hAnsi="Cambria" w:cs="Cambria"/>
          <w:color w:val="000000"/>
          <w:sz w:val="18"/>
          <w:szCs w:val="18"/>
        </w:rPr>
        <w:t>. Where Customer Personal Data is protected by EU GDPR and is subject to a Restricted Transfer, the following applies:</w:t>
      </w:r>
    </w:p>
    <w:p w:rsidR="001004FA" w:rsidRDefault="00000000">
      <w:pPr>
        <w:numPr>
          <w:ilvl w:val="1"/>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rPr>
        <w:t>The EU SCCs are hereby incorporated by reference as follows:</w:t>
      </w:r>
    </w:p>
    <w:p w:rsidR="001004FA" w:rsidRDefault="00000000">
      <w:pPr>
        <w:numPr>
          <w:ilvl w:val="2"/>
          <w:numId w:val="6"/>
        </w:numPr>
        <w:pBdr>
          <w:top w:val="nil"/>
          <w:left w:val="nil"/>
          <w:bottom w:val="nil"/>
          <w:right w:val="nil"/>
          <w:between w:val="nil"/>
        </w:pBdr>
        <w:spacing w:after="120"/>
        <w:jc w:val="both"/>
        <w:rPr>
          <w:rFonts w:ascii="Cambria" w:eastAsia="Cambria" w:hAnsi="Cambria" w:cs="Cambria"/>
          <w:sz w:val="18"/>
          <w:szCs w:val="18"/>
        </w:rPr>
      </w:pPr>
      <w:r>
        <w:rPr>
          <w:rFonts w:ascii="Cambria" w:eastAsia="Cambria" w:hAnsi="Cambria" w:cs="Cambria"/>
          <w:sz w:val="18"/>
          <w:szCs w:val="18"/>
        </w:rPr>
        <w:t>Module 2 (Controller to Processor) applies where Customer is a Controller of Customer Personal Data and Provider is a Processor of Customer Personal Data;</w:t>
      </w:r>
    </w:p>
    <w:p w:rsidR="001004FA" w:rsidRDefault="00000000">
      <w:pPr>
        <w:numPr>
          <w:ilvl w:val="2"/>
          <w:numId w:val="6"/>
        </w:numPr>
        <w:pBdr>
          <w:top w:val="nil"/>
          <w:left w:val="nil"/>
          <w:bottom w:val="nil"/>
          <w:right w:val="nil"/>
          <w:between w:val="nil"/>
        </w:pBdr>
        <w:spacing w:after="120"/>
        <w:jc w:val="both"/>
        <w:rPr>
          <w:rFonts w:ascii="Cambria" w:eastAsia="Cambria" w:hAnsi="Cambria" w:cs="Cambria"/>
          <w:sz w:val="18"/>
          <w:szCs w:val="18"/>
        </w:rPr>
      </w:pPr>
      <w:r>
        <w:rPr>
          <w:rFonts w:ascii="Cambria" w:eastAsia="Cambria" w:hAnsi="Cambria" w:cs="Cambria"/>
          <w:sz w:val="18"/>
          <w:szCs w:val="18"/>
        </w:rPr>
        <w:t>Module 3 (Processor to Processor) applies where Customer is a Processor of Customer Personal Data (on behalf of a third-party Controller) and Provider is a Processor of Customer Personal Data;</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rPr>
        <w:t>Customer is the "data exporter" and Provider is the "data importer"; and</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highlight w:val="white"/>
        </w:rPr>
      </w:pPr>
      <w:r>
        <w:rPr>
          <w:rFonts w:ascii="Cambria" w:eastAsia="Cambria" w:hAnsi="Cambria" w:cs="Cambria"/>
          <w:color w:val="000000"/>
          <w:sz w:val="18"/>
          <w:szCs w:val="18"/>
        </w:rPr>
        <w:t xml:space="preserve">by entering into this DPA, each party is deemed to have signed the EU SCCs (including their Annexes) as of the DPA Effective Date.  </w:t>
      </w:r>
    </w:p>
    <w:p w:rsidR="001004FA" w:rsidRDefault="00000000">
      <w:pPr>
        <w:numPr>
          <w:ilvl w:val="1"/>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highlight w:val="white"/>
        </w:rPr>
      </w:pPr>
      <w:r>
        <w:rPr>
          <w:rFonts w:ascii="Cambria" w:eastAsia="Cambria" w:hAnsi="Cambria" w:cs="Cambria"/>
          <w:color w:val="000000"/>
          <w:sz w:val="18"/>
          <w:szCs w:val="18"/>
        </w:rPr>
        <w:t>For each Module, where applicable the following applies:</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rPr>
        <w:t xml:space="preserve">the optional docking clause in Clause 7 does </w:t>
      </w:r>
      <w:r>
        <w:rPr>
          <w:rFonts w:ascii="Cambria" w:eastAsia="Cambria" w:hAnsi="Cambria" w:cs="Cambria"/>
          <w:color w:val="000000"/>
          <w:sz w:val="18"/>
          <w:szCs w:val="18"/>
          <w:highlight w:val="white"/>
          <w:u w:val="single"/>
        </w:rPr>
        <w:t>not</w:t>
      </w:r>
      <w:r>
        <w:rPr>
          <w:rFonts w:ascii="Cambria" w:eastAsia="Cambria" w:hAnsi="Cambria" w:cs="Cambria"/>
          <w:color w:val="000000"/>
          <w:sz w:val="18"/>
          <w:szCs w:val="18"/>
          <w:highlight w:val="white"/>
        </w:rPr>
        <w:t xml:space="preserve"> apply;</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rPr>
        <w:t xml:space="preserve">in Clause 9, Option 2 will apply, the minimum time period for prior notice of </w:t>
      </w:r>
      <w:proofErr w:type="spellStart"/>
      <w:r>
        <w:rPr>
          <w:rFonts w:ascii="Cambria" w:eastAsia="Cambria" w:hAnsi="Cambria" w:cs="Cambria"/>
          <w:color w:val="000000"/>
          <w:sz w:val="18"/>
          <w:szCs w:val="18"/>
          <w:highlight w:val="white"/>
        </w:rPr>
        <w:t>Subprocessor</w:t>
      </w:r>
      <w:proofErr w:type="spellEnd"/>
      <w:r>
        <w:rPr>
          <w:rFonts w:ascii="Cambria" w:eastAsia="Cambria" w:hAnsi="Cambria" w:cs="Cambria"/>
          <w:color w:val="000000"/>
          <w:sz w:val="18"/>
          <w:szCs w:val="18"/>
          <w:highlight w:val="white"/>
        </w:rPr>
        <w:t xml:space="preserve"> changes shall be as set out in Section 4.3 of this DPA, and Provider shall fulfill its notification obligations by notifying Customer of any </w:t>
      </w:r>
      <w:proofErr w:type="spellStart"/>
      <w:r>
        <w:rPr>
          <w:rFonts w:ascii="Cambria" w:eastAsia="Cambria" w:hAnsi="Cambria" w:cs="Cambria"/>
          <w:color w:val="000000"/>
          <w:sz w:val="18"/>
          <w:szCs w:val="18"/>
          <w:highlight w:val="white"/>
        </w:rPr>
        <w:t>Subprocessor</w:t>
      </w:r>
      <w:proofErr w:type="spellEnd"/>
      <w:r>
        <w:rPr>
          <w:rFonts w:ascii="Cambria" w:eastAsia="Cambria" w:hAnsi="Cambria" w:cs="Cambria"/>
          <w:color w:val="000000"/>
          <w:sz w:val="18"/>
          <w:szCs w:val="18"/>
          <w:highlight w:val="white"/>
        </w:rPr>
        <w:t xml:space="preserve"> changes in accordance with Section 4.3 of this DPA;</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in Clause 11, the optional language does </w:t>
      </w:r>
      <w:r>
        <w:rPr>
          <w:rFonts w:ascii="Cambria" w:eastAsia="Cambria" w:hAnsi="Cambria" w:cs="Cambria"/>
          <w:color w:val="000000"/>
          <w:sz w:val="18"/>
          <w:szCs w:val="18"/>
          <w:u w:val="single"/>
        </w:rPr>
        <w:t>not</w:t>
      </w:r>
      <w:r>
        <w:rPr>
          <w:rFonts w:ascii="Cambria" w:eastAsia="Cambria" w:hAnsi="Cambria" w:cs="Cambria"/>
          <w:color w:val="000000"/>
          <w:sz w:val="18"/>
          <w:szCs w:val="18"/>
        </w:rPr>
        <w:t xml:space="preserve"> apply;</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rPr>
        <w:t>in Clause 13, all square brackets are removed with the text remaining;</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rPr>
        <w:t>in Clause 17, Option 1 will apply, and the EU SCCs will be governed by Designated EU Governing Law;</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rPr>
        <w:t>in Clause 18(b), disputes will be resolved before the courts of the Designated EU Member State;</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rPr>
        <w:t xml:space="preserve"> </w:t>
      </w:r>
      <w:r>
        <w:rPr>
          <w:rFonts w:ascii="Cambria" w:eastAsia="Cambria" w:hAnsi="Cambria" w:cs="Cambria"/>
          <w:color w:val="000000"/>
          <w:sz w:val="18"/>
          <w:szCs w:val="18"/>
          <w:highlight w:val="white"/>
          <w:u w:val="single"/>
        </w:rPr>
        <w:t>Schedule 1</w:t>
      </w:r>
      <w:r>
        <w:rPr>
          <w:rFonts w:ascii="Cambria" w:eastAsia="Cambria" w:hAnsi="Cambria" w:cs="Cambria"/>
          <w:color w:val="000000"/>
          <w:sz w:val="18"/>
          <w:szCs w:val="18"/>
          <w:highlight w:val="white"/>
        </w:rPr>
        <w:t xml:space="preserve"> (</w:t>
      </w:r>
      <w:r>
        <w:rPr>
          <w:rFonts w:ascii="Cambria" w:eastAsia="Cambria" w:hAnsi="Cambria" w:cs="Cambria"/>
          <w:color w:val="000000"/>
          <w:sz w:val="18"/>
          <w:szCs w:val="18"/>
        </w:rPr>
        <w:t>Subject Matter and Details of Processing)</w:t>
      </w:r>
      <w:r>
        <w:rPr>
          <w:rFonts w:ascii="Cambria" w:eastAsia="Cambria" w:hAnsi="Cambria" w:cs="Cambria"/>
          <w:color w:val="000000"/>
          <w:sz w:val="18"/>
          <w:szCs w:val="18"/>
          <w:highlight w:val="white"/>
        </w:rPr>
        <w:t xml:space="preserve"> to this DPA contains the information required in Annex 1 of the EU SCCs; and</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u w:val="single"/>
        </w:rPr>
        <w:t>Schedule 2</w:t>
      </w:r>
      <w:r>
        <w:rPr>
          <w:rFonts w:ascii="Cambria" w:eastAsia="Cambria" w:hAnsi="Cambria" w:cs="Cambria"/>
          <w:color w:val="000000"/>
          <w:sz w:val="18"/>
          <w:szCs w:val="18"/>
          <w:highlight w:val="white"/>
        </w:rPr>
        <w:t xml:space="preserve"> (</w:t>
      </w:r>
      <w:r>
        <w:rPr>
          <w:rFonts w:ascii="Cambria" w:eastAsia="Cambria" w:hAnsi="Cambria" w:cs="Cambria"/>
          <w:color w:val="000000"/>
          <w:sz w:val="18"/>
          <w:szCs w:val="18"/>
        </w:rPr>
        <w:t>Technical and Organizational Measures</w:t>
      </w:r>
      <w:r>
        <w:rPr>
          <w:rFonts w:ascii="Cambria" w:eastAsia="Cambria" w:hAnsi="Cambria" w:cs="Cambria"/>
          <w:color w:val="000000"/>
          <w:sz w:val="18"/>
          <w:szCs w:val="18"/>
          <w:highlight w:val="white"/>
        </w:rPr>
        <w:t>) to this DPA contains the information required in Annex 2 of the EU SCCs.</w:t>
      </w:r>
    </w:p>
    <w:p w:rsidR="001004FA" w:rsidRDefault="00000000">
      <w:pPr>
        <w:numPr>
          <w:ilvl w:val="1"/>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Where context permits and requires, any reference in this DPA to the EU SCCs shall be read as a reference to the EU SCCs as modified in the manner set forth in this Section 2.  </w:t>
      </w:r>
    </w:p>
    <w:p w:rsidR="001004FA" w:rsidRDefault="00000000">
      <w:pPr>
        <w:rPr>
          <w:rFonts w:ascii="Cambria" w:eastAsia="Cambria" w:hAnsi="Cambria" w:cs="Cambria"/>
          <w:b/>
          <w:sz w:val="18"/>
          <w:szCs w:val="18"/>
        </w:rPr>
      </w:pPr>
      <w:r>
        <w:br w:type="page"/>
      </w:r>
    </w:p>
    <w:p w:rsidR="001004FA" w:rsidRDefault="00000000">
      <w:pPr>
        <w:numPr>
          <w:ilvl w:val="0"/>
          <w:numId w:val="6"/>
        </w:numPr>
        <w:pBdr>
          <w:top w:val="nil"/>
          <w:left w:val="nil"/>
          <w:bottom w:val="nil"/>
          <w:right w:val="nil"/>
          <w:between w:val="nil"/>
        </w:pBdr>
        <w:tabs>
          <w:tab w:val="left" w:pos="630"/>
        </w:tabs>
        <w:spacing w:after="120"/>
        <w:jc w:val="both"/>
        <w:rPr>
          <w:rFonts w:ascii="Cambria" w:eastAsia="Cambria" w:hAnsi="Cambria" w:cs="Cambria"/>
          <w:b/>
          <w:color w:val="000000"/>
          <w:sz w:val="18"/>
          <w:szCs w:val="18"/>
        </w:rPr>
      </w:pPr>
      <w:r>
        <w:rPr>
          <w:rFonts w:ascii="Cambria" w:eastAsia="Cambria" w:hAnsi="Cambria" w:cs="Cambria"/>
          <w:b/>
          <w:color w:val="000000"/>
          <w:sz w:val="18"/>
          <w:szCs w:val="18"/>
        </w:rPr>
        <w:lastRenderedPageBreak/>
        <w:t>Swiss Transfers</w:t>
      </w:r>
      <w:r>
        <w:rPr>
          <w:rFonts w:ascii="Cambria" w:eastAsia="Cambria" w:hAnsi="Cambria" w:cs="Cambria"/>
          <w:color w:val="000000"/>
          <w:sz w:val="18"/>
          <w:szCs w:val="18"/>
        </w:rPr>
        <w:t>.</w:t>
      </w:r>
      <w:r>
        <w:rPr>
          <w:rFonts w:ascii="Cambria" w:eastAsia="Cambria" w:hAnsi="Cambria" w:cs="Cambria"/>
          <w:b/>
          <w:color w:val="000000"/>
          <w:sz w:val="18"/>
          <w:szCs w:val="18"/>
        </w:rPr>
        <w:t xml:space="preserve"> </w:t>
      </w:r>
      <w:r>
        <w:rPr>
          <w:rFonts w:ascii="Cambria" w:eastAsia="Cambria" w:hAnsi="Cambria" w:cs="Cambria"/>
          <w:color w:val="000000"/>
          <w:sz w:val="18"/>
          <w:szCs w:val="18"/>
        </w:rPr>
        <w:t>Where</w:t>
      </w:r>
      <w:r>
        <w:rPr>
          <w:rFonts w:ascii="Cambria" w:eastAsia="Cambria" w:hAnsi="Cambria" w:cs="Cambria"/>
          <w:b/>
          <w:color w:val="000000"/>
          <w:sz w:val="18"/>
          <w:szCs w:val="18"/>
        </w:rPr>
        <w:t xml:space="preserve"> </w:t>
      </w:r>
      <w:r>
        <w:rPr>
          <w:rFonts w:ascii="Cambria" w:eastAsia="Cambria" w:hAnsi="Cambria" w:cs="Cambria"/>
          <w:color w:val="000000"/>
          <w:sz w:val="18"/>
          <w:szCs w:val="18"/>
        </w:rPr>
        <w:t>Customer Personal Data is protected by the FADP and is subject to a Restricted Transfer, the following applies:</w:t>
      </w:r>
    </w:p>
    <w:p w:rsidR="001004FA" w:rsidRDefault="00000000">
      <w:pPr>
        <w:numPr>
          <w:ilvl w:val="1"/>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rPr>
        <w:t>The EU SCCs apply as set forth in Section 2 (EU Transfers) of this Schedule 3 with the following modifications:</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in Clause 13, the competent supervisory authority shall be the Swiss Federal Data Protection and Information Commissioner;</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rPr>
        <w:t>in Clause 17 (Option 1), the E</w:t>
      </w:r>
      <w:r>
        <w:rPr>
          <w:rFonts w:ascii="Cambria" w:eastAsia="Cambria" w:hAnsi="Cambria" w:cs="Cambria"/>
          <w:color w:val="000000"/>
          <w:sz w:val="18"/>
          <w:szCs w:val="18"/>
          <w:highlight w:val="white"/>
        </w:rPr>
        <w:t>U SCCs will be governed by the laws of Switzerland;</w:t>
      </w:r>
    </w:p>
    <w:p w:rsidR="001004FA" w:rsidRDefault="00000000">
      <w:pPr>
        <w:numPr>
          <w:ilvl w:val="2"/>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highlight w:val="white"/>
        </w:rPr>
        <w:t>in Clause 18(b), disputes will be resolved before the courts of Switzerland;</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the term Member State must not be interpreted in such a way as to exclude Data Subjects in Switzerland from enforcing their rights in their place of habitual residence in accordance with Clause 18(c); and</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all references to the EU GDPR in this DPA are also deemed to refer to the FADP.</w:t>
      </w:r>
    </w:p>
    <w:p w:rsidR="001004FA" w:rsidRDefault="001004FA">
      <w:pPr>
        <w:pBdr>
          <w:top w:val="nil"/>
          <w:left w:val="nil"/>
          <w:bottom w:val="nil"/>
          <w:right w:val="nil"/>
          <w:between w:val="nil"/>
        </w:pBdr>
        <w:tabs>
          <w:tab w:val="left" w:pos="630"/>
        </w:tabs>
        <w:spacing w:after="120"/>
        <w:ind w:left="720"/>
        <w:jc w:val="both"/>
        <w:rPr>
          <w:rFonts w:ascii="Cambria" w:eastAsia="Cambria" w:hAnsi="Cambria" w:cs="Cambria"/>
          <w:sz w:val="18"/>
          <w:szCs w:val="18"/>
        </w:rPr>
      </w:pPr>
    </w:p>
    <w:p w:rsidR="001004FA" w:rsidRDefault="00000000">
      <w:pPr>
        <w:numPr>
          <w:ilvl w:val="0"/>
          <w:numId w:val="6"/>
        </w:numPr>
        <w:pBdr>
          <w:top w:val="nil"/>
          <w:left w:val="nil"/>
          <w:bottom w:val="nil"/>
          <w:right w:val="nil"/>
          <w:between w:val="nil"/>
        </w:pBdr>
        <w:tabs>
          <w:tab w:val="left" w:pos="630"/>
        </w:tabs>
        <w:spacing w:after="120"/>
        <w:ind w:left="547" w:hanging="547"/>
        <w:jc w:val="both"/>
        <w:rPr>
          <w:rFonts w:ascii="Cambria" w:eastAsia="Cambria" w:hAnsi="Cambria" w:cs="Cambria"/>
          <w:color w:val="000000"/>
          <w:sz w:val="18"/>
          <w:szCs w:val="18"/>
        </w:rPr>
      </w:pPr>
      <w:r>
        <w:rPr>
          <w:rFonts w:ascii="Cambria" w:eastAsia="Cambria" w:hAnsi="Cambria" w:cs="Cambria"/>
          <w:b/>
          <w:color w:val="000000"/>
          <w:sz w:val="18"/>
          <w:szCs w:val="18"/>
        </w:rPr>
        <w:t>UK Transfers</w:t>
      </w:r>
      <w:r>
        <w:rPr>
          <w:rFonts w:ascii="Cambria" w:eastAsia="Cambria" w:hAnsi="Cambria" w:cs="Cambria"/>
          <w:color w:val="000000"/>
          <w:sz w:val="18"/>
          <w:szCs w:val="18"/>
        </w:rPr>
        <w:t>.</w:t>
      </w:r>
      <w:r>
        <w:rPr>
          <w:rFonts w:ascii="Cambria" w:eastAsia="Cambria" w:hAnsi="Cambria" w:cs="Cambria"/>
          <w:b/>
          <w:color w:val="000000"/>
          <w:sz w:val="18"/>
          <w:szCs w:val="18"/>
        </w:rPr>
        <w:t xml:space="preserve"> </w:t>
      </w:r>
      <w:r>
        <w:rPr>
          <w:rFonts w:ascii="Cambria" w:eastAsia="Cambria" w:hAnsi="Cambria" w:cs="Cambria"/>
          <w:color w:val="000000"/>
          <w:sz w:val="18"/>
          <w:szCs w:val="18"/>
        </w:rPr>
        <w:t>Where Customer Personal Data is protected by the UK GDPR and is subject to a Restricted Transfer, the following applies:</w:t>
      </w:r>
    </w:p>
    <w:p w:rsidR="001004FA" w:rsidRDefault="00000000">
      <w:pPr>
        <w:numPr>
          <w:ilvl w:val="1"/>
          <w:numId w:val="6"/>
        </w:numPr>
        <w:pBdr>
          <w:top w:val="nil"/>
          <w:left w:val="nil"/>
          <w:bottom w:val="nil"/>
          <w:right w:val="nil"/>
          <w:between w:val="nil"/>
        </w:pBdr>
        <w:tabs>
          <w:tab w:val="left" w:pos="630"/>
        </w:tabs>
        <w:spacing w:before="120" w:after="120"/>
        <w:jc w:val="both"/>
        <w:rPr>
          <w:rFonts w:ascii="Cambria" w:eastAsia="Cambria" w:hAnsi="Cambria" w:cs="Cambria"/>
          <w:color w:val="000000"/>
          <w:sz w:val="18"/>
          <w:szCs w:val="18"/>
        </w:rPr>
      </w:pPr>
      <w:r>
        <w:rPr>
          <w:rFonts w:ascii="Cambria" w:eastAsia="Cambria" w:hAnsi="Cambria" w:cs="Cambria"/>
          <w:color w:val="000000"/>
          <w:sz w:val="18"/>
          <w:szCs w:val="18"/>
        </w:rPr>
        <w:t>The EU SCCs apply as set forth in Section 2 (EU Transfers) of this Schedule 3 with the following modifications:</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each party shall be deemed to have signed the “UK Addendum to the EU Standard Contractual Clauses” (“</w:t>
      </w:r>
      <w:r>
        <w:rPr>
          <w:rFonts w:ascii="Cambria" w:eastAsia="Cambria" w:hAnsi="Cambria" w:cs="Cambria"/>
          <w:b/>
          <w:color w:val="000000"/>
          <w:sz w:val="18"/>
          <w:szCs w:val="18"/>
        </w:rPr>
        <w:t>UK Addendum</w:t>
      </w:r>
      <w:r>
        <w:rPr>
          <w:rFonts w:ascii="Cambria" w:eastAsia="Cambria" w:hAnsi="Cambria" w:cs="Cambria"/>
          <w:color w:val="000000"/>
          <w:sz w:val="18"/>
          <w:szCs w:val="18"/>
        </w:rPr>
        <w:t>”) issued by the Information Commissioner’s Office under section 119 (A) of the Data Protection Act 2018;</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the EU SCCs shall be deemed amended as specified by the UK Addendum in respect of the transfer of Customer Personal Data; </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in Table 1 of the UK Addendum, the parties’ key contact information is located in </w:t>
      </w:r>
      <w:r>
        <w:rPr>
          <w:rFonts w:ascii="Cambria" w:eastAsia="Cambria" w:hAnsi="Cambria" w:cs="Cambria"/>
          <w:color w:val="000000"/>
          <w:sz w:val="18"/>
          <w:szCs w:val="18"/>
          <w:u w:val="single"/>
        </w:rPr>
        <w:t>Schedule 1</w:t>
      </w:r>
      <w:r>
        <w:rPr>
          <w:rFonts w:ascii="Cambria" w:eastAsia="Cambria" w:hAnsi="Cambria" w:cs="Cambria"/>
          <w:color w:val="000000"/>
          <w:sz w:val="18"/>
          <w:szCs w:val="18"/>
        </w:rPr>
        <w:t xml:space="preserve"> (Subject Matter and Details of Processing) to this DPA;</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in Table 2 of the UK Addendum, information about the version of the EU SCCs, modules and selected clauses which this UK Addendum is appended to are located above in this Schedule 3;</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in Table 3 of the UK Addendum:</w:t>
      </w:r>
    </w:p>
    <w:p w:rsidR="001004FA" w:rsidRDefault="00000000">
      <w:pPr>
        <w:numPr>
          <w:ilvl w:val="0"/>
          <w:numId w:val="4"/>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the list of parties is located in </w:t>
      </w:r>
      <w:r>
        <w:rPr>
          <w:rFonts w:ascii="Cambria" w:eastAsia="Cambria" w:hAnsi="Cambria" w:cs="Cambria"/>
          <w:color w:val="000000"/>
          <w:sz w:val="18"/>
          <w:szCs w:val="18"/>
          <w:u w:val="single"/>
        </w:rPr>
        <w:t>Schedule 1</w:t>
      </w:r>
      <w:r>
        <w:rPr>
          <w:rFonts w:ascii="Cambria" w:eastAsia="Cambria" w:hAnsi="Cambria" w:cs="Cambria"/>
          <w:color w:val="000000"/>
          <w:sz w:val="18"/>
          <w:szCs w:val="18"/>
        </w:rPr>
        <w:t xml:space="preserve"> (Subject Matter and Details of Processing) to this DPA;</w:t>
      </w:r>
    </w:p>
    <w:p w:rsidR="001004FA" w:rsidRDefault="00000000">
      <w:pPr>
        <w:numPr>
          <w:ilvl w:val="0"/>
          <w:numId w:val="4"/>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the description of transfer is located in </w:t>
      </w:r>
      <w:r>
        <w:rPr>
          <w:rFonts w:ascii="Cambria" w:eastAsia="Cambria" w:hAnsi="Cambria" w:cs="Cambria"/>
          <w:color w:val="000000"/>
          <w:sz w:val="18"/>
          <w:szCs w:val="18"/>
          <w:u w:val="single"/>
        </w:rPr>
        <w:t>Schedule 1</w:t>
      </w:r>
      <w:r>
        <w:rPr>
          <w:rFonts w:ascii="Cambria" w:eastAsia="Cambria" w:hAnsi="Cambria" w:cs="Cambria"/>
          <w:color w:val="000000"/>
          <w:sz w:val="18"/>
          <w:szCs w:val="18"/>
        </w:rPr>
        <w:t xml:space="preserve"> (Subject Matter and Details of Processing) to this DPA;</w:t>
      </w:r>
    </w:p>
    <w:p w:rsidR="001004FA" w:rsidRDefault="00000000">
      <w:pPr>
        <w:numPr>
          <w:ilvl w:val="0"/>
          <w:numId w:val="4"/>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Annex II is located in </w:t>
      </w:r>
      <w:r>
        <w:rPr>
          <w:rFonts w:ascii="Cambria" w:eastAsia="Cambria" w:hAnsi="Cambria" w:cs="Cambria"/>
          <w:color w:val="000000"/>
          <w:sz w:val="18"/>
          <w:szCs w:val="18"/>
          <w:u w:val="single"/>
        </w:rPr>
        <w:t>Schedule 2</w:t>
      </w:r>
      <w:r>
        <w:rPr>
          <w:rFonts w:ascii="Cambria" w:eastAsia="Cambria" w:hAnsi="Cambria" w:cs="Cambria"/>
          <w:color w:val="000000"/>
          <w:sz w:val="18"/>
          <w:szCs w:val="18"/>
        </w:rPr>
        <w:t xml:space="preserve"> (Technical and Organizational Measures) to this DPA; and</w:t>
      </w:r>
    </w:p>
    <w:p w:rsidR="001004FA" w:rsidRDefault="00000000">
      <w:pPr>
        <w:numPr>
          <w:ilvl w:val="0"/>
          <w:numId w:val="4"/>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the list of </w:t>
      </w:r>
      <w:proofErr w:type="spellStart"/>
      <w:r>
        <w:rPr>
          <w:rFonts w:ascii="Cambria" w:eastAsia="Cambria" w:hAnsi="Cambria" w:cs="Cambria"/>
          <w:color w:val="000000"/>
          <w:sz w:val="18"/>
          <w:szCs w:val="18"/>
        </w:rPr>
        <w:t>Subprocessors</w:t>
      </w:r>
      <w:proofErr w:type="spellEnd"/>
      <w:r>
        <w:rPr>
          <w:rFonts w:ascii="Cambria" w:eastAsia="Cambria" w:hAnsi="Cambria" w:cs="Cambria"/>
          <w:color w:val="000000"/>
          <w:sz w:val="18"/>
          <w:szCs w:val="18"/>
        </w:rPr>
        <w:t xml:space="preserve"> is located in </w:t>
      </w:r>
      <w:r>
        <w:rPr>
          <w:rFonts w:ascii="Cambria" w:eastAsia="Cambria" w:hAnsi="Cambria" w:cs="Cambria"/>
          <w:color w:val="000000"/>
          <w:sz w:val="18"/>
          <w:szCs w:val="18"/>
          <w:u w:val="single"/>
        </w:rPr>
        <w:t>Schedule 1</w:t>
      </w:r>
      <w:r>
        <w:rPr>
          <w:rFonts w:ascii="Cambria" w:eastAsia="Cambria" w:hAnsi="Cambria" w:cs="Cambria"/>
          <w:color w:val="000000"/>
          <w:sz w:val="18"/>
          <w:szCs w:val="18"/>
        </w:rPr>
        <w:t xml:space="preserve"> (Subject Matter and Details of Processing) to this DPA. </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in Table 4 of the UK Addendum, both the Importer and the Exporter may end the UK Addendum in accordance with its terms (and the respective box for each is deemed checked); and</w:t>
      </w:r>
    </w:p>
    <w:p w:rsidR="001004FA" w:rsidRDefault="00000000">
      <w:pPr>
        <w:numPr>
          <w:ilvl w:val="2"/>
          <w:numId w:val="6"/>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in Part 2: Part 2 - Mandatory Clauses of the Approved Addendum, being the template Addendum B.1.0 issued by the ICO and laid before Parliament in accordance with section 119 (A) of the Data Protection Act 2018 on 2 February 2022, as it is revised under section ‎‎18 of those Mandatory Clauses. </w:t>
      </w:r>
    </w:p>
    <w:p w:rsidR="001004FA" w:rsidRDefault="00000000">
      <w:pPr>
        <w:rPr>
          <w:rFonts w:ascii="Cambria" w:eastAsia="Cambria" w:hAnsi="Cambria" w:cs="Cambria"/>
          <w:sz w:val="18"/>
          <w:szCs w:val="18"/>
        </w:rPr>
      </w:pPr>
      <w:r>
        <w:br w:type="page"/>
      </w:r>
    </w:p>
    <w:p w:rsidR="001004FA" w:rsidRDefault="00000000">
      <w:pPr>
        <w:pBdr>
          <w:top w:val="nil"/>
          <w:left w:val="nil"/>
          <w:bottom w:val="nil"/>
          <w:right w:val="nil"/>
          <w:between w:val="nil"/>
        </w:pBdr>
        <w:tabs>
          <w:tab w:val="left" w:pos="630"/>
        </w:tabs>
        <w:spacing w:after="120"/>
        <w:ind w:left="360"/>
        <w:jc w:val="center"/>
        <w:rPr>
          <w:rFonts w:ascii="Cambria" w:eastAsia="Cambria" w:hAnsi="Cambria" w:cs="Cambria"/>
          <w:b/>
          <w:sz w:val="18"/>
          <w:szCs w:val="18"/>
        </w:rPr>
      </w:pPr>
      <w:r>
        <w:rPr>
          <w:rFonts w:ascii="Cambria" w:eastAsia="Cambria" w:hAnsi="Cambria" w:cs="Cambria"/>
          <w:b/>
          <w:sz w:val="18"/>
          <w:szCs w:val="18"/>
        </w:rPr>
        <w:lastRenderedPageBreak/>
        <w:t>Schedule 4: Region-Specific Terms</w:t>
      </w:r>
    </w:p>
    <w:p w:rsidR="001004FA" w:rsidRDefault="00000000">
      <w:pPr>
        <w:numPr>
          <w:ilvl w:val="0"/>
          <w:numId w:val="1"/>
        </w:numPr>
        <w:pBdr>
          <w:top w:val="nil"/>
          <w:left w:val="nil"/>
          <w:bottom w:val="nil"/>
          <w:right w:val="nil"/>
          <w:between w:val="nil"/>
        </w:pBdr>
        <w:tabs>
          <w:tab w:val="left" w:pos="630"/>
        </w:tabs>
        <w:ind w:left="360"/>
        <w:jc w:val="both"/>
        <w:rPr>
          <w:rFonts w:ascii="Cambria" w:eastAsia="Cambria" w:hAnsi="Cambria" w:cs="Cambria"/>
          <w:color w:val="000000"/>
          <w:sz w:val="18"/>
          <w:szCs w:val="18"/>
        </w:rPr>
      </w:pPr>
      <w:r>
        <w:rPr>
          <w:rFonts w:ascii="Cambria" w:eastAsia="Cambria" w:hAnsi="Cambria" w:cs="Cambria"/>
          <w:b/>
          <w:color w:val="000000"/>
          <w:sz w:val="18"/>
          <w:szCs w:val="18"/>
        </w:rPr>
        <w:t>CALIFORNIA</w:t>
      </w:r>
    </w:p>
    <w:p w:rsidR="001004FA" w:rsidRDefault="001004FA">
      <w:pPr>
        <w:pBdr>
          <w:top w:val="nil"/>
          <w:left w:val="nil"/>
          <w:bottom w:val="nil"/>
          <w:right w:val="nil"/>
          <w:between w:val="nil"/>
        </w:pBdr>
        <w:tabs>
          <w:tab w:val="left" w:pos="630"/>
        </w:tabs>
        <w:jc w:val="both"/>
        <w:rPr>
          <w:rFonts w:ascii="Cambria" w:eastAsia="Cambria" w:hAnsi="Cambria" w:cs="Cambria"/>
          <w:sz w:val="18"/>
          <w:szCs w:val="18"/>
          <w:u w:val="single"/>
        </w:rPr>
      </w:pPr>
    </w:p>
    <w:p w:rsidR="001004FA" w:rsidRDefault="00000000">
      <w:pPr>
        <w:numPr>
          <w:ilvl w:val="0"/>
          <w:numId w:val="5"/>
        </w:numPr>
        <w:pBdr>
          <w:top w:val="nil"/>
          <w:left w:val="nil"/>
          <w:bottom w:val="nil"/>
          <w:right w:val="nil"/>
          <w:between w:val="nil"/>
        </w:pBdr>
        <w:tabs>
          <w:tab w:val="left" w:pos="630"/>
        </w:tabs>
        <w:jc w:val="both"/>
        <w:rPr>
          <w:rFonts w:ascii="Cambria" w:eastAsia="Cambria" w:hAnsi="Cambria" w:cs="Cambria"/>
          <w:b/>
          <w:color w:val="000000"/>
          <w:sz w:val="18"/>
          <w:szCs w:val="18"/>
        </w:rPr>
      </w:pPr>
      <w:r>
        <w:rPr>
          <w:rFonts w:ascii="Cambria" w:eastAsia="Cambria" w:hAnsi="Cambria" w:cs="Cambria"/>
          <w:b/>
          <w:color w:val="000000"/>
          <w:sz w:val="18"/>
          <w:szCs w:val="18"/>
        </w:rPr>
        <w:t>Definitions</w:t>
      </w:r>
      <w:r>
        <w:rPr>
          <w:rFonts w:ascii="Cambria" w:eastAsia="Cambria" w:hAnsi="Cambria" w:cs="Cambria"/>
          <w:color w:val="000000"/>
          <w:sz w:val="18"/>
          <w:szCs w:val="18"/>
        </w:rPr>
        <w:t>. CCPA and other capitalized terms not defined in this Schedule are defined in the DPA.</w:t>
      </w:r>
    </w:p>
    <w:p w:rsidR="001004FA" w:rsidRDefault="00000000">
      <w:pPr>
        <w:numPr>
          <w:ilvl w:val="1"/>
          <w:numId w:val="5"/>
        </w:numPr>
        <w:pBdr>
          <w:top w:val="nil"/>
          <w:left w:val="nil"/>
          <w:bottom w:val="nil"/>
          <w:right w:val="nil"/>
          <w:between w:val="nil"/>
        </w:pBdr>
        <w:spacing w:line="259" w:lineRule="auto"/>
        <w:rPr>
          <w:rFonts w:ascii="Cambria" w:eastAsia="Cambria" w:hAnsi="Cambria" w:cs="Cambria"/>
          <w:color w:val="000000"/>
          <w:sz w:val="18"/>
          <w:szCs w:val="18"/>
        </w:rPr>
      </w:pPr>
      <w:r>
        <w:rPr>
          <w:rFonts w:ascii="Cambria" w:eastAsia="Cambria" w:hAnsi="Cambria" w:cs="Cambria"/>
          <w:color w:val="000000"/>
          <w:sz w:val="18"/>
          <w:szCs w:val="18"/>
        </w:rPr>
        <w:t>“</w:t>
      </w:r>
      <w:proofErr w:type="gramStart"/>
      <w:r>
        <w:rPr>
          <w:rFonts w:ascii="Cambria" w:eastAsia="Cambria" w:hAnsi="Cambria" w:cs="Cambria"/>
          <w:color w:val="000000"/>
          <w:sz w:val="18"/>
          <w:szCs w:val="18"/>
        </w:rPr>
        <w:t>business</w:t>
      </w:r>
      <w:proofErr w:type="gramEnd"/>
      <w:r>
        <w:rPr>
          <w:rFonts w:ascii="Cambria" w:eastAsia="Cambria" w:hAnsi="Cambria" w:cs="Cambria"/>
          <w:color w:val="000000"/>
          <w:sz w:val="18"/>
          <w:szCs w:val="18"/>
        </w:rPr>
        <w:t xml:space="preserve"> purpose”, “commercial purpose”, “personal information”, “sell”, “service provider” and “share” have the meanings given in the CCPA.</w:t>
      </w:r>
    </w:p>
    <w:p w:rsidR="001004FA" w:rsidRDefault="00000000">
      <w:pPr>
        <w:numPr>
          <w:ilvl w:val="1"/>
          <w:numId w:val="5"/>
        </w:numPr>
        <w:pBdr>
          <w:top w:val="nil"/>
          <w:left w:val="nil"/>
          <w:bottom w:val="nil"/>
          <w:right w:val="nil"/>
          <w:between w:val="nil"/>
        </w:pBdr>
        <w:spacing w:line="259" w:lineRule="auto"/>
        <w:rPr>
          <w:rFonts w:ascii="Cambria" w:eastAsia="Cambria" w:hAnsi="Cambria" w:cs="Cambria"/>
          <w:color w:val="000000"/>
          <w:sz w:val="18"/>
          <w:szCs w:val="18"/>
        </w:rPr>
      </w:pPr>
      <w:r>
        <w:rPr>
          <w:rFonts w:ascii="Cambria" w:eastAsia="Cambria" w:hAnsi="Cambria" w:cs="Cambria"/>
          <w:color w:val="000000"/>
          <w:sz w:val="18"/>
          <w:szCs w:val="18"/>
        </w:rPr>
        <w:t>The definition of “Data Subject” includes “consumer” as defined under the CCPA.</w:t>
      </w:r>
    </w:p>
    <w:p w:rsidR="001004FA" w:rsidRDefault="00000000">
      <w:pPr>
        <w:numPr>
          <w:ilvl w:val="1"/>
          <w:numId w:val="5"/>
        </w:numPr>
        <w:pBdr>
          <w:top w:val="nil"/>
          <w:left w:val="nil"/>
          <w:bottom w:val="nil"/>
          <w:right w:val="nil"/>
          <w:between w:val="nil"/>
        </w:pBdr>
        <w:spacing w:line="259" w:lineRule="auto"/>
        <w:rPr>
          <w:rFonts w:ascii="Cambria" w:eastAsia="Cambria" w:hAnsi="Cambria" w:cs="Cambria"/>
          <w:color w:val="000000"/>
          <w:sz w:val="18"/>
          <w:szCs w:val="18"/>
        </w:rPr>
      </w:pPr>
      <w:r>
        <w:rPr>
          <w:rFonts w:ascii="Cambria" w:eastAsia="Cambria" w:hAnsi="Cambria" w:cs="Cambria"/>
          <w:color w:val="000000"/>
          <w:sz w:val="18"/>
          <w:szCs w:val="18"/>
        </w:rPr>
        <w:t>The definition of “Controller” includes “business” as defined under the CCPA.</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b/>
          <w:color w:val="000000"/>
          <w:sz w:val="18"/>
          <w:szCs w:val="18"/>
        </w:rPr>
      </w:pPr>
      <w:r>
        <w:rPr>
          <w:rFonts w:ascii="Cambria" w:eastAsia="Cambria" w:hAnsi="Cambria" w:cs="Cambria"/>
          <w:color w:val="000000"/>
          <w:sz w:val="18"/>
          <w:szCs w:val="18"/>
        </w:rPr>
        <w:t>The definition of “Processor” includes “service provider” as defined under the CCPA.</w:t>
      </w:r>
    </w:p>
    <w:p w:rsidR="001004FA" w:rsidRDefault="00000000">
      <w:pPr>
        <w:numPr>
          <w:ilvl w:val="0"/>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b/>
          <w:color w:val="000000"/>
          <w:sz w:val="18"/>
          <w:szCs w:val="18"/>
        </w:rPr>
        <w:t>Obligations</w:t>
      </w:r>
      <w:r>
        <w:rPr>
          <w:rFonts w:ascii="Cambria" w:eastAsia="Cambria" w:hAnsi="Cambria" w:cs="Cambria"/>
          <w:color w:val="000000"/>
          <w:sz w:val="18"/>
          <w:szCs w:val="18"/>
        </w:rPr>
        <w:t xml:space="preserve">. </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Customer is providing the Customer Personal Data to Provider under the Agreement for the limited and specific business purposes of providing the Cloud Service as described in </w:t>
      </w:r>
      <w:r>
        <w:rPr>
          <w:rFonts w:ascii="Cambria" w:eastAsia="Cambria" w:hAnsi="Cambria" w:cs="Cambria"/>
          <w:color w:val="000000"/>
          <w:sz w:val="18"/>
          <w:szCs w:val="18"/>
          <w:u w:val="single"/>
        </w:rPr>
        <w:t>Schedule 1</w:t>
      </w:r>
      <w:r>
        <w:rPr>
          <w:rFonts w:ascii="Cambria" w:eastAsia="Cambria" w:hAnsi="Cambria" w:cs="Cambria"/>
          <w:color w:val="000000"/>
          <w:sz w:val="18"/>
          <w:szCs w:val="18"/>
        </w:rPr>
        <w:t xml:space="preserve"> (Subject Matter and Details of Processing) to this DPA and otherwise performing under the Agreement. </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Provider will comply with its applicable obligations under the CCPA and provide the same level of privacy protection to Customer Personal Data as is required by the CCPA.</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Provider acknowledges that Customer has the right to: (</w:t>
      </w:r>
      <w:proofErr w:type="spellStart"/>
      <w:r>
        <w:rPr>
          <w:rFonts w:ascii="Cambria" w:eastAsia="Cambria" w:hAnsi="Cambria" w:cs="Cambria"/>
          <w:color w:val="000000"/>
          <w:sz w:val="18"/>
          <w:szCs w:val="18"/>
        </w:rPr>
        <w:t>i</w:t>
      </w:r>
      <w:proofErr w:type="spellEnd"/>
      <w:r>
        <w:rPr>
          <w:rFonts w:ascii="Cambria" w:eastAsia="Cambria" w:hAnsi="Cambria" w:cs="Cambria"/>
          <w:color w:val="000000"/>
          <w:sz w:val="18"/>
          <w:szCs w:val="18"/>
        </w:rPr>
        <w:t xml:space="preserve">) take reasonable and appropriate steps under Section 9 (Audits) of this DPA to help to ensure that Provider’s use of Customer Personal Data is consistent with Customer’s obligations under the CCPA, (ii) receive from Provider notice and assistance under Section 7 (Data Subject Requests) of this DPA regarding consumers’ requests to exercise rights under the CCPA and (iii) upon notice, take reasonable and appropriate steps to stop and remediate unauthorized use of Customer Personal Data. </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Provider will notify Customer promptly after it makes a determination that it can no longer meet its obligations under the CCPA.</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Provider will not retain, use or disclose Customer Personal Data: (</w:t>
      </w:r>
      <w:proofErr w:type="spellStart"/>
      <w:r>
        <w:rPr>
          <w:rFonts w:ascii="Cambria" w:eastAsia="Cambria" w:hAnsi="Cambria" w:cs="Cambria"/>
          <w:color w:val="000000"/>
          <w:sz w:val="18"/>
          <w:szCs w:val="18"/>
        </w:rPr>
        <w:t>i</w:t>
      </w:r>
      <w:proofErr w:type="spellEnd"/>
      <w:r>
        <w:rPr>
          <w:rFonts w:ascii="Cambria" w:eastAsia="Cambria" w:hAnsi="Cambria" w:cs="Cambria"/>
          <w:color w:val="000000"/>
          <w:sz w:val="18"/>
          <w:szCs w:val="18"/>
        </w:rPr>
        <w:t xml:space="preserve">) for any purpose, including a commercial purpose, other than the business purposes described in Section 2.1 of this Section A (California) of Schedule 4 or (ii) outside of the direct business relationship between Provider with Customer, except, in either case, where and to the extent permitted by the CCPA. </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Provider will not sell or share Customer Personal Data received under the Agreement.</w:t>
      </w:r>
    </w:p>
    <w:p w:rsidR="001004FA" w:rsidRDefault="00000000">
      <w:pPr>
        <w:numPr>
          <w:ilvl w:val="1"/>
          <w:numId w:val="5"/>
        </w:numPr>
        <w:pBdr>
          <w:top w:val="nil"/>
          <w:left w:val="nil"/>
          <w:bottom w:val="nil"/>
          <w:right w:val="nil"/>
          <w:between w:val="nil"/>
        </w:pBdr>
        <w:tabs>
          <w:tab w:val="left" w:pos="630"/>
        </w:tabs>
        <w:spacing w:after="120"/>
        <w:jc w:val="both"/>
        <w:rPr>
          <w:rFonts w:ascii="Cambria" w:eastAsia="Cambria" w:hAnsi="Cambria" w:cs="Cambria"/>
          <w:color w:val="000000"/>
          <w:sz w:val="18"/>
          <w:szCs w:val="18"/>
        </w:rPr>
      </w:pPr>
      <w:r>
        <w:rPr>
          <w:rFonts w:ascii="Cambria" w:eastAsia="Cambria" w:hAnsi="Cambria" w:cs="Cambria"/>
          <w:color w:val="000000"/>
          <w:sz w:val="18"/>
          <w:szCs w:val="18"/>
        </w:rPr>
        <w:t xml:space="preserve">Provider will not combine Customer Personal Data with other personal information except to the extent a service provider is permitted to do so by the CCPA. </w:t>
      </w:r>
    </w:p>
    <w:p w:rsidR="001004FA" w:rsidRDefault="001004FA">
      <w:pPr>
        <w:tabs>
          <w:tab w:val="center" w:pos="4320"/>
          <w:tab w:val="right" w:pos="8640"/>
        </w:tabs>
        <w:jc w:val="center"/>
        <w:rPr>
          <w:rFonts w:ascii="Calibri" w:eastAsia="Calibri" w:hAnsi="Calibri" w:cs="Calibri"/>
          <w:b/>
          <w:sz w:val="18"/>
          <w:szCs w:val="18"/>
        </w:rPr>
      </w:pPr>
    </w:p>
    <w:sectPr w:rsidR="001004FA">
      <w:headerReference w:type="default" r:id="rId12"/>
      <w:headerReference w:type="first" r:id="rId13"/>
      <w:footerReference w:type="first" r:id="rId14"/>
      <w:pgSz w:w="12240" w:h="15840"/>
      <w:pgMar w:top="1008" w:right="1008" w:bottom="1008" w:left="1008"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04F9" w:rsidRDefault="00B404F9">
      <w:r>
        <w:separator/>
      </w:r>
    </w:p>
  </w:endnote>
  <w:endnote w:type="continuationSeparator" w:id="0">
    <w:p w:rsidR="00B404F9" w:rsidRDefault="00B4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4AABE88A-C8B4-CD4D-B09B-2221C5F267BD}"/>
  </w:font>
  <w:font w:name="Times New Roman">
    <w:panose1 w:val="02020603050405020304"/>
    <w:charset w:val="00"/>
    <w:family w:val="roman"/>
    <w:pitch w:val="variable"/>
    <w:sig w:usb0="E0002EFF" w:usb1="C000785B" w:usb2="00000009" w:usb3="00000000" w:csb0="000001FF" w:csb1="00000000"/>
    <w:embedRegular r:id="rId2" w:fontKey="{C26F34B8-10D5-3B41-A93E-21AB0AB8131A}"/>
    <w:embedBold r:id="rId3" w:fontKey="{E4BE9278-E626-6F4A-8834-903D92E5EA61}"/>
  </w:font>
  <w:font w:name="Noto Sans Symbols">
    <w:panose1 w:val="020B0604020202020204"/>
    <w:charset w:val="00"/>
    <w:family w:val="auto"/>
    <w:pitch w:val="default"/>
    <w:embedRegular r:id="rId4" w:fontKey="{489F90FE-6F11-F544-8050-38FA2092DBB7}"/>
  </w:font>
  <w:font w:name="Georgia">
    <w:panose1 w:val="02040502050405020303"/>
    <w:charset w:val="00"/>
    <w:family w:val="roman"/>
    <w:pitch w:val="variable"/>
    <w:sig w:usb0="00000287" w:usb1="00000000" w:usb2="00000000" w:usb3="00000000" w:csb0="0000009F" w:csb1="00000000"/>
    <w:embedRegular r:id="rId5" w:fontKey="{FDE5DC7D-DC20-BD47-8EFE-4E15F385F787}"/>
    <w:embedItalic r:id="rId6" w:fontKey="{A31A6A2F-905D-3342-BB73-A527C67819B9}"/>
  </w:font>
  <w:font w:name="Calibri">
    <w:panose1 w:val="020F0502020204030204"/>
    <w:charset w:val="00"/>
    <w:family w:val="swiss"/>
    <w:pitch w:val="variable"/>
    <w:sig w:usb0="E0002AFF" w:usb1="C000247B" w:usb2="00000009" w:usb3="00000000" w:csb0="000001FF" w:csb1="00000000"/>
    <w:embedRegular r:id="rId7" w:fontKey="{7157EBFB-A39A-6046-8D11-95569126E240}"/>
    <w:embedBold r:id="rId8" w:fontKey="{EA991ABD-0963-C54A-BB71-8AEA75B4A0C2}"/>
    <w:embedItalic r:id="rId9" w:fontKey="{B5A7FF82-B1B2-DE49-A2F0-838D7D0B9D5D}"/>
    <w:embedBoldItalic r:id="rId10" w:fontKey="{432BA9DB-8122-B64A-8E94-883414526C4E}"/>
  </w:font>
  <w:font w:name="Cambria">
    <w:panose1 w:val="02040503050406030204"/>
    <w:charset w:val="00"/>
    <w:family w:val="roman"/>
    <w:pitch w:val="variable"/>
    <w:sig w:usb0="E00002FF" w:usb1="400004FF" w:usb2="00000000" w:usb3="00000000" w:csb0="0000019F" w:csb1="00000000"/>
    <w:embedRegular r:id="rId11" w:fontKey="{B1CFECCF-7564-A640-9B41-AACE92C5745D}"/>
    <w:embedBold r:id="rId12" w:fontKey="{963DDF17-84E8-044E-A4C9-853DF78BC5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04FA" w:rsidRDefault="001004FA">
    <w:pPr>
      <w:tabs>
        <w:tab w:val="center" w:pos="5112"/>
        <w:tab w:val="right" w:pos="10224"/>
      </w:tabs>
      <w:rPr>
        <w:rFonts w:ascii="Calibri" w:eastAsia="Calibri" w:hAnsi="Calibri" w:cs="Calibri"/>
        <w:sz w:val="16"/>
        <w:szCs w:val="16"/>
      </w:rPr>
    </w:pPr>
  </w:p>
  <w:p w:rsidR="001004FA" w:rsidRDefault="00000000">
    <w:pPr>
      <w:tabs>
        <w:tab w:val="center" w:pos="5112"/>
        <w:tab w:val="right" w:pos="10224"/>
      </w:tabs>
      <w:rPr>
        <w:rFonts w:ascii="Calibri" w:eastAsia="Calibri" w:hAnsi="Calibri" w:cs="Calibri"/>
        <w:sz w:val="16"/>
        <w:szCs w:val="16"/>
      </w:rPr>
    </w:pPr>
    <w:r>
      <w:rPr>
        <w:rFonts w:ascii="Calibri" w:eastAsia="Calibri" w:hAnsi="Calibri" w:cs="Calibri"/>
        <w:sz w:val="16"/>
        <w:szCs w:val="16"/>
      </w:rPr>
      <w:t>Bonterms Cloud Agreement - Draft 4.0 - 2021 10 19.docx</w:t>
    </w:r>
  </w:p>
  <w:p w:rsidR="001004FA" w:rsidRDefault="001004FA">
    <w:pPr>
      <w:tabs>
        <w:tab w:val="center" w:pos="5112"/>
        <w:tab w:val="right" w:pos="10224"/>
      </w:tabs>
      <w:rPr>
        <w:rFonts w:ascii="Calibri" w:eastAsia="Calibri" w:hAnsi="Calibri" w:cs="Calibri"/>
        <w:sz w:val="16"/>
        <w:szCs w:val="16"/>
      </w:rPr>
    </w:pPr>
  </w:p>
  <w:p w:rsidR="001004FA" w:rsidRDefault="001004FA">
    <w:pPr>
      <w:pBdr>
        <w:top w:val="nil"/>
        <w:left w:val="nil"/>
        <w:bottom w:val="nil"/>
        <w:right w:val="nil"/>
        <w:between w:val="nil"/>
      </w:pBdr>
      <w:tabs>
        <w:tab w:val="center" w:pos="4680"/>
        <w:tab w:val="right" w:pos="9360"/>
      </w:tabs>
      <w:rPr>
        <w:rFonts w:ascii="Calibri" w:eastAsia="Calibri" w:hAnsi="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04F9" w:rsidRDefault="00B404F9">
      <w:r>
        <w:separator/>
      </w:r>
    </w:p>
  </w:footnote>
  <w:footnote w:type="continuationSeparator" w:id="0">
    <w:p w:rsidR="00B404F9" w:rsidRDefault="00B40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04FA" w:rsidRDefault="001004FA">
    <w:pPr>
      <w:pBdr>
        <w:top w:val="nil"/>
        <w:left w:val="nil"/>
        <w:bottom w:val="nil"/>
        <w:right w:val="nil"/>
        <w:between w:val="nil"/>
      </w:pBdr>
      <w:tabs>
        <w:tab w:val="center" w:pos="4680"/>
        <w:tab w:val="right" w:pos="936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04FA" w:rsidRDefault="00000000">
    <w:pPr>
      <w:pBdr>
        <w:top w:val="nil"/>
        <w:left w:val="nil"/>
        <w:bottom w:val="nil"/>
        <w:right w:val="nil"/>
        <w:between w:val="nil"/>
      </w:pBdr>
      <w:spacing w:before="60"/>
      <w:rPr>
        <w:rFonts w:ascii="Calibri" w:eastAsia="Calibri" w:hAnsi="Calibri" w:cs="Calibri"/>
        <w:b/>
        <w:color w:val="000000"/>
        <w:sz w:val="18"/>
        <w:szCs w:val="18"/>
      </w:rPr>
    </w:pPr>
    <w:r>
      <w:rPr>
        <w:rFonts w:ascii="Calibri" w:eastAsia="Calibri" w:hAnsi="Calibri" w:cs="Calibri"/>
        <w:b/>
        <w:color w:val="000000"/>
        <w:sz w:val="18"/>
        <w:szCs w:val="18"/>
      </w:rPr>
      <w:t xml:space="preserve">BONTERMS COMMITTEE DRAFT 4.0 - CONFIDENTIAL </w:t>
    </w:r>
  </w:p>
  <w:p w:rsidR="001004FA" w:rsidRDefault="001004FA">
    <w:pPr>
      <w:pBdr>
        <w:top w:val="nil"/>
        <w:left w:val="nil"/>
        <w:bottom w:val="nil"/>
        <w:right w:val="nil"/>
        <w:between w:val="nil"/>
      </w:pBdr>
      <w:tabs>
        <w:tab w:val="center" w:pos="4680"/>
        <w:tab w:val="right" w:pos="9360"/>
      </w:tabs>
      <w:rPr>
        <w:color w:val="000000"/>
      </w:rPr>
    </w:pPr>
  </w:p>
  <w:p w:rsidR="001004FA" w:rsidRDefault="001004F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45D36"/>
    <w:multiLevelType w:val="multilevel"/>
    <w:tmpl w:val="74787C78"/>
    <w:lvl w:ilvl="0">
      <w:start w:val="1"/>
      <w:numFmt w:val="lowerLetter"/>
      <w:lvlText w:val="%1."/>
      <w:lvlJc w:val="left"/>
      <w:pPr>
        <w:ind w:left="861" w:hanging="361"/>
      </w:pPr>
      <w:rPr>
        <w:rFonts w:ascii="Arial" w:eastAsia="Arial" w:hAnsi="Arial" w:cs="Arial"/>
        <w:b w:val="0"/>
        <w:i w:val="0"/>
        <w:sz w:val="20"/>
        <w:szCs w:val="20"/>
      </w:rPr>
    </w:lvl>
    <w:lvl w:ilvl="1">
      <w:numFmt w:val="bullet"/>
      <w:lvlText w:val="•"/>
      <w:lvlJc w:val="left"/>
      <w:pPr>
        <w:ind w:left="1734" w:hanging="361"/>
      </w:pPr>
    </w:lvl>
    <w:lvl w:ilvl="2">
      <w:numFmt w:val="bullet"/>
      <w:lvlText w:val="•"/>
      <w:lvlJc w:val="left"/>
      <w:pPr>
        <w:ind w:left="2608" w:hanging="361"/>
      </w:pPr>
    </w:lvl>
    <w:lvl w:ilvl="3">
      <w:numFmt w:val="bullet"/>
      <w:lvlText w:val="•"/>
      <w:lvlJc w:val="left"/>
      <w:pPr>
        <w:ind w:left="3482" w:hanging="361"/>
      </w:pPr>
    </w:lvl>
    <w:lvl w:ilvl="4">
      <w:numFmt w:val="bullet"/>
      <w:lvlText w:val="•"/>
      <w:lvlJc w:val="left"/>
      <w:pPr>
        <w:ind w:left="4356" w:hanging="361"/>
      </w:pPr>
    </w:lvl>
    <w:lvl w:ilvl="5">
      <w:numFmt w:val="bullet"/>
      <w:lvlText w:val="•"/>
      <w:lvlJc w:val="left"/>
      <w:pPr>
        <w:ind w:left="5230" w:hanging="361"/>
      </w:pPr>
    </w:lvl>
    <w:lvl w:ilvl="6">
      <w:numFmt w:val="bullet"/>
      <w:lvlText w:val="•"/>
      <w:lvlJc w:val="left"/>
      <w:pPr>
        <w:ind w:left="6104" w:hanging="361"/>
      </w:pPr>
    </w:lvl>
    <w:lvl w:ilvl="7">
      <w:numFmt w:val="bullet"/>
      <w:lvlText w:val="•"/>
      <w:lvlJc w:val="left"/>
      <w:pPr>
        <w:ind w:left="6978" w:hanging="361"/>
      </w:pPr>
    </w:lvl>
    <w:lvl w:ilvl="8">
      <w:numFmt w:val="bullet"/>
      <w:lvlText w:val="•"/>
      <w:lvlJc w:val="left"/>
      <w:pPr>
        <w:ind w:left="7852" w:hanging="361"/>
      </w:pPr>
    </w:lvl>
  </w:abstractNum>
  <w:abstractNum w:abstractNumId="1" w15:restartNumberingAfterBreak="0">
    <w:nsid w:val="357F144B"/>
    <w:multiLevelType w:val="multilevel"/>
    <w:tmpl w:val="5DB2E6E6"/>
    <w:lvl w:ilvl="0">
      <w:start w:val="1"/>
      <w:numFmt w:val="lowerRoman"/>
      <w:lvlText w:val="(%1)"/>
      <w:lvlJc w:val="left"/>
      <w:pPr>
        <w:ind w:left="2160" w:hanging="720"/>
      </w:pPr>
    </w:lvl>
    <w:lvl w:ilvl="1">
      <w:start w:val="1"/>
      <w:numFmt w:val="decimal"/>
      <w:lvlText w:val="%2."/>
      <w:lvlJc w:val="left"/>
      <w:pPr>
        <w:ind w:left="2880" w:hanging="72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A063AF2"/>
    <w:multiLevelType w:val="multilevel"/>
    <w:tmpl w:val="3594BADC"/>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EB75FA3"/>
    <w:multiLevelType w:val="multilevel"/>
    <w:tmpl w:val="79A65B4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FF310ED"/>
    <w:multiLevelType w:val="multilevel"/>
    <w:tmpl w:val="1632C81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88148D"/>
    <w:multiLevelType w:val="multilevel"/>
    <w:tmpl w:val="0D0E1744"/>
    <w:lvl w:ilvl="0">
      <w:numFmt w:val="bullet"/>
      <w:lvlText w:val="●"/>
      <w:lvlJc w:val="left"/>
      <w:pPr>
        <w:ind w:left="861" w:hanging="361"/>
      </w:pPr>
      <w:rPr>
        <w:rFonts w:ascii="Noto Sans Symbols" w:eastAsia="Noto Sans Symbols" w:hAnsi="Noto Sans Symbols" w:cs="Noto Sans Symbols"/>
        <w:b w:val="0"/>
        <w:i w:val="0"/>
        <w:sz w:val="20"/>
        <w:szCs w:val="20"/>
      </w:rPr>
    </w:lvl>
    <w:lvl w:ilvl="1">
      <w:numFmt w:val="bullet"/>
      <w:lvlText w:val="•"/>
      <w:lvlJc w:val="left"/>
      <w:pPr>
        <w:ind w:left="1734" w:hanging="361"/>
      </w:pPr>
    </w:lvl>
    <w:lvl w:ilvl="2">
      <w:numFmt w:val="bullet"/>
      <w:lvlText w:val="•"/>
      <w:lvlJc w:val="left"/>
      <w:pPr>
        <w:ind w:left="2608" w:hanging="361"/>
      </w:pPr>
    </w:lvl>
    <w:lvl w:ilvl="3">
      <w:numFmt w:val="bullet"/>
      <w:lvlText w:val="•"/>
      <w:lvlJc w:val="left"/>
      <w:pPr>
        <w:ind w:left="3482" w:hanging="361"/>
      </w:pPr>
    </w:lvl>
    <w:lvl w:ilvl="4">
      <w:numFmt w:val="bullet"/>
      <w:lvlText w:val="•"/>
      <w:lvlJc w:val="left"/>
      <w:pPr>
        <w:ind w:left="4356" w:hanging="361"/>
      </w:pPr>
    </w:lvl>
    <w:lvl w:ilvl="5">
      <w:numFmt w:val="bullet"/>
      <w:lvlText w:val="•"/>
      <w:lvlJc w:val="left"/>
      <w:pPr>
        <w:ind w:left="5230" w:hanging="361"/>
      </w:pPr>
    </w:lvl>
    <w:lvl w:ilvl="6">
      <w:numFmt w:val="bullet"/>
      <w:lvlText w:val="•"/>
      <w:lvlJc w:val="left"/>
      <w:pPr>
        <w:ind w:left="6104" w:hanging="361"/>
      </w:pPr>
    </w:lvl>
    <w:lvl w:ilvl="7">
      <w:numFmt w:val="bullet"/>
      <w:lvlText w:val="•"/>
      <w:lvlJc w:val="left"/>
      <w:pPr>
        <w:ind w:left="6978" w:hanging="361"/>
      </w:pPr>
    </w:lvl>
    <w:lvl w:ilvl="8">
      <w:numFmt w:val="bullet"/>
      <w:lvlText w:val="•"/>
      <w:lvlJc w:val="left"/>
      <w:pPr>
        <w:ind w:left="7852" w:hanging="361"/>
      </w:pPr>
    </w:lvl>
  </w:abstractNum>
  <w:num w:numId="1" w16cid:durableId="1274824230">
    <w:abstractNumId w:val="4"/>
  </w:num>
  <w:num w:numId="2" w16cid:durableId="451435846">
    <w:abstractNumId w:val="5"/>
  </w:num>
  <w:num w:numId="3" w16cid:durableId="74939288">
    <w:abstractNumId w:val="0"/>
  </w:num>
  <w:num w:numId="4" w16cid:durableId="373963627">
    <w:abstractNumId w:val="1"/>
  </w:num>
  <w:num w:numId="5" w16cid:durableId="945502867">
    <w:abstractNumId w:val="2"/>
  </w:num>
  <w:num w:numId="6" w16cid:durableId="2104105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4FA"/>
    <w:rsid w:val="001004FA"/>
    <w:rsid w:val="00B404F9"/>
    <w:rsid w:val="00D6478B"/>
    <w:rsid w:val="00E70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B30654"/>
  <w15:docId w15:val="{0A649255-712C-504E-B4E4-29525875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240"/>
      <w:ind w:firstLine="1440"/>
      <w:outlineLvl w:val="0"/>
    </w:pPr>
    <w:rPr>
      <w:rFonts w:ascii="Arial" w:eastAsia="Arial" w:hAnsi="Arial" w:cs="Arial"/>
      <w:sz w:val="18"/>
      <w:szCs w:val="18"/>
    </w:rPr>
  </w:style>
  <w:style w:type="paragraph" w:styleId="Heading2">
    <w:name w:val="heading 2"/>
    <w:basedOn w:val="Normal"/>
    <w:next w:val="Normal"/>
    <w:uiPriority w:val="9"/>
    <w:semiHidden/>
    <w:unhideWhenUsed/>
    <w:qFormat/>
    <w:pPr>
      <w:spacing w:after="240"/>
      <w:ind w:firstLine="1440"/>
      <w:jc w:val="both"/>
      <w:outlineLvl w:val="1"/>
    </w:pPr>
    <w:rPr>
      <w:rFonts w:ascii="Arial" w:eastAsia="Arial" w:hAnsi="Arial" w:cs="Arial"/>
      <w:sz w:val="18"/>
      <w:szCs w:val="18"/>
    </w:rPr>
  </w:style>
  <w:style w:type="paragraph" w:styleId="Heading3">
    <w:name w:val="heading 3"/>
    <w:basedOn w:val="Normal"/>
    <w:next w:val="Normal"/>
    <w:uiPriority w:val="9"/>
    <w:semiHidden/>
    <w:unhideWhenUsed/>
    <w:qFormat/>
    <w:pPr>
      <w:spacing w:after="240"/>
      <w:ind w:firstLine="2160"/>
      <w:jc w:val="both"/>
      <w:outlineLvl w:val="2"/>
    </w:pPr>
    <w:rPr>
      <w:rFonts w:ascii="Arial" w:eastAsia="Arial" w:hAnsi="Arial" w:cs="Arial"/>
      <w:sz w:val="18"/>
      <w:szCs w:val="18"/>
    </w:rPr>
  </w:style>
  <w:style w:type="paragraph" w:styleId="Heading4">
    <w:name w:val="heading 4"/>
    <w:basedOn w:val="Normal"/>
    <w:next w:val="Normal"/>
    <w:uiPriority w:val="9"/>
    <w:semiHidden/>
    <w:unhideWhenUsed/>
    <w:qFormat/>
    <w:pPr>
      <w:spacing w:after="240"/>
      <w:ind w:firstLine="2880"/>
      <w:jc w:val="both"/>
      <w:outlineLvl w:val="3"/>
    </w:pPr>
    <w:rPr>
      <w:rFonts w:ascii="Arial" w:eastAsia="Arial" w:hAnsi="Arial" w:cs="Arial"/>
      <w:sz w:val="18"/>
      <w:szCs w:val="18"/>
    </w:rPr>
  </w:style>
  <w:style w:type="paragraph" w:styleId="Heading5">
    <w:name w:val="heading 5"/>
    <w:basedOn w:val="Normal"/>
    <w:next w:val="Normal"/>
    <w:uiPriority w:val="9"/>
    <w:semiHidden/>
    <w:unhideWhenUsed/>
    <w:qFormat/>
    <w:pPr>
      <w:spacing w:after="240"/>
      <w:ind w:firstLine="3600"/>
      <w:jc w:val="both"/>
      <w:outlineLvl w:val="4"/>
    </w:pPr>
    <w:rPr>
      <w:rFonts w:ascii="Arial" w:eastAsia="Arial" w:hAnsi="Arial" w:cs="Arial"/>
      <w:sz w:val="18"/>
      <w:szCs w:val="18"/>
    </w:rPr>
  </w:style>
  <w:style w:type="paragraph" w:styleId="Heading6">
    <w:name w:val="heading 6"/>
    <w:basedOn w:val="Normal"/>
    <w:next w:val="Normal"/>
    <w:uiPriority w:val="9"/>
    <w:semiHidden/>
    <w:unhideWhenUsed/>
    <w:qFormat/>
    <w:pPr>
      <w:spacing w:after="240"/>
      <w:ind w:firstLine="4320"/>
      <w:outlineLvl w:val="5"/>
    </w:pPr>
    <w:rPr>
      <w:rFonts w:ascii="Arial" w:eastAsia="Arial" w:hAnsi="Arial" w:cs="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20"/>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0">
    <w:name w:val="10"/>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8">
    <w:name w:val="8"/>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uiPriority w:val="99"/>
    <w:semiHidden/>
    <w:unhideWhenUsed/>
    <w:rPr>
      <w:sz w:val="16"/>
      <w:szCs w:val="16"/>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onterms.com/forms/data-protection-addendum-v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growthbook.i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rowthbook.io/subprocessors" TargetMode="External"/><Relationship Id="rId4" Type="http://schemas.openxmlformats.org/officeDocument/2006/relationships/settings" Target="settings.xml"/><Relationship Id="rId9" Type="http://schemas.openxmlformats.org/officeDocument/2006/relationships/hyperlink" Target="https://www.growthbook.io/term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1gMVTOab2fP4blgot8eQIevLug==">CgMxLjAyCWguM3RidWdwMTIJaC4yOGg0cXd1MghoLm5tZjE0bjIJaC4zN20yanNnMgloLjFtcmN1MDkyCWguNDZyMGNvMjIJaC4ybHdhbXZ2MgloLjExMWt4M28yCmlkLjNsMThmcmgyCWguMjA2aXB6YTIJaC40azY2OG4zMgloLjJ6YmdpdXc4AHIhMTFqQlIzZXQxaGJ6b1ZwajRrXzhDSnRVNUlJRXRXRVVH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2614</Words>
  <Characters>14904</Characters>
  <Application>Microsoft Office Word</Application>
  <DocSecurity>0</DocSecurity>
  <Lines>124</Lines>
  <Paragraphs>34</Paragraphs>
  <ScaleCrop>false</ScaleCrop>
  <Company/>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Du Pont</cp:lastModifiedBy>
  <cp:revision>1</cp:revision>
  <dcterms:created xsi:type="dcterms:W3CDTF">2024-01-09T16:32:00Z</dcterms:created>
  <dcterms:modified xsi:type="dcterms:W3CDTF">2024-07-22T16:06:00Z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0x010100653B104D75CF764CB9B49505296F1347</vt:lpwstr>
  </property>
</Properties>
</file>