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7D48" w14:textId="77777777" w:rsidR="00E02535" w:rsidRDefault="003963FB">
      <w:pPr>
        <w:pStyle w:val="DocumentHeader"/>
        <w:spacing w:line="259" w:lineRule="auto"/>
      </w:pPr>
      <w:r>
        <w:t>AI and Future of Legal Practice</w:t>
      </w:r>
    </w:p>
    <w:p w14:paraId="6456FE88" w14:textId="4BAA73B2" w:rsidR="00E02535" w:rsidRDefault="003963FB" w:rsidP="25FCB2BD">
      <w:pPr>
        <w:pStyle w:val="Subtitle"/>
        <w:rPr>
          <w:rFonts w:asciiTheme="minorHAnsi" w:hAnsiTheme="minorHAnsi"/>
        </w:rPr>
      </w:pPr>
      <w:r w:rsidRPr="25FCB2BD">
        <w:rPr>
          <w:rFonts w:asciiTheme="minorHAnsi" w:hAnsiTheme="minorHAnsi"/>
        </w:rPr>
        <w:t>Employer Focus Group Guide</w:t>
      </w:r>
      <w:r w:rsidR="1D7E4FB1" w:rsidRPr="25FCB2BD">
        <w:rPr>
          <w:rFonts w:asciiTheme="minorHAnsi" w:hAnsiTheme="minorHAnsi"/>
        </w:rPr>
        <w:t xml:space="preserve"> (for one-on-one or small group meetings)</w:t>
      </w:r>
    </w:p>
    <w:p w14:paraId="44B59DFB" w14:textId="719B22B9" w:rsidR="00E02535" w:rsidRDefault="0037158D" w:rsidP="25FCB2BD">
      <w:pPr>
        <w:pStyle w:val="MonthYear"/>
        <w:rPr>
          <w:color w:val="FFFFFF" w:themeColor="background1"/>
          <w:highlight w:val="yellow"/>
        </w:rPr>
        <w:sectPr w:rsidR="00E02535">
          <w:headerReference w:type="default" r:id="rId10"/>
          <w:footerReference w:type="default" r:id="rId11"/>
          <w:headerReference w:type="first" r:id="rId12"/>
          <w:footerReference w:type="first" r:id="rId13"/>
          <w:pgSz w:w="11907" w:h="16840" w:code="9"/>
          <w:pgMar w:top="1418" w:right="1134" w:bottom="1418" w:left="1134" w:header="720" w:footer="227" w:gutter="0"/>
          <w:cols w:space="720"/>
          <w:titlePg/>
        </w:sectPr>
      </w:pPr>
      <w:r>
        <w:t>Thomson Reuters Institute · </w:t>
      </w:r>
      <w:r w:rsidR="00C115AB" w:rsidRPr="00C115AB">
        <w:t>October 2026</w:t>
      </w:r>
      <w:r w:rsidR="003963FB" w:rsidRPr="00C115AB">
        <w:rPr>
          <w:noProof/>
        </w:rPr>
        <w:drawing>
          <wp:anchor distT="0" distB="0" distL="114300" distR="114300" simplePos="0" relativeHeight="251658240" behindDoc="1" locked="0" layoutInCell="1" allowOverlap="1" wp14:anchorId="2F2662B0" wp14:editId="232A8EC6">
            <wp:simplePos x="0" y="0"/>
            <wp:positionH relativeFrom="page">
              <wp:align>left</wp:align>
            </wp:positionH>
            <wp:positionV relativeFrom="margin">
              <wp:posOffset>2763132</wp:posOffset>
            </wp:positionV>
            <wp:extent cx="7774305" cy="5686610"/>
            <wp:effectExtent l="0" t="0" r="0" b="9525"/>
            <wp:wrapNone/>
            <wp:docPr id="1396980905" name="Picture 13969809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39566" name="Picture 955139566">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rcRect t="39" b="39"/>
                    <a:stretch>
                      <a:fillRect/>
                    </a:stretch>
                  </pic:blipFill>
                  <pic:spPr bwMode="auto">
                    <a:xfrm>
                      <a:off x="0" y="0"/>
                      <a:ext cx="7774305" cy="5686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3FB" w:rsidRPr="00C115AB">
        <w:rPr>
          <w:color w:val="FFFFFF" w:themeColor="background1"/>
        </w:rPr>
        <w:t>Thomson</w:t>
      </w:r>
      <w:r w:rsidR="003963FB" w:rsidRPr="25FCB2BD">
        <w:rPr>
          <w:color w:val="FFFFFF" w:themeColor="background1"/>
        </w:rPr>
        <w:t xml:space="preserve"> Reuters Institute ·</w:t>
      </w:r>
      <w:r w:rsidR="3356AFDC" w:rsidRPr="25FCB2BD">
        <w:rPr>
          <w:color w:val="FFFFFF" w:themeColor="background1"/>
        </w:rPr>
        <w:t xml:space="preserve"> December 2026</w:t>
      </w:r>
    </w:p>
    <w:p w14:paraId="067A7228" w14:textId="77777777" w:rsidR="00E02535" w:rsidRDefault="003963FB">
      <w:pPr>
        <w:pStyle w:val="TOCHeading"/>
      </w:pPr>
      <w:r>
        <w:rPr>
          <w:rFonts w:asciiTheme="majorHAnsi" w:hAnsiTheme="majorHAnsi"/>
        </w:rPr>
        <w:lastRenderedPageBreak/>
        <w:t>Contents</w:t>
      </w:r>
    </w:p>
    <w:p w14:paraId="2B1A83E7" w14:textId="7113F4CF" w:rsidR="00A225D5" w:rsidRDefault="003963FB">
      <w:pPr>
        <w:pStyle w:val="TOC1"/>
        <w:rPr>
          <w:rFonts w:asciiTheme="minorHAnsi" w:eastAsiaTheme="minorEastAsia" w:hAnsiTheme="minorHAnsi" w:cstheme="minorBidi"/>
          <w:b w:val="0"/>
          <w:bCs w:val="0"/>
          <w:iCs w:val="0"/>
          <w:kern w:val="2"/>
          <w:lang w:val="en-GB" w:eastAsia="en-GB"/>
          <w14:ligatures w14:val="standardContextual"/>
        </w:rPr>
      </w:pPr>
      <w:r>
        <w:rPr>
          <w:noProof w:val="0"/>
        </w:rPr>
        <w:fldChar w:fldCharType="begin"/>
      </w:r>
      <w:r>
        <w:instrText xml:space="preserve"> TOC \o "1-2" \h \z \u </w:instrText>
      </w:r>
      <w:r>
        <w:rPr>
          <w:noProof w:val="0"/>
        </w:rPr>
        <w:fldChar w:fldCharType="separate"/>
      </w:r>
      <w:hyperlink w:anchor="_Toc243474851" w:history="1">
        <w:r w:rsidR="00A225D5" w:rsidRPr="003D5C64">
          <w:rPr>
            <w:rStyle w:val="Hyperlink"/>
            <w:rFonts w:ascii="Clario Medium" w:hAnsi="Clario Medium"/>
          </w:rPr>
          <w:t>Before you begin</w:t>
        </w:r>
        <w:r w:rsidR="00A225D5">
          <w:rPr>
            <w:webHidden/>
          </w:rPr>
          <w:tab/>
        </w:r>
        <w:r w:rsidR="00A225D5">
          <w:rPr>
            <w:webHidden/>
          </w:rPr>
          <w:fldChar w:fldCharType="begin"/>
        </w:r>
        <w:r w:rsidR="00A225D5">
          <w:rPr>
            <w:webHidden/>
          </w:rPr>
          <w:instrText xml:space="preserve"> PAGEREF _Toc243474851 \h </w:instrText>
        </w:r>
        <w:r w:rsidR="00A225D5">
          <w:rPr>
            <w:webHidden/>
          </w:rPr>
        </w:r>
        <w:r w:rsidR="00A225D5">
          <w:rPr>
            <w:webHidden/>
          </w:rPr>
          <w:fldChar w:fldCharType="separate"/>
        </w:r>
        <w:r w:rsidR="00BD03FF">
          <w:rPr>
            <w:webHidden/>
          </w:rPr>
          <w:t>3</w:t>
        </w:r>
        <w:r w:rsidR="00A225D5">
          <w:rPr>
            <w:webHidden/>
          </w:rPr>
          <w:fldChar w:fldCharType="end"/>
        </w:r>
      </w:hyperlink>
    </w:p>
    <w:p w14:paraId="33430E62" w14:textId="0EE0D19F" w:rsidR="00A225D5" w:rsidRDefault="00A225D5">
      <w:pPr>
        <w:pStyle w:val="TOC1"/>
        <w:rPr>
          <w:rFonts w:asciiTheme="minorHAnsi" w:eastAsiaTheme="minorEastAsia" w:hAnsiTheme="minorHAnsi" w:cstheme="minorBidi"/>
          <w:b w:val="0"/>
          <w:bCs w:val="0"/>
          <w:iCs w:val="0"/>
          <w:kern w:val="2"/>
          <w:lang w:val="en-GB" w:eastAsia="en-GB"/>
          <w14:ligatures w14:val="standardContextual"/>
        </w:rPr>
      </w:pPr>
      <w:hyperlink w:anchor="_Toc243474852" w:history="1">
        <w:r w:rsidRPr="003D5C64">
          <w:rPr>
            <w:rStyle w:val="Hyperlink"/>
            <w:rFonts w:ascii="Clario Medium" w:hAnsi="Clario Medium"/>
          </w:rPr>
          <w:t>A Note on Terminology and Jurisdiction</w:t>
        </w:r>
        <w:r>
          <w:rPr>
            <w:webHidden/>
          </w:rPr>
          <w:tab/>
        </w:r>
        <w:r>
          <w:rPr>
            <w:webHidden/>
          </w:rPr>
          <w:fldChar w:fldCharType="begin"/>
        </w:r>
        <w:r>
          <w:rPr>
            <w:webHidden/>
          </w:rPr>
          <w:instrText xml:space="preserve"> PAGEREF _Toc243474852 \h </w:instrText>
        </w:r>
        <w:r>
          <w:rPr>
            <w:webHidden/>
          </w:rPr>
        </w:r>
        <w:r>
          <w:rPr>
            <w:webHidden/>
          </w:rPr>
          <w:fldChar w:fldCharType="separate"/>
        </w:r>
        <w:r w:rsidR="00BD03FF">
          <w:rPr>
            <w:webHidden/>
          </w:rPr>
          <w:t>4</w:t>
        </w:r>
        <w:r>
          <w:rPr>
            <w:webHidden/>
          </w:rPr>
          <w:fldChar w:fldCharType="end"/>
        </w:r>
      </w:hyperlink>
    </w:p>
    <w:p w14:paraId="2E8B9ACC" w14:textId="7CBA285F" w:rsidR="00A225D5" w:rsidRDefault="00A22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3474853" w:history="1">
        <w:r w:rsidRPr="003D5C64">
          <w:rPr>
            <w:rStyle w:val="Hyperlink"/>
            <w:rFonts w:ascii="Clario" w:eastAsia="Clario" w:hAnsi="Clario" w:cs="Clario"/>
            <w:b/>
            <w:noProof/>
          </w:rPr>
          <w:t>ITEMS REQUIRING LOCAL ADAPTATION</w:t>
        </w:r>
        <w:r>
          <w:rPr>
            <w:noProof/>
            <w:webHidden/>
          </w:rPr>
          <w:tab/>
        </w:r>
        <w:r>
          <w:rPr>
            <w:noProof/>
            <w:webHidden/>
          </w:rPr>
          <w:fldChar w:fldCharType="begin"/>
        </w:r>
        <w:r>
          <w:rPr>
            <w:noProof/>
            <w:webHidden/>
          </w:rPr>
          <w:instrText xml:space="preserve"> PAGEREF _Toc243474853 \h </w:instrText>
        </w:r>
        <w:r>
          <w:rPr>
            <w:noProof/>
            <w:webHidden/>
          </w:rPr>
        </w:r>
        <w:r>
          <w:rPr>
            <w:noProof/>
            <w:webHidden/>
          </w:rPr>
          <w:fldChar w:fldCharType="separate"/>
        </w:r>
        <w:r w:rsidR="00BD03FF">
          <w:rPr>
            <w:noProof/>
            <w:webHidden/>
          </w:rPr>
          <w:t>4</w:t>
        </w:r>
        <w:r>
          <w:rPr>
            <w:noProof/>
            <w:webHidden/>
          </w:rPr>
          <w:fldChar w:fldCharType="end"/>
        </w:r>
      </w:hyperlink>
    </w:p>
    <w:p w14:paraId="3CBE4BBE" w14:textId="31B2742B" w:rsidR="00A225D5" w:rsidRDefault="00A225D5">
      <w:pPr>
        <w:pStyle w:val="TOC1"/>
        <w:rPr>
          <w:rFonts w:asciiTheme="minorHAnsi" w:eastAsiaTheme="minorEastAsia" w:hAnsiTheme="minorHAnsi" w:cstheme="minorBidi"/>
          <w:b w:val="0"/>
          <w:bCs w:val="0"/>
          <w:iCs w:val="0"/>
          <w:kern w:val="2"/>
          <w:lang w:val="en-GB" w:eastAsia="en-GB"/>
          <w14:ligatures w14:val="standardContextual"/>
        </w:rPr>
      </w:pPr>
      <w:hyperlink w:anchor="_Toc243474854" w:history="1">
        <w:r w:rsidRPr="003D5C64">
          <w:rPr>
            <w:rStyle w:val="Hyperlink"/>
            <w:rFonts w:ascii="Clario Medium" w:hAnsi="Clario Medium"/>
          </w:rPr>
          <w:t>Employer Focus Group Guide</w:t>
        </w:r>
        <w:r>
          <w:rPr>
            <w:webHidden/>
          </w:rPr>
          <w:tab/>
        </w:r>
        <w:r>
          <w:rPr>
            <w:webHidden/>
          </w:rPr>
          <w:fldChar w:fldCharType="begin"/>
        </w:r>
        <w:r>
          <w:rPr>
            <w:webHidden/>
          </w:rPr>
          <w:instrText xml:space="preserve"> PAGEREF _Toc243474854 \h </w:instrText>
        </w:r>
        <w:r>
          <w:rPr>
            <w:webHidden/>
          </w:rPr>
        </w:r>
        <w:r>
          <w:rPr>
            <w:webHidden/>
          </w:rPr>
          <w:fldChar w:fldCharType="separate"/>
        </w:r>
        <w:r w:rsidR="00BD03FF">
          <w:rPr>
            <w:webHidden/>
          </w:rPr>
          <w:t>5</w:t>
        </w:r>
        <w:r>
          <w:rPr>
            <w:webHidden/>
          </w:rPr>
          <w:fldChar w:fldCharType="end"/>
        </w:r>
      </w:hyperlink>
    </w:p>
    <w:p w14:paraId="6B6C845F" w14:textId="1AA5A5D9" w:rsidR="00A225D5" w:rsidRDefault="00A22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3474855" w:history="1">
        <w:r w:rsidRPr="003D5C64">
          <w:rPr>
            <w:rStyle w:val="Hyperlink"/>
            <w:rFonts w:ascii="Clario" w:eastAsia="Clario" w:hAnsi="Clario" w:cs="Clario"/>
            <w:b/>
            <w:noProof/>
          </w:rPr>
          <w:t>PURPOSE AND WHEN TO USE THIS FORMAT</w:t>
        </w:r>
        <w:r>
          <w:rPr>
            <w:noProof/>
            <w:webHidden/>
          </w:rPr>
          <w:tab/>
        </w:r>
        <w:r>
          <w:rPr>
            <w:noProof/>
            <w:webHidden/>
          </w:rPr>
          <w:fldChar w:fldCharType="begin"/>
        </w:r>
        <w:r>
          <w:rPr>
            <w:noProof/>
            <w:webHidden/>
          </w:rPr>
          <w:instrText xml:space="preserve"> PAGEREF _Toc243474855 \h </w:instrText>
        </w:r>
        <w:r>
          <w:rPr>
            <w:noProof/>
            <w:webHidden/>
          </w:rPr>
        </w:r>
        <w:r>
          <w:rPr>
            <w:noProof/>
            <w:webHidden/>
          </w:rPr>
          <w:fldChar w:fldCharType="separate"/>
        </w:r>
        <w:r w:rsidR="00BD03FF">
          <w:rPr>
            <w:noProof/>
            <w:webHidden/>
          </w:rPr>
          <w:t>5</w:t>
        </w:r>
        <w:r>
          <w:rPr>
            <w:noProof/>
            <w:webHidden/>
          </w:rPr>
          <w:fldChar w:fldCharType="end"/>
        </w:r>
      </w:hyperlink>
    </w:p>
    <w:p w14:paraId="3D1F343C" w14:textId="072ABA08" w:rsidR="00A225D5" w:rsidRDefault="00A22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3474856" w:history="1">
        <w:r w:rsidRPr="003D5C64">
          <w:rPr>
            <w:rStyle w:val="Hyperlink"/>
            <w:rFonts w:ascii="Clario" w:eastAsia="Clario" w:hAnsi="Clario" w:cs="Clario"/>
            <w:b/>
            <w:noProof/>
          </w:rPr>
          <w:t>OPENING THE CONVERSATION · HOW TO FRAME THE REQUEST</w:t>
        </w:r>
        <w:r>
          <w:rPr>
            <w:noProof/>
            <w:webHidden/>
          </w:rPr>
          <w:tab/>
        </w:r>
        <w:r>
          <w:rPr>
            <w:noProof/>
            <w:webHidden/>
          </w:rPr>
          <w:fldChar w:fldCharType="begin"/>
        </w:r>
        <w:r>
          <w:rPr>
            <w:noProof/>
            <w:webHidden/>
          </w:rPr>
          <w:instrText xml:space="preserve"> PAGEREF _Toc243474856 \h </w:instrText>
        </w:r>
        <w:r>
          <w:rPr>
            <w:noProof/>
            <w:webHidden/>
          </w:rPr>
        </w:r>
        <w:r>
          <w:rPr>
            <w:noProof/>
            <w:webHidden/>
          </w:rPr>
          <w:fldChar w:fldCharType="separate"/>
        </w:r>
        <w:r w:rsidR="00BD03FF">
          <w:rPr>
            <w:noProof/>
            <w:webHidden/>
          </w:rPr>
          <w:t>5</w:t>
        </w:r>
        <w:r>
          <w:rPr>
            <w:noProof/>
            <w:webHidden/>
          </w:rPr>
          <w:fldChar w:fldCharType="end"/>
        </w:r>
      </w:hyperlink>
    </w:p>
    <w:p w14:paraId="7123C839" w14:textId="732122A3" w:rsidR="00A225D5" w:rsidRDefault="00A22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3474857" w:history="1">
        <w:r w:rsidRPr="003D5C64">
          <w:rPr>
            <w:rStyle w:val="Hyperlink"/>
            <w:rFonts w:ascii="Clario" w:eastAsia="Clario" w:hAnsi="Clario" w:cs="Clario"/>
            <w:b/>
            <w:noProof/>
          </w:rPr>
          <w:t>THE FIVE QUESTIONS</w:t>
        </w:r>
        <w:r>
          <w:rPr>
            <w:noProof/>
            <w:webHidden/>
          </w:rPr>
          <w:tab/>
        </w:r>
        <w:r>
          <w:rPr>
            <w:noProof/>
            <w:webHidden/>
          </w:rPr>
          <w:fldChar w:fldCharType="begin"/>
        </w:r>
        <w:r>
          <w:rPr>
            <w:noProof/>
            <w:webHidden/>
          </w:rPr>
          <w:instrText xml:space="preserve"> PAGEREF _Toc243474857 \h </w:instrText>
        </w:r>
        <w:r>
          <w:rPr>
            <w:noProof/>
            <w:webHidden/>
          </w:rPr>
        </w:r>
        <w:r>
          <w:rPr>
            <w:noProof/>
            <w:webHidden/>
          </w:rPr>
          <w:fldChar w:fldCharType="separate"/>
        </w:r>
        <w:r w:rsidR="00BD03FF">
          <w:rPr>
            <w:noProof/>
            <w:webHidden/>
          </w:rPr>
          <w:t>5</w:t>
        </w:r>
        <w:r>
          <w:rPr>
            <w:noProof/>
            <w:webHidden/>
          </w:rPr>
          <w:fldChar w:fldCharType="end"/>
        </w:r>
      </w:hyperlink>
    </w:p>
    <w:p w14:paraId="04C5182A" w14:textId="4017F900" w:rsidR="00A225D5" w:rsidRDefault="00A22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3474858" w:history="1">
        <w:r w:rsidRPr="003D5C64">
          <w:rPr>
            <w:rStyle w:val="Hyperlink"/>
            <w:rFonts w:ascii="Clario" w:eastAsia="Clario" w:hAnsi="Clario" w:cs="Clario"/>
            <w:b/>
            <w:noProof/>
          </w:rPr>
          <w:t>USING FOCUS GROUP FINDINGS</w:t>
        </w:r>
        <w:r>
          <w:rPr>
            <w:noProof/>
            <w:webHidden/>
          </w:rPr>
          <w:tab/>
        </w:r>
        <w:r>
          <w:rPr>
            <w:noProof/>
            <w:webHidden/>
          </w:rPr>
          <w:fldChar w:fldCharType="begin"/>
        </w:r>
        <w:r>
          <w:rPr>
            <w:noProof/>
            <w:webHidden/>
          </w:rPr>
          <w:instrText xml:space="preserve"> PAGEREF _Toc243474858 \h </w:instrText>
        </w:r>
        <w:r>
          <w:rPr>
            <w:noProof/>
            <w:webHidden/>
          </w:rPr>
        </w:r>
        <w:r>
          <w:rPr>
            <w:noProof/>
            <w:webHidden/>
          </w:rPr>
          <w:fldChar w:fldCharType="separate"/>
        </w:r>
        <w:r w:rsidR="00BD03FF">
          <w:rPr>
            <w:noProof/>
            <w:webHidden/>
          </w:rPr>
          <w:t>7</w:t>
        </w:r>
        <w:r>
          <w:rPr>
            <w:noProof/>
            <w:webHidden/>
          </w:rPr>
          <w:fldChar w:fldCharType="end"/>
        </w:r>
      </w:hyperlink>
    </w:p>
    <w:p w14:paraId="183CB4A3" w14:textId="213A1C5C" w:rsidR="00A225D5" w:rsidRDefault="00A225D5">
      <w:pPr>
        <w:pStyle w:val="TOC1"/>
        <w:rPr>
          <w:rFonts w:asciiTheme="minorHAnsi" w:eastAsiaTheme="minorEastAsia" w:hAnsiTheme="minorHAnsi" w:cstheme="minorBidi"/>
          <w:b w:val="0"/>
          <w:bCs w:val="0"/>
          <w:iCs w:val="0"/>
          <w:kern w:val="2"/>
          <w:lang w:val="en-GB" w:eastAsia="en-GB"/>
          <w14:ligatures w14:val="standardContextual"/>
        </w:rPr>
      </w:pPr>
      <w:hyperlink w:anchor="_Toc243474859" w:history="1">
        <w:r w:rsidRPr="003D5C64">
          <w:rPr>
            <w:rStyle w:val="Hyperlink"/>
            <w:rFonts w:ascii="Clario Medium" w:hAnsi="Clario Medium"/>
          </w:rPr>
          <w:t>Acknowledgements</w:t>
        </w:r>
        <w:r>
          <w:rPr>
            <w:webHidden/>
          </w:rPr>
          <w:tab/>
        </w:r>
        <w:r>
          <w:rPr>
            <w:webHidden/>
          </w:rPr>
          <w:fldChar w:fldCharType="begin"/>
        </w:r>
        <w:r>
          <w:rPr>
            <w:webHidden/>
          </w:rPr>
          <w:instrText xml:space="preserve"> PAGEREF _Toc243474859 \h </w:instrText>
        </w:r>
        <w:r>
          <w:rPr>
            <w:webHidden/>
          </w:rPr>
        </w:r>
        <w:r>
          <w:rPr>
            <w:webHidden/>
          </w:rPr>
          <w:fldChar w:fldCharType="separate"/>
        </w:r>
        <w:r w:rsidR="00BD03FF">
          <w:rPr>
            <w:webHidden/>
          </w:rPr>
          <w:t>8</w:t>
        </w:r>
        <w:r>
          <w:rPr>
            <w:webHidden/>
          </w:rPr>
          <w:fldChar w:fldCharType="end"/>
        </w:r>
      </w:hyperlink>
    </w:p>
    <w:p w14:paraId="273F53ED" w14:textId="6BEA9F96" w:rsidR="00E02535" w:rsidRDefault="003963FB">
      <w:pPr>
        <w:pStyle w:val="TOC2"/>
        <w:tabs>
          <w:tab w:val="right" w:leader="dot" w:pos="10207"/>
        </w:tabs>
        <w:rPr>
          <w:noProof/>
        </w:rPr>
      </w:pPr>
      <w:r>
        <w:rPr>
          <w:noProof/>
        </w:rPr>
        <w:fldChar w:fldCharType="end"/>
      </w:r>
    </w:p>
    <w:p w14:paraId="72D7FDFC" w14:textId="77777777" w:rsidR="00A10646" w:rsidRDefault="00A10646" w:rsidP="00A10646">
      <w:pPr>
        <w:pStyle w:val="Heading1"/>
        <w:pageBreakBefore/>
        <w:pBdr>
          <w:bottom w:val="single" w:sz="12" w:space="4" w:color="D64000"/>
        </w:pBdr>
        <w:spacing w:after="160"/>
        <w:rPr>
          <w:rFonts w:ascii="Clario" w:eastAsia="Clario" w:hAnsi="Clario" w:cs="Clario"/>
          <w:i/>
          <w:iCs/>
          <w:color w:val="595959" w:themeColor="text1" w:themeTint="A6"/>
          <w:sz w:val="22"/>
          <w:szCs w:val="22"/>
        </w:rPr>
      </w:pPr>
      <w:bookmarkStart w:id="0" w:name="_Toc241505126"/>
      <w:bookmarkStart w:id="1" w:name="_Toc243474851"/>
      <w:r>
        <w:rPr>
          <w:rFonts w:ascii="Clario Medium" w:eastAsia="Clario" w:hAnsi="Clario Medium" w:cs="Clario Medium"/>
          <w:b/>
          <w:bCs/>
          <w:color w:val="D64000"/>
          <w:sz w:val="36"/>
          <w:szCs w:val="36"/>
        </w:rPr>
        <w:lastRenderedPageBreak/>
        <w:t>Before you begin</w:t>
      </w:r>
      <w:bookmarkEnd w:id="0"/>
      <w:bookmarkEnd w:id="1"/>
    </w:p>
    <w:p w14:paraId="63379F69" w14:textId="77777777" w:rsidR="00A10646" w:rsidRDefault="00A10646" w:rsidP="00A10646">
      <w:pPr>
        <w:spacing w:after="160"/>
      </w:pPr>
      <w:r>
        <w:rPr>
          <w:rFonts w:ascii="Clario" w:eastAsia="Clario" w:hAnsi="Clario" w:cs="Clario"/>
          <w:i/>
          <w:iCs/>
          <w:color w:val="595959"/>
          <w:sz w:val="22"/>
          <w:szCs w:val="22"/>
        </w:rPr>
        <w:t>Please read before you begin.</w:t>
      </w:r>
    </w:p>
    <w:p w14:paraId="67EB760E" w14:textId="0E1C978F" w:rsidR="00A10646" w:rsidRDefault="00A10646" w:rsidP="00A10646">
      <w:pPr>
        <w:spacing w:after="160"/>
      </w:pPr>
      <w:r>
        <w:rPr>
          <w:rFonts w:ascii="Clario" w:eastAsia="Clario" w:hAnsi="Clario" w:cs="Clario"/>
          <w:sz w:val="22"/>
          <w:szCs w:val="22"/>
        </w:rPr>
        <w:t xml:space="preserve">This </w:t>
      </w:r>
      <w:r w:rsidR="008430CB">
        <w:rPr>
          <w:rFonts w:ascii="Clario" w:eastAsia="Clario" w:hAnsi="Clario" w:cs="Clario"/>
          <w:sz w:val="22"/>
          <w:szCs w:val="22"/>
        </w:rPr>
        <w:t>employer focus group guide</w:t>
      </w:r>
      <w:r>
        <w:rPr>
          <w:rFonts w:ascii="Clario" w:eastAsia="Clario" w:hAnsi="Clario" w:cs="Clario"/>
          <w:sz w:val="22"/>
          <w:szCs w:val="22"/>
        </w:rPr>
        <w:t xml:space="preserve"> is part of a larger toolkit focused on AI Change Management for Law Schools. It uses the </w:t>
      </w:r>
      <w:hyperlink r:id="rId15" w:history="1">
        <w:r>
          <w:rPr>
            <w:rStyle w:val="Hyperlink"/>
            <w:rFonts w:ascii="Clario" w:eastAsia="Clario" w:hAnsi="Clario" w:cs="Clario"/>
            <w:sz w:val="22"/>
            <w:szCs w:val="22"/>
          </w:rPr>
          <w:t>ADKAR (A-Awareness, D-Desire, K-Knowledge, A-Ability, R-Reinforcement) framework of change management</w:t>
        </w:r>
      </w:hyperlink>
      <w:r>
        <w:rPr>
          <w:rFonts w:ascii="Clario" w:eastAsia="Clario" w:hAnsi="Clario" w:cs="Clario"/>
          <w:sz w:val="22"/>
          <w:szCs w:val="22"/>
        </w:rPr>
        <w:t>. This survey supports the Awareness stage of that framework: it is meant to be part of an institution-wide foundation to understand attitudes about AI usage by various law school stakeholder groups, specifically employers, alumni, faculty, students, and law school staff.</w:t>
      </w:r>
    </w:p>
    <w:p w14:paraId="4F1CDB0A" w14:textId="709F85FC" w:rsidR="00A10646" w:rsidRDefault="00A10646" w:rsidP="00BD03FF">
      <w:pPr>
        <w:spacing w:after="160"/>
        <w:rPr>
          <w:rFonts w:ascii="Clario" w:eastAsia="Clario" w:hAnsi="Clario" w:cs="Clario"/>
          <w:sz w:val="22"/>
          <w:szCs w:val="22"/>
        </w:rPr>
      </w:pPr>
      <w:r>
        <w:rPr>
          <w:rFonts w:ascii="Clario" w:eastAsia="Clario" w:hAnsi="Clario" w:cs="Clario"/>
          <w:sz w:val="22"/>
          <w:szCs w:val="22"/>
        </w:rPr>
        <w:t xml:space="preserve">This </w:t>
      </w:r>
      <w:r w:rsidR="00644EF7">
        <w:rPr>
          <w:rFonts w:ascii="Clario" w:eastAsia="Clario" w:hAnsi="Clario" w:cs="Clario"/>
          <w:sz w:val="22"/>
          <w:szCs w:val="22"/>
        </w:rPr>
        <w:t>e</w:t>
      </w:r>
      <w:r w:rsidR="00BD03FF">
        <w:rPr>
          <w:rFonts w:ascii="Clario" w:eastAsia="Clario" w:hAnsi="Clario" w:cs="Clario"/>
          <w:sz w:val="22"/>
          <w:szCs w:val="22"/>
        </w:rPr>
        <w:t xml:space="preserve">mployer </w:t>
      </w:r>
      <w:r w:rsidR="00644EF7">
        <w:rPr>
          <w:rFonts w:ascii="Clario" w:eastAsia="Clario" w:hAnsi="Clario" w:cs="Clario"/>
          <w:sz w:val="22"/>
          <w:szCs w:val="22"/>
        </w:rPr>
        <w:t>f</w:t>
      </w:r>
      <w:r w:rsidR="00BD03FF">
        <w:rPr>
          <w:rFonts w:ascii="Clario" w:eastAsia="Clario" w:hAnsi="Clario" w:cs="Clario"/>
          <w:sz w:val="22"/>
          <w:szCs w:val="22"/>
        </w:rPr>
        <w:t xml:space="preserve">ocus </w:t>
      </w:r>
      <w:r w:rsidR="00644EF7">
        <w:rPr>
          <w:rFonts w:ascii="Clario" w:eastAsia="Clario" w:hAnsi="Clario" w:cs="Clario"/>
          <w:sz w:val="22"/>
          <w:szCs w:val="22"/>
        </w:rPr>
        <w:t>g</w:t>
      </w:r>
      <w:r w:rsidR="00BD03FF">
        <w:rPr>
          <w:rFonts w:ascii="Clario" w:eastAsia="Clario" w:hAnsi="Clario" w:cs="Clario"/>
          <w:sz w:val="22"/>
          <w:szCs w:val="22"/>
        </w:rPr>
        <w:t>roup</w:t>
      </w:r>
      <w:r w:rsidR="00644EF7">
        <w:rPr>
          <w:rFonts w:ascii="Clario" w:eastAsia="Clario" w:hAnsi="Clario" w:cs="Clario"/>
          <w:sz w:val="22"/>
          <w:szCs w:val="22"/>
        </w:rPr>
        <w:t xml:space="preserve"> guide</w:t>
      </w:r>
      <w:r>
        <w:rPr>
          <w:rFonts w:ascii="Clario" w:eastAsia="Clario" w:hAnsi="Clario" w:cs="Clario"/>
          <w:sz w:val="22"/>
          <w:szCs w:val="22"/>
        </w:rPr>
        <w:t xml:space="preserve"> is designed to be used </w:t>
      </w:r>
      <w:r w:rsidR="002E654F">
        <w:rPr>
          <w:rFonts w:ascii="Clario" w:eastAsia="Clario" w:hAnsi="Clario" w:cs="Clario"/>
          <w:sz w:val="22"/>
          <w:szCs w:val="22"/>
        </w:rPr>
        <w:t>alongside</w:t>
      </w:r>
      <w:r>
        <w:rPr>
          <w:rFonts w:ascii="Clario" w:eastAsia="Clario" w:hAnsi="Clario" w:cs="Clario"/>
          <w:sz w:val="22"/>
          <w:szCs w:val="22"/>
        </w:rPr>
        <w:t xml:space="preserve"> surveys for </w:t>
      </w:r>
      <w:r w:rsidR="00FF3C2A">
        <w:rPr>
          <w:rFonts w:ascii="Clario" w:eastAsia="Clario" w:hAnsi="Clario" w:cs="Clario"/>
          <w:sz w:val="22"/>
          <w:szCs w:val="22"/>
        </w:rPr>
        <w:t xml:space="preserve">alumni, </w:t>
      </w:r>
      <w:r>
        <w:rPr>
          <w:rFonts w:ascii="Clario" w:eastAsia="Clario" w:hAnsi="Clario" w:cs="Clario"/>
          <w:sz w:val="22"/>
          <w:szCs w:val="22"/>
        </w:rPr>
        <w:t>faculty, law school staff</w:t>
      </w:r>
      <w:r w:rsidR="00D10AF0">
        <w:rPr>
          <w:rFonts w:ascii="Clario" w:eastAsia="Clario" w:hAnsi="Clario" w:cs="Clario"/>
          <w:sz w:val="22"/>
          <w:szCs w:val="22"/>
        </w:rPr>
        <w:t>,</w:t>
      </w:r>
      <w:r>
        <w:rPr>
          <w:rFonts w:ascii="Clario" w:eastAsia="Clario" w:hAnsi="Clario" w:cs="Clario"/>
          <w:sz w:val="22"/>
          <w:szCs w:val="22"/>
        </w:rPr>
        <w:t xml:space="preserve"> students and employers.</w:t>
      </w:r>
    </w:p>
    <w:p w14:paraId="0645EC3A" w14:textId="77777777" w:rsidR="000F239E" w:rsidRPr="00E941FE" w:rsidRDefault="000F239E" w:rsidP="000F239E">
      <w:pPr>
        <w:rPr>
          <w:rFonts w:ascii="Clario" w:hAnsi="Clario"/>
          <w:sz w:val="22"/>
          <w:szCs w:val="22"/>
        </w:rPr>
      </w:pPr>
      <w:r w:rsidRPr="00E941FE">
        <w:rPr>
          <w:rFonts w:ascii="Clario" w:hAnsi="Clario"/>
          <w:sz w:val="22"/>
          <w:szCs w:val="22"/>
        </w:rPr>
        <w:t xml:space="preserve">Follow the hyperlink </w:t>
      </w:r>
      <w:r>
        <w:rPr>
          <w:rFonts w:ascii="Clario" w:hAnsi="Clario"/>
          <w:sz w:val="22"/>
          <w:szCs w:val="22"/>
        </w:rPr>
        <w:t xml:space="preserve">below </w:t>
      </w:r>
      <w:r w:rsidRPr="00E941FE">
        <w:rPr>
          <w:rFonts w:ascii="Clario" w:hAnsi="Clario"/>
          <w:sz w:val="22"/>
          <w:szCs w:val="22"/>
        </w:rPr>
        <w:t xml:space="preserve">to see the dashboard containing the aforementioned </w:t>
      </w:r>
      <w:r>
        <w:rPr>
          <w:rFonts w:ascii="Clario" w:hAnsi="Clario"/>
          <w:sz w:val="22"/>
          <w:szCs w:val="22"/>
        </w:rPr>
        <w:t>research</w:t>
      </w:r>
      <w:r w:rsidRPr="00E941FE">
        <w:rPr>
          <w:rFonts w:ascii="Clario" w:hAnsi="Clario"/>
          <w:sz w:val="22"/>
          <w:szCs w:val="22"/>
        </w:rPr>
        <w:t xml:space="preserve"> instruments.</w:t>
      </w:r>
    </w:p>
    <w:p w14:paraId="4384136F" w14:textId="77777777" w:rsidR="000F239E" w:rsidRPr="00E941FE" w:rsidRDefault="000F239E" w:rsidP="000F239E">
      <w:pPr>
        <w:spacing w:after="160" w:line="278" w:lineRule="auto"/>
        <w:rPr>
          <w:rFonts w:ascii="Clario" w:hAnsi="Clario"/>
          <w:sz w:val="22"/>
          <w:szCs w:val="22"/>
        </w:rPr>
      </w:pPr>
      <w:hyperlink r:id="rId16" w:history="1">
        <w:r>
          <w:rPr>
            <w:rStyle w:val="Hyperlink"/>
            <w:rFonts w:ascii="Clario" w:hAnsi="Clario"/>
            <w:sz w:val="22"/>
            <w:szCs w:val="22"/>
          </w:rPr>
          <w:t>Research</w:t>
        </w:r>
        <w:r w:rsidRPr="00E941FE">
          <w:rPr>
            <w:rStyle w:val="Hyperlink"/>
            <w:rFonts w:ascii="Clario" w:hAnsi="Clario"/>
            <w:sz w:val="22"/>
            <w:szCs w:val="22"/>
          </w:rPr>
          <w:t xml:space="preserve"> Instrument Dashboard</w:t>
        </w:r>
      </w:hyperlink>
    </w:p>
    <w:p w14:paraId="713C6FAB" w14:textId="77777777" w:rsidR="002E654F" w:rsidRDefault="002E654F" w:rsidP="00BD03FF">
      <w:pPr>
        <w:spacing w:after="160"/>
      </w:pPr>
    </w:p>
    <w:p w14:paraId="43836C5C" w14:textId="77777777" w:rsidR="00E02535" w:rsidRDefault="003963FB">
      <w:pPr>
        <w:pStyle w:val="Heading1"/>
        <w:pageBreakBefore/>
        <w:pBdr>
          <w:bottom w:val="single" w:sz="12" w:space="4" w:color="D64000"/>
        </w:pBdr>
        <w:spacing w:after="120"/>
      </w:pPr>
      <w:bookmarkStart w:id="2" w:name="_Toc243474852"/>
      <w:r>
        <w:rPr>
          <w:rFonts w:ascii="Clario Medium" w:eastAsia="Clario" w:hAnsi="Clario Medium" w:cs="Clario Medium"/>
          <w:b/>
          <w:bCs/>
          <w:color w:val="D64000"/>
          <w:sz w:val="36"/>
          <w:szCs w:val="36"/>
        </w:rPr>
        <w:lastRenderedPageBreak/>
        <w:t>A Note on Terminology and Jurisdiction</w:t>
      </w:r>
      <w:bookmarkEnd w:id="2"/>
    </w:p>
    <w:p w14:paraId="23E0E748" w14:textId="77777777" w:rsidR="00E02535" w:rsidRDefault="003963FB">
      <w:pPr>
        <w:spacing w:after="160"/>
      </w:pPr>
      <w:r>
        <w:rPr>
          <w:rFonts w:ascii="Clario" w:eastAsia="Clario" w:hAnsi="Clario" w:cs="Clario"/>
          <w:i/>
          <w:iCs/>
          <w:color w:val="595959"/>
          <w:sz w:val="22"/>
          <w:szCs w:val="22"/>
        </w:rPr>
        <w:t>Please read before deploying this focus group guide in any jurisdiction.</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E02535" w14:paraId="411C759B" w14:textId="77777777" w:rsidTr="25FCB2BD">
        <w:tc>
          <w:tcPr>
            <w:tcW w:w="10070" w:type="dxa"/>
            <w:shd w:val="clear" w:color="auto" w:fill="F8EADD"/>
            <w:tcMar>
              <w:top w:w="160" w:type="dxa"/>
              <w:left w:w="200" w:type="dxa"/>
              <w:bottom w:w="160" w:type="dxa"/>
              <w:right w:w="200" w:type="dxa"/>
            </w:tcMar>
          </w:tcPr>
          <w:p w14:paraId="0615712D" w14:textId="6BB1E1AA" w:rsidR="00E02535" w:rsidRDefault="003963FB">
            <w:pPr>
              <w:spacing w:after="140"/>
            </w:pPr>
            <w:r w:rsidRPr="25FCB2BD">
              <w:rPr>
                <w:rFonts w:ascii="Clario" w:eastAsia="Clario" w:hAnsi="Clario" w:cs="Clario"/>
                <w:b/>
                <w:bCs/>
                <w:sz w:val="22"/>
                <w:szCs w:val="22"/>
              </w:rPr>
              <w:t>This focus group</w:t>
            </w:r>
            <w:r w:rsidR="3CAD1C6D" w:rsidRPr="25FCB2BD">
              <w:rPr>
                <w:rFonts w:ascii="Clario" w:eastAsia="Clario" w:hAnsi="Clario" w:cs="Clario"/>
                <w:b/>
                <w:bCs/>
                <w:sz w:val="22"/>
                <w:szCs w:val="22"/>
              </w:rPr>
              <w:t xml:space="preserve"> guide, which is designed for one-on-one or small group gatherings, </w:t>
            </w:r>
            <w:r w:rsidRPr="25FCB2BD">
              <w:rPr>
                <w:rFonts w:ascii="Clario" w:eastAsia="Clario" w:hAnsi="Clario" w:cs="Clario"/>
                <w:b/>
                <w:bCs/>
                <w:sz w:val="22"/>
                <w:szCs w:val="22"/>
              </w:rPr>
              <w:t>is written to be deployed in any jurisdiction.</w:t>
            </w:r>
          </w:p>
          <w:p w14:paraId="7FA391C7" w14:textId="527B7056" w:rsidR="00E02535" w:rsidRDefault="003963FB">
            <w:pPr>
              <w:spacing w:after="140"/>
            </w:pPr>
            <w:r>
              <w:rPr>
                <w:rFonts w:ascii="Clario" w:eastAsia="Clario" w:hAnsi="Clario" w:cs="Clario"/>
                <w:sz w:val="22"/>
                <w:szCs w:val="22"/>
              </w:rPr>
              <w:t xml:space="preserve">The wording is as jurisdiction-neutral as it can be made centrally. </w:t>
            </w:r>
            <w:r w:rsidR="00615273">
              <w:rPr>
                <w:rFonts w:ascii="Clario" w:eastAsia="Clario" w:hAnsi="Clario" w:cs="Clario"/>
                <w:sz w:val="22"/>
                <w:szCs w:val="22"/>
              </w:rPr>
              <w:t>Two</w:t>
            </w:r>
            <w:r>
              <w:rPr>
                <w:rFonts w:ascii="Clario" w:eastAsia="Clario" w:hAnsi="Clario" w:cs="Clario"/>
                <w:sz w:val="22"/>
                <w:szCs w:val="22"/>
              </w:rPr>
              <w:t xml:space="preserve"> items, however, are structural rather than linguistic. They reflect how a legal market is segmented and regulated, so they must be checked locally. They are listed below.</w:t>
            </w:r>
          </w:p>
        </w:tc>
      </w:tr>
    </w:tbl>
    <w:p w14:paraId="7BD88DF4" w14:textId="77777777" w:rsidR="00E02535" w:rsidRDefault="003963FB">
      <w:pPr>
        <w:pStyle w:val="Heading2"/>
        <w:shd w:val="clear" w:color="auto" w:fill="123121"/>
        <w:spacing w:before="360" w:after="200"/>
      </w:pPr>
      <w:r>
        <w:rPr>
          <w:rFonts w:ascii="Clario" w:eastAsia="Clario" w:hAnsi="Clario" w:cs="Clario"/>
          <w:b/>
          <w:bCs/>
          <w:color w:val="FFFFFF"/>
          <w:sz w:val="22"/>
          <w:szCs w:val="22"/>
        </w:rPr>
        <w:t xml:space="preserve">  </w:t>
      </w:r>
      <w:bookmarkStart w:id="3" w:name="_Toc243474853"/>
      <w:r>
        <w:rPr>
          <w:rFonts w:ascii="Clario" w:eastAsia="Clario" w:hAnsi="Clario" w:cs="Clario"/>
          <w:b/>
          <w:bCs/>
          <w:color w:val="FFFFFF"/>
          <w:sz w:val="22"/>
          <w:szCs w:val="22"/>
        </w:rPr>
        <w:t>ITEMS REQUIRING LOCAL ADAPTATION</w:t>
      </w:r>
      <w:bookmarkEnd w:id="3"/>
    </w:p>
    <w:p w14:paraId="3DCAB0E4" w14:textId="77777777" w:rsidR="00E02535" w:rsidRDefault="003963FB">
      <w:pPr>
        <w:spacing w:before="120" w:after="120"/>
      </w:pPr>
      <w:r>
        <w:rPr>
          <w:rFonts w:ascii="Clario" w:eastAsia="Clario" w:hAnsi="Clario" w:cs="Clario"/>
          <w:sz w:val="22"/>
          <w:szCs w:val="22"/>
        </w:rPr>
        <w:t>The items below should be checked before this focus group guide is deployed in a market other than your own.</w:t>
      </w:r>
    </w:p>
    <w:p w14:paraId="23F1005C" w14:textId="77777777" w:rsidR="00E02535" w:rsidRDefault="003963FB">
      <w:pPr>
        <w:pStyle w:val="ListParagraph"/>
        <w:numPr>
          <w:ilvl w:val="0"/>
          <w:numId w:val="4"/>
        </w:numPr>
        <w:spacing w:after="120"/>
        <w:ind w:left="440"/>
      </w:pPr>
      <w:r>
        <w:rPr>
          <w:rFonts w:ascii="Clario" w:eastAsia="Clario" w:hAnsi="Clario" w:cs="Clario"/>
          <w:b/>
          <w:bCs/>
          <w:sz w:val="22"/>
          <w:szCs w:val="22"/>
        </w:rPr>
        <w:t>Professional conduct rules</w:t>
      </w:r>
      <w:r>
        <w:rPr>
          <w:rFonts w:ascii="Clario" w:eastAsia="Clario" w:hAnsi="Clario" w:cs="Clario"/>
          <w:sz w:val="22"/>
          <w:szCs w:val="22"/>
        </w:rPr>
        <w:t xml:space="preserve"> (</w:t>
      </w:r>
      <w:r>
        <w:rPr>
          <w:rFonts w:ascii="Clario" w:eastAsia="Clario" w:hAnsi="Clario" w:cs="Clario"/>
          <w:i/>
          <w:iCs/>
          <w:sz w:val="22"/>
          <w:szCs w:val="22"/>
        </w:rPr>
        <w:t>Q3</w:t>
      </w:r>
      <w:r>
        <w:rPr>
          <w:rFonts w:ascii="Clario" w:eastAsia="Clario" w:hAnsi="Clario" w:cs="Clario"/>
          <w:sz w:val="22"/>
          <w:szCs w:val="22"/>
        </w:rPr>
        <w:t>): The concepts travel, but the rules do not. Name the regulator, the conduct rules and the court rules that apply in your jurisdiction, in particular for competence, confidentiality and disclosure.</w:t>
      </w:r>
    </w:p>
    <w:p w14:paraId="6FA7819E" w14:textId="77777777" w:rsidR="00E02535" w:rsidRDefault="003963FB">
      <w:pPr>
        <w:pStyle w:val="ListParagraph"/>
        <w:numPr>
          <w:ilvl w:val="0"/>
          <w:numId w:val="4"/>
        </w:numPr>
        <w:spacing w:after="120"/>
        <w:ind w:left="440"/>
      </w:pPr>
      <w:r>
        <w:rPr>
          <w:rFonts w:ascii="Clario" w:eastAsia="Clario" w:hAnsi="Clario" w:cs="Clario"/>
          <w:b/>
          <w:bCs/>
          <w:sz w:val="22"/>
          <w:szCs w:val="22"/>
        </w:rPr>
        <w:t>The large firm and small firm split</w:t>
      </w:r>
      <w:r>
        <w:rPr>
          <w:rFonts w:ascii="Clario" w:eastAsia="Clario" w:hAnsi="Clario" w:cs="Clario"/>
          <w:sz w:val="22"/>
          <w:szCs w:val="22"/>
        </w:rPr>
        <w:t xml:space="preserve"> (</w:t>
      </w:r>
      <w:r>
        <w:rPr>
          <w:rFonts w:ascii="Clario" w:eastAsia="Clario" w:hAnsi="Clario" w:cs="Clario"/>
          <w:i/>
          <w:iCs/>
          <w:sz w:val="22"/>
          <w:szCs w:val="22"/>
        </w:rPr>
        <w:t>Purpose and When to Use This Format</w:t>
      </w:r>
      <w:r>
        <w:rPr>
          <w:rFonts w:ascii="Clario" w:eastAsia="Clario" w:hAnsi="Clario" w:cs="Clario"/>
          <w:sz w:val="22"/>
          <w:szCs w:val="22"/>
        </w:rPr>
        <w:t>): The split assumes a market divided between large firms and smaller practices. Where the profession is divided differently, for example by a separate advocacy profession or a dominant in-house sector, reconsider where the cut falls before running separate groups.</w:t>
      </w:r>
    </w:p>
    <w:p w14:paraId="08246D15" w14:textId="77777777" w:rsidR="00E02535" w:rsidRDefault="003963FB">
      <w:pPr>
        <w:pStyle w:val="Heading1"/>
        <w:pageBreakBefore/>
        <w:pBdr>
          <w:bottom w:val="single" w:sz="12" w:space="4" w:color="D64000"/>
        </w:pBdr>
        <w:spacing w:after="160"/>
      </w:pPr>
      <w:bookmarkStart w:id="4" w:name="_Toc243474854"/>
      <w:r w:rsidRPr="25FCB2BD">
        <w:rPr>
          <w:rFonts w:ascii="Clario Medium" w:eastAsia="Clario" w:hAnsi="Clario Medium" w:cs="Clario Medium"/>
          <w:b/>
          <w:bCs/>
          <w:color w:val="D64000"/>
          <w:sz w:val="36"/>
          <w:szCs w:val="36"/>
        </w:rPr>
        <w:lastRenderedPageBreak/>
        <w:t>Employer Focus Group Guide</w:t>
      </w:r>
      <w:bookmarkEnd w:id="4"/>
    </w:p>
    <w:p w14:paraId="6762F8BC" w14:textId="522D4286" w:rsidR="00E02535" w:rsidRDefault="07EDDC08">
      <w:pPr>
        <w:spacing w:after="160"/>
      </w:pPr>
      <w:r w:rsidRPr="25FCB2BD">
        <w:rPr>
          <w:rFonts w:ascii="Clario" w:eastAsia="Clario" w:hAnsi="Clario" w:cs="Clario"/>
          <w:i/>
          <w:iCs/>
          <w:color w:val="595959" w:themeColor="text1" w:themeTint="A6"/>
          <w:sz w:val="22"/>
          <w:szCs w:val="22"/>
        </w:rPr>
        <w:t xml:space="preserve">Six </w:t>
      </w:r>
      <w:r w:rsidR="003963FB" w:rsidRPr="25FCB2BD">
        <w:rPr>
          <w:rFonts w:ascii="Clario" w:eastAsia="Clario" w:hAnsi="Clario" w:cs="Clario"/>
          <w:i/>
          <w:iCs/>
          <w:color w:val="595959" w:themeColor="text1" w:themeTint="A6"/>
          <w:sz w:val="22"/>
          <w:szCs w:val="22"/>
        </w:rPr>
        <w:t>questions for individual employer conversations or small group sessions  ·  45-60 minutes</w:t>
      </w:r>
    </w:p>
    <w:p w14:paraId="5AED3A9B" w14:textId="77777777" w:rsidR="00E02535" w:rsidRDefault="003963FB">
      <w:pPr>
        <w:pStyle w:val="Heading2"/>
        <w:shd w:val="clear" w:color="auto" w:fill="123121"/>
        <w:spacing w:before="360" w:after="200"/>
      </w:pPr>
      <w:r>
        <w:rPr>
          <w:rFonts w:ascii="Clario" w:eastAsia="Clario" w:hAnsi="Clario" w:cs="Clario"/>
          <w:b/>
          <w:bCs/>
          <w:color w:val="FFFFFF"/>
          <w:sz w:val="22"/>
          <w:szCs w:val="22"/>
        </w:rPr>
        <w:t xml:space="preserve">  </w:t>
      </w:r>
      <w:bookmarkStart w:id="5" w:name="_Toc243474855"/>
      <w:r>
        <w:rPr>
          <w:rFonts w:ascii="Clario" w:eastAsia="Clario" w:hAnsi="Clario" w:cs="Clario"/>
          <w:b/>
          <w:bCs/>
          <w:color w:val="FFFFFF"/>
          <w:sz w:val="22"/>
          <w:szCs w:val="22"/>
        </w:rPr>
        <w:t>PURPOSE AND WHEN TO USE THIS FORMAT</w:t>
      </w:r>
      <w:bookmarkEnd w:id="5"/>
    </w:p>
    <w:p w14:paraId="59EE453E" w14:textId="77777777" w:rsidR="00E02535" w:rsidRDefault="003963FB">
      <w:pPr>
        <w:spacing w:after="160"/>
      </w:pPr>
      <w:r>
        <w:rPr>
          <w:rFonts w:ascii="Clario" w:eastAsia="Clario" w:hAnsi="Clario" w:cs="Clario"/>
          <w:sz w:val="22"/>
          <w:szCs w:val="22"/>
        </w:rPr>
        <w:t>The focus group format is suited for deans, or heads of school, who prefer to gather employer evidence before bringing it to academic staff, who want to develop relationships with specific employer partners, or whose employer contacts are not yet comfortable speaking in front of academic staff. It is also the right format for surfacing the specific, detailed accounts that make presentations to academic staff compelling.</w:t>
      </w:r>
    </w:p>
    <w:p w14:paraId="24E33BCF" w14:textId="77777777" w:rsidR="00E02535" w:rsidRDefault="003963FB">
      <w:pPr>
        <w:spacing w:after="160"/>
      </w:pPr>
      <w:r>
        <w:rPr>
          <w:rFonts w:ascii="Clario" w:eastAsia="Clario" w:hAnsi="Clario" w:cs="Clario"/>
          <w:sz w:val="22"/>
          <w:szCs w:val="22"/>
        </w:rPr>
        <w:t>Conduct these conversations individually (a 45-minute call or coffee meeting) or in small groups of 2-3 employers from similar practice settings. The goal is depth, not breadth: one specific, detailed account from a single employer is worth more than ten general observations.</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E02535" w14:paraId="7473A45B" w14:textId="77777777" w:rsidTr="136AD9B7">
        <w:tc>
          <w:tcPr>
            <w:tcW w:w="10070" w:type="dxa"/>
            <w:shd w:val="clear" w:color="auto" w:fill="F8EADD"/>
            <w:tcMar>
              <w:top w:w="160" w:type="dxa"/>
              <w:left w:w="200" w:type="dxa"/>
              <w:bottom w:w="160" w:type="dxa"/>
              <w:right w:w="200" w:type="dxa"/>
            </w:tcMar>
          </w:tcPr>
          <w:p w14:paraId="3C7A3756" w14:textId="77777777" w:rsidR="00E02535" w:rsidRDefault="003963FB">
            <w:pPr>
              <w:spacing w:after="140"/>
            </w:pPr>
            <w:r>
              <w:rPr>
                <w:rFonts w:ascii="Clario" w:eastAsia="Clario" w:hAnsi="Clario" w:cs="Clario"/>
                <w:b/>
                <w:bCs/>
                <w:sz w:val="22"/>
                <w:szCs w:val="22"/>
              </w:rPr>
              <w:t>FACILITATOR NOTE</w:t>
            </w:r>
          </w:p>
          <w:p w14:paraId="37A9AE7E" w14:textId="77777777" w:rsidR="00E02535" w:rsidRDefault="003963FB">
            <w:pPr>
              <w:spacing w:after="140"/>
            </w:pPr>
            <w:r>
              <w:rPr>
                <w:rFonts w:ascii="Clario" w:eastAsia="Clario" w:hAnsi="Clario" w:cs="Clario"/>
                <w:b/>
                <w:bCs/>
                <w:sz w:val="22"/>
                <w:szCs w:val="22"/>
              </w:rPr>
              <w:t>On the small/large firm distinction:</w:t>
            </w:r>
          </w:p>
          <w:p w14:paraId="0397DFDC" w14:textId="24FCA9BA" w:rsidR="00E02535" w:rsidRDefault="003963FB">
            <w:pPr>
              <w:spacing w:after="140"/>
            </w:pPr>
            <w:r w:rsidRPr="136AD9B7">
              <w:rPr>
                <w:rFonts w:ascii="Clario" w:eastAsia="Clario" w:hAnsi="Clario" w:cs="Clario"/>
                <w:i/>
                <w:iCs/>
                <w:sz w:val="22"/>
                <w:szCs w:val="22"/>
              </w:rPr>
              <w:t>Run separate focus groups for large-firm and small/midsize</w:t>
            </w:r>
            <w:r w:rsidR="712EE117" w:rsidRPr="136AD9B7">
              <w:rPr>
                <w:rFonts w:ascii="Clario" w:eastAsia="Clario" w:hAnsi="Clario" w:cs="Clario"/>
                <w:i/>
                <w:iCs/>
                <w:sz w:val="22"/>
                <w:szCs w:val="22"/>
              </w:rPr>
              <w:t xml:space="preserve"> and public sector</w:t>
            </w:r>
            <w:r w:rsidRPr="136AD9B7">
              <w:rPr>
                <w:rFonts w:ascii="Clario" w:eastAsia="Clario" w:hAnsi="Clario" w:cs="Clario"/>
                <w:i/>
                <w:iCs/>
                <w:sz w:val="22"/>
                <w:szCs w:val="22"/>
              </w:rPr>
              <w:t xml:space="preserve"> employers where possible. What AI-ready means in each setting is genuinely different, and mixing them in a single conversation can produce generic responses that serve neither audience. The five questions below work for both tracks.</w:t>
            </w:r>
          </w:p>
        </w:tc>
      </w:tr>
    </w:tbl>
    <w:p w14:paraId="1375220F" w14:textId="77777777" w:rsidR="00E02535" w:rsidRDefault="003963FB">
      <w:pPr>
        <w:pStyle w:val="Heading2"/>
        <w:shd w:val="clear" w:color="auto" w:fill="123121"/>
        <w:spacing w:before="360" w:after="200"/>
      </w:pPr>
      <w:r>
        <w:rPr>
          <w:rFonts w:ascii="Clario" w:eastAsia="Clario" w:hAnsi="Clario" w:cs="Clario"/>
          <w:b/>
          <w:bCs/>
          <w:color w:val="FFFFFF"/>
          <w:sz w:val="22"/>
          <w:szCs w:val="22"/>
        </w:rPr>
        <w:t xml:space="preserve">  </w:t>
      </w:r>
      <w:bookmarkStart w:id="6" w:name="_Toc243474856"/>
      <w:r>
        <w:rPr>
          <w:rFonts w:ascii="Clario" w:eastAsia="Clario" w:hAnsi="Clario" w:cs="Clario"/>
          <w:b/>
          <w:bCs/>
          <w:color w:val="FFFFFF"/>
          <w:sz w:val="22"/>
          <w:szCs w:val="22"/>
        </w:rPr>
        <w:t>OPENING THE CONVERSATION · HOW TO FRAME THE REQUEST</w:t>
      </w:r>
      <w:bookmarkEnd w:id="6"/>
    </w:p>
    <w:p w14:paraId="0FA85B9D" w14:textId="77777777" w:rsidR="00E02535" w:rsidRDefault="003963FB">
      <w:pPr>
        <w:spacing w:after="160"/>
      </w:pPr>
      <w:r>
        <w:rPr>
          <w:rFonts w:ascii="Clario" w:eastAsia="Clario" w:hAnsi="Clario" w:cs="Clario"/>
          <w:sz w:val="22"/>
          <w:szCs w:val="22"/>
        </w:rPr>
        <w:t>Open with a brief, honest frame. Something like:</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E02535" w14:paraId="2A544BF9" w14:textId="77777777">
        <w:tc>
          <w:tcPr>
            <w:tcW w:w="10070" w:type="dxa"/>
            <w:shd w:val="clear" w:color="auto" w:fill="F8EADD"/>
            <w:tcMar>
              <w:top w:w="160" w:type="dxa"/>
              <w:left w:w="200" w:type="dxa"/>
              <w:bottom w:w="160" w:type="dxa"/>
              <w:right w:w="200" w:type="dxa"/>
            </w:tcMar>
          </w:tcPr>
          <w:p w14:paraId="48CF586C" w14:textId="77777777" w:rsidR="00E02535" w:rsidRDefault="003963FB">
            <w:pPr>
              <w:spacing w:after="140"/>
            </w:pPr>
            <w:r>
              <w:rPr>
                <w:rFonts w:ascii="Clario" w:eastAsia="Clario" w:hAnsi="Clario" w:cs="Clario"/>
                <w:b/>
                <w:bCs/>
                <w:sz w:val="22"/>
                <w:szCs w:val="22"/>
              </w:rPr>
              <w:t>Sample opening language:</w:t>
            </w:r>
          </w:p>
          <w:p w14:paraId="557FFE86" w14:textId="77777777" w:rsidR="00E02535" w:rsidRDefault="003963FB">
            <w:pPr>
              <w:spacing w:after="140"/>
            </w:pPr>
            <w:r>
              <w:rPr>
                <w:rFonts w:ascii="Clario" w:eastAsia="Clario" w:hAnsi="Clario" w:cs="Clario"/>
                <w:i/>
                <w:iCs/>
                <w:sz w:val="22"/>
                <w:szCs w:val="22"/>
              </w:rPr>
              <w:t>"We are in the middle of rethinking how we prepare students for AI-integrated practice, and we want to make sure we're solving the right problem. I'm not looking for validation: I want to understand what you're actually experiencing, including where our graduates have fallen short. The most useful thing you can do is be specific and honest. This is a conversation, not a formal review."</w:t>
            </w:r>
          </w:p>
        </w:tc>
      </w:tr>
    </w:tbl>
    <w:p w14:paraId="7EF35B81" w14:textId="77777777" w:rsidR="00E02535" w:rsidRDefault="003963FB">
      <w:pPr>
        <w:pStyle w:val="Heading2"/>
        <w:shd w:val="clear" w:color="auto" w:fill="123121"/>
        <w:spacing w:before="360" w:after="200"/>
      </w:pPr>
      <w:r>
        <w:rPr>
          <w:rFonts w:ascii="Clario" w:eastAsia="Clario" w:hAnsi="Clario" w:cs="Clario"/>
          <w:b/>
          <w:bCs/>
          <w:color w:val="FFFFFF"/>
          <w:sz w:val="22"/>
          <w:szCs w:val="22"/>
        </w:rPr>
        <w:t xml:space="preserve">  </w:t>
      </w:r>
      <w:bookmarkStart w:id="7" w:name="_Toc243474857"/>
      <w:r>
        <w:rPr>
          <w:rFonts w:ascii="Clario" w:eastAsia="Clario" w:hAnsi="Clario" w:cs="Clario"/>
          <w:b/>
          <w:bCs/>
          <w:color w:val="FFFFFF"/>
          <w:sz w:val="22"/>
          <w:szCs w:val="22"/>
        </w:rPr>
        <w:t>THE FIVE QUESTIONS</w:t>
      </w:r>
      <w:bookmarkEnd w:id="7"/>
    </w:p>
    <w:p w14:paraId="590A7213" w14:textId="77777777" w:rsidR="00E02535" w:rsidRDefault="003963FB">
      <w:pPr>
        <w:spacing w:after="160"/>
      </w:pPr>
      <w:r>
        <w:rPr>
          <w:rFonts w:ascii="Clario" w:eastAsia="Clario" w:hAnsi="Clario" w:cs="Clario"/>
          <w:sz w:val="22"/>
          <w:szCs w:val="22"/>
        </w:rPr>
        <w:t>These questions are sequenced deliberately: from current practice context, to specific evidence, to the judgment gap, to what good looks like, to what schools should do. Do not skip ahead. The early questions build the foundation for the later ones to land.</w:t>
      </w:r>
    </w:p>
    <w:p w14:paraId="00C739D1" w14:textId="5C6721BA" w:rsidR="00E02535" w:rsidRDefault="003963FB" w:rsidP="136AD9B7">
      <w:pPr>
        <w:pBdr>
          <w:top w:val="single" w:sz="4" w:space="8" w:color="D9D9D9"/>
        </w:pBdr>
        <w:spacing w:before="320" w:after="60"/>
      </w:pPr>
      <w:r w:rsidRPr="136AD9B7">
        <w:rPr>
          <w:rFonts w:ascii="Clario" w:eastAsia="Clario" w:hAnsi="Clario" w:cs="Clario"/>
          <w:b/>
          <w:bCs/>
          <w:color w:val="D64000"/>
          <w:sz w:val="24"/>
          <w:szCs w:val="24"/>
        </w:rPr>
        <w:t xml:space="preserve">Q1.  </w:t>
      </w:r>
      <w:r w:rsidRPr="136AD9B7">
        <w:rPr>
          <w:rFonts w:ascii="Clario" w:eastAsia="Clario" w:hAnsi="Clario" w:cs="Clario"/>
          <w:b/>
          <w:bCs/>
          <w:sz w:val="24"/>
          <w:szCs w:val="24"/>
        </w:rPr>
        <w:t>How is AI being used in your practice right now and how has that changed in the last 12-18 months?</w:t>
      </w:r>
    </w:p>
    <w:p w14:paraId="7601C484" w14:textId="63D7595A" w:rsidR="00E02535" w:rsidRPr="009D5C6C" w:rsidRDefault="003963FB">
      <w:pPr>
        <w:spacing w:after="140"/>
      </w:pPr>
      <w:r>
        <w:rPr>
          <w:rFonts w:ascii="Clario" w:eastAsia="Clario" w:hAnsi="Clario" w:cs="Clario"/>
          <w:b/>
          <w:bCs/>
        </w:rPr>
        <w:t xml:space="preserve">Purpose: </w:t>
      </w:r>
      <w:r>
        <w:rPr>
          <w:rFonts w:ascii="Clario" w:eastAsia="Clario" w:hAnsi="Clario" w:cs="Clario"/>
          <w:i/>
          <w:iCs/>
          <w:color w:val="595959"/>
        </w:rPr>
        <w:t>Grounds the conversation in the employer's real context before asking them to evaluate graduates. Employers who are not yet using AI will answer differently than those who are deeply integrated, and both perspectives are useful. Prevents the conversation from being driven by assumptions about how advanced any particular practice setting is.</w:t>
      </w:r>
      <w:r w:rsidR="00B21472">
        <w:rPr>
          <w:rFonts w:ascii="Clario" w:eastAsia="Clario" w:hAnsi="Clario" w:cs="Clario"/>
          <w:i/>
          <w:iCs/>
          <w:color w:val="595959"/>
        </w:rPr>
        <w:t xml:space="preserve"> </w:t>
      </w:r>
      <w:r w:rsidR="00B21472" w:rsidRPr="009D5C6C">
        <w:rPr>
          <w:rFonts w:ascii="Clario" w:eastAsia="Clario" w:hAnsi="Clario" w:cs="Clario"/>
          <w:i/>
          <w:iCs/>
        </w:rPr>
        <w:t>The hiring volume probe opens the recruitment thread gently: framed as part of how practice has changed, it is easier to answer than a direct question about headcount.</w:t>
      </w:r>
    </w:p>
    <w:p w14:paraId="3CDCE1A2" w14:textId="77777777" w:rsidR="00E02535" w:rsidRDefault="003963FB">
      <w:pPr>
        <w:spacing w:after="90"/>
      </w:pPr>
      <w:r>
        <w:rPr>
          <w:rFonts w:ascii="Clario" w:eastAsia="Clario" w:hAnsi="Clario" w:cs="Clario"/>
          <w:b/>
          <w:bCs/>
          <w:sz w:val="22"/>
          <w:szCs w:val="22"/>
        </w:rPr>
        <w:t>Follow-up probes:</w:t>
      </w:r>
    </w:p>
    <w:p w14:paraId="00C8D59A" w14:textId="77777777" w:rsidR="00E02535" w:rsidRDefault="003963FB">
      <w:pPr>
        <w:pStyle w:val="ListParagraph"/>
        <w:numPr>
          <w:ilvl w:val="0"/>
          <w:numId w:val="4"/>
        </w:numPr>
        <w:spacing w:after="120"/>
        <w:ind w:left="440"/>
      </w:pPr>
      <w:r>
        <w:rPr>
          <w:rFonts w:ascii="Clario" w:eastAsia="Clario" w:hAnsi="Clario" w:cs="Clario"/>
          <w:sz w:val="22"/>
          <w:szCs w:val="22"/>
        </w:rPr>
        <w:lastRenderedPageBreak/>
        <w:t>Is that use driven by the firm/organization, or by individual lawyers making their own choices?</w:t>
      </w:r>
    </w:p>
    <w:p w14:paraId="33B72EF1" w14:textId="77777777" w:rsidR="00E02535" w:rsidRDefault="003963FB">
      <w:pPr>
        <w:pStyle w:val="ListParagraph"/>
        <w:numPr>
          <w:ilvl w:val="0"/>
          <w:numId w:val="4"/>
        </w:numPr>
        <w:spacing w:after="120"/>
        <w:ind w:left="440"/>
      </w:pPr>
      <w:r>
        <w:rPr>
          <w:rFonts w:ascii="Clario" w:eastAsia="Clario" w:hAnsi="Clario" w:cs="Clario"/>
          <w:sz w:val="22"/>
          <w:szCs w:val="22"/>
        </w:rPr>
        <w:t>Are there practice areas or task types where you've adopted AI more quickly than others?</w:t>
      </w:r>
    </w:p>
    <w:p w14:paraId="15909DA9" w14:textId="77777777" w:rsidR="00E02535" w:rsidRPr="009D5C6C" w:rsidRDefault="003963FB">
      <w:pPr>
        <w:pStyle w:val="ListParagraph"/>
        <w:numPr>
          <w:ilvl w:val="0"/>
          <w:numId w:val="4"/>
        </w:numPr>
        <w:spacing w:after="120"/>
        <w:ind w:left="440"/>
      </w:pPr>
      <w:r>
        <w:rPr>
          <w:rFonts w:ascii="Clario" w:eastAsia="Clario" w:hAnsi="Clario" w:cs="Clario"/>
          <w:sz w:val="22"/>
          <w:szCs w:val="22"/>
        </w:rPr>
        <w:t>What surprised you most about how AI has changed the work?</w:t>
      </w:r>
    </w:p>
    <w:p w14:paraId="4B2839D5" w14:textId="0BDA388A" w:rsidR="009D5C6C" w:rsidRPr="009D5C6C" w:rsidRDefault="009D5C6C" w:rsidP="009D5C6C">
      <w:pPr>
        <w:pStyle w:val="ListParagraph"/>
        <w:numPr>
          <w:ilvl w:val="0"/>
          <w:numId w:val="4"/>
        </w:numPr>
        <w:spacing w:after="120"/>
        <w:ind w:left="440"/>
      </w:pPr>
      <w:r w:rsidRPr="009D5C6C">
        <w:rPr>
          <w:rFonts w:ascii="Clario" w:eastAsia="Clario" w:hAnsi="Clario" w:cs="Clario"/>
          <w:sz w:val="22"/>
          <w:szCs w:val="22"/>
        </w:rPr>
        <w:t>Has AI changed how many junior lawyers you are hiring, or how many you expect to hire over the next few years? Which roles or tasks has that affected most?</w:t>
      </w:r>
    </w:p>
    <w:p w14:paraId="67FD0DA8" w14:textId="55373C74" w:rsidR="00E02535" w:rsidRDefault="003963FB" w:rsidP="136AD9B7">
      <w:pPr>
        <w:pBdr>
          <w:top w:val="single" w:sz="4" w:space="8" w:color="D9D9D9"/>
        </w:pBdr>
        <w:spacing w:before="320" w:after="60"/>
      </w:pPr>
      <w:r w:rsidRPr="136AD9B7">
        <w:rPr>
          <w:rFonts w:ascii="Clario" w:eastAsia="Clario" w:hAnsi="Clario" w:cs="Clario"/>
          <w:b/>
          <w:bCs/>
          <w:color w:val="D64000"/>
          <w:sz w:val="24"/>
          <w:szCs w:val="24"/>
        </w:rPr>
        <w:t xml:space="preserve">Q2.  </w:t>
      </w:r>
      <w:r w:rsidRPr="136AD9B7">
        <w:rPr>
          <w:rFonts w:ascii="Clario" w:eastAsia="Clario" w:hAnsi="Clario" w:cs="Clario"/>
          <w:b/>
          <w:bCs/>
          <w:sz w:val="24"/>
          <w:szCs w:val="24"/>
        </w:rPr>
        <w:t>When you think about the new graduates you've hired recently, what is the gap you</w:t>
      </w:r>
      <w:r w:rsidR="484E1CEE" w:rsidRPr="136AD9B7">
        <w:rPr>
          <w:rFonts w:ascii="Clario" w:eastAsia="Clario" w:hAnsi="Clario" w:cs="Clario"/>
          <w:b/>
          <w:bCs/>
          <w:sz w:val="24"/>
          <w:szCs w:val="24"/>
        </w:rPr>
        <w:t xml:space="preserve"> are </w:t>
      </w:r>
      <w:r w:rsidRPr="136AD9B7">
        <w:rPr>
          <w:rFonts w:ascii="Clario" w:eastAsia="Clario" w:hAnsi="Clario" w:cs="Clario"/>
          <w:b/>
          <w:bCs/>
          <w:sz w:val="24"/>
          <w:szCs w:val="24"/>
        </w:rPr>
        <w:t>seeing between what they know about AI and what you  need them to know?</w:t>
      </w:r>
    </w:p>
    <w:p w14:paraId="7201E37F" w14:textId="141E4520" w:rsidR="00E02535" w:rsidRPr="004E178B" w:rsidRDefault="003963FB">
      <w:pPr>
        <w:spacing w:after="140"/>
      </w:pPr>
      <w:r>
        <w:rPr>
          <w:rFonts w:ascii="Clario" w:eastAsia="Clario" w:hAnsi="Clario" w:cs="Clario"/>
          <w:b/>
          <w:bCs/>
        </w:rPr>
        <w:t xml:space="preserve">Purpose: </w:t>
      </w:r>
      <w:r>
        <w:rPr>
          <w:rFonts w:ascii="Clario" w:eastAsia="Clario" w:hAnsi="Clario" w:cs="Clario"/>
          <w:i/>
          <w:iCs/>
          <w:color w:val="595959"/>
        </w:rPr>
        <w:t>This is the core diagnostic question. It invites employers to name a specific, observable gap rather than a general opinion about AI education. The distinction between a skills gap (can't use the tools), a judgment gap (can't evaluate the output), and a values gap (doesn't understand the professional conduct stakes) is analytically important: the follow-up probes surface it.</w:t>
      </w:r>
      <w:r w:rsidR="004E178B" w:rsidRPr="004E178B">
        <w:rPr>
          <w:rFonts w:ascii="Clario" w:eastAsia="Clario" w:hAnsi="Clario" w:cs="Clario"/>
          <w:i/>
          <w:iCs/>
          <w:color w:val="0000FF"/>
        </w:rPr>
        <w:t xml:space="preserve"> </w:t>
      </w:r>
      <w:r w:rsidR="004E178B" w:rsidRPr="004E178B">
        <w:rPr>
          <w:rFonts w:ascii="Clario" w:eastAsia="Clario" w:hAnsi="Clario" w:cs="Clario"/>
          <w:i/>
          <w:iCs/>
        </w:rPr>
        <w:t>The recruitment probes move from what employers are looking for to how they test for it and whether their hiring approach has shifted. Some employers may treat recruitment policy as sensitive; if so, invite general observations rather than firm-specific detail, and do not press.</w:t>
      </w:r>
    </w:p>
    <w:p w14:paraId="4D81723A" w14:textId="77777777" w:rsidR="00E02535" w:rsidRDefault="003963FB">
      <w:pPr>
        <w:spacing w:after="90"/>
      </w:pPr>
      <w:r>
        <w:rPr>
          <w:rFonts w:ascii="Clario" w:eastAsia="Clario" w:hAnsi="Clario" w:cs="Clario"/>
          <w:b/>
          <w:bCs/>
          <w:sz w:val="22"/>
          <w:szCs w:val="22"/>
        </w:rPr>
        <w:t>Follow-up probes:</w:t>
      </w:r>
    </w:p>
    <w:p w14:paraId="7A07F4E8" w14:textId="77777777" w:rsidR="00E02535" w:rsidRDefault="003963FB">
      <w:pPr>
        <w:pStyle w:val="ListParagraph"/>
        <w:numPr>
          <w:ilvl w:val="0"/>
          <w:numId w:val="4"/>
        </w:numPr>
        <w:spacing w:after="120"/>
        <w:ind w:left="440"/>
      </w:pPr>
      <w:r>
        <w:rPr>
          <w:rFonts w:ascii="Clario" w:eastAsia="Clario" w:hAnsi="Clario" w:cs="Clario"/>
          <w:sz w:val="22"/>
          <w:szCs w:val="22"/>
        </w:rPr>
        <w:t>Is the gap primarily about knowing how to use the tools, or about knowing when and whether to trust them?</w:t>
      </w:r>
    </w:p>
    <w:p w14:paraId="1E4B6052" w14:textId="77777777" w:rsidR="00E02535" w:rsidRDefault="003963FB">
      <w:pPr>
        <w:pStyle w:val="ListParagraph"/>
        <w:numPr>
          <w:ilvl w:val="0"/>
          <w:numId w:val="4"/>
        </w:numPr>
        <w:spacing w:after="120"/>
        <w:ind w:left="440"/>
      </w:pPr>
      <w:r>
        <w:rPr>
          <w:rFonts w:ascii="Clario" w:eastAsia="Clario" w:hAnsi="Clario" w:cs="Clario"/>
          <w:sz w:val="22"/>
          <w:szCs w:val="22"/>
        </w:rPr>
        <w:t>Have you had a specific situation where that gap cost you (in time, client service, or your confidence in that person)? Can you walk me through it?</w:t>
      </w:r>
    </w:p>
    <w:p w14:paraId="4CBADCF7" w14:textId="77777777" w:rsidR="00E02535" w:rsidRDefault="003963FB" w:rsidP="25FCB2BD">
      <w:pPr>
        <w:pStyle w:val="ListParagraph"/>
        <w:numPr>
          <w:ilvl w:val="0"/>
          <w:numId w:val="4"/>
        </w:numPr>
        <w:spacing w:after="120"/>
        <w:ind w:left="440"/>
        <w:rPr>
          <w:rFonts w:ascii="Clario" w:eastAsia="Clario" w:hAnsi="Clario" w:cs="Clario"/>
          <w:sz w:val="22"/>
          <w:szCs w:val="22"/>
        </w:rPr>
      </w:pPr>
      <w:r w:rsidRPr="25FCB2BD">
        <w:rPr>
          <w:rFonts w:ascii="Clario" w:eastAsia="Clario" w:hAnsi="Clario" w:cs="Clario"/>
          <w:sz w:val="22"/>
          <w:szCs w:val="22"/>
        </w:rPr>
        <w:t>What about graduates who arrived well-prepared? What did they know or do differently?</w:t>
      </w:r>
    </w:p>
    <w:p w14:paraId="3C495D04" w14:textId="18699D64" w:rsidR="009110B1" w:rsidRPr="00AB14E9" w:rsidRDefault="007D5F00" w:rsidP="25FCB2BD">
      <w:pPr>
        <w:pStyle w:val="ListParagraph"/>
        <w:numPr>
          <w:ilvl w:val="0"/>
          <w:numId w:val="4"/>
        </w:numPr>
        <w:spacing w:after="120"/>
        <w:ind w:left="440"/>
        <w:rPr>
          <w:rFonts w:ascii="Clario" w:eastAsia="Clario" w:hAnsi="Clario" w:cs="Clario"/>
          <w:sz w:val="22"/>
          <w:szCs w:val="22"/>
        </w:rPr>
      </w:pPr>
      <w:r w:rsidRPr="00AB14E9">
        <w:rPr>
          <w:rFonts w:ascii="Clario" w:eastAsia="Clario" w:hAnsi="Clario" w:cs="Clario"/>
          <w:sz w:val="22"/>
          <w:szCs w:val="22"/>
          <w:lang w:val="en-AU"/>
        </w:rPr>
        <w:t xml:space="preserve">How important is it for </w:t>
      </w:r>
      <w:r w:rsidR="009110B1" w:rsidRPr="00AB14E9">
        <w:rPr>
          <w:rFonts w:ascii="Clario" w:eastAsia="Clario" w:hAnsi="Clario" w:cs="Clario"/>
          <w:sz w:val="22"/>
          <w:szCs w:val="22"/>
          <w:lang w:val="en-AU"/>
        </w:rPr>
        <w:t xml:space="preserve">graduates using AI tools </w:t>
      </w:r>
      <w:r w:rsidRPr="00AB14E9">
        <w:rPr>
          <w:rFonts w:ascii="Clario" w:eastAsia="Clario" w:hAnsi="Clario" w:cs="Clario"/>
          <w:sz w:val="22"/>
          <w:szCs w:val="22"/>
          <w:lang w:val="en-AU"/>
        </w:rPr>
        <w:t xml:space="preserve">to know how to effectively </w:t>
      </w:r>
      <w:r w:rsidR="009110B1" w:rsidRPr="00AB14E9">
        <w:rPr>
          <w:rFonts w:ascii="Clario" w:eastAsia="Clario" w:hAnsi="Clario" w:cs="Clario"/>
          <w:sz w:val="22"/>
          <w:szCs w:val="22"/>
          <w:lang w:val="en-AU"/>
        </w:rPr>
        <w:t>evaluat</w:t>
      </w:r>
      <w:r w:rsidRPr="00AB14E9">
        <w:rPr>
          <w:rFonts w:ascii="Clario" w:eastAsia="Clario" w:hAnsi="Clario" w:cs="Clario"/>
          <w:sz w:val="22"/>
          <w:szCs w:val="22"/>
          <w:lang w:val="en-AU"/>
        </w:rPr>
        <w:t>e</w:t>
      </w:r>
      <w:r w:rsidR="009110B1" w:rsidRPr="00AB14E9">
        <w:rPr>
          <w:rFonts w:ascii="Clario" w:eastAsia="Clario" w:hAnsi="Clario" w:cs="Clario"/>
          <w:sz w:val="22"/>
          <w:szCs w:val="22"/>
          <w:lang w:val="en-AU"/>
        </w:rPr>
        <w:t xml:space="preserve"> AI outputs</w:t>
      </w:r>
      <w:r w:rsidRPr="00AB14E9">
        <w:rPr>
          <w:rFonts w:ascii="Clario" w:eastAsia="Clario" w:hAnsi="Clario" w:cs="Clario"/>
          <w:sz w:val="22"/>
          <w:szCs w:val="22"/>
          <w:lang w:val="en-AU"/>
        </w:rPr>
        <w:t>?</w:t>
      </w:r>
    </w:p>
    <w:p w14:paraId="2E15F3BA" w14:textId="77777777" w:rsidR="00AB14E9" w:rsidRPr="00AB14E9" w:rsidRDefault="00AB14E9" w:rsidP="00AB14E9">
      <w:pPr>
        <w:pStyle w:val="ListParagraph"/>
        <w:numPr>
          <w:ilvl w:val="0"/>
          <w:numId w:val="4"/>
        </w:numPr>
        <w:spacing w:after="120"/>
        <w:ind w:left="440"/>
        <w:rPr>
          <w:rFonts w:ascii="Clario" w:eastAsia="Clario" w:hAnsi="Clario" w:cs="Clario"/>
          <w:sz w:val="22"/>
          <w:szCs w:val="22"/>
        </w:rPr>
      </w:pPr>
      <w:r w:rsidRPr="00AB14E9">
        <w:rPr>
          <w:rFonts w:ascii="Clario" w:eastAsia="Clario" w:hAnsi="Clario" w:cs="Clario"/>
          <w:sz w:val="22"/>
          <w:szCs w:val="22"/>
        </w:rPr>
        <w:t>How, if at all, are you now assessing AI skills and judgment when you recruit? For example, through interview questions, practical exercises, assessed tasks or work samples?</w:t>
      </w:r>
    </w:p>
    <w:p w14:paraId="6869635E" w14:textId="5BB311A1" w:rsidR="00AB14E9" w:rsidRPr="00AB14E9" w:rsidRDefault="00AB14E9" w:rsidP="00AB14E9">
      <w:pPr>
        <w:pStyle w:val="ListParagraph"/>
        <w:numPr>
          <w:ilvl w:val="0"/>
          <w:numId w:val="4"/>
        </w:numPr>
        <w:spacing w:after="120"/>
        <w:ind w:left="440"/>
        <w:rPr>
          <w:rFonts w:ascii="Clario" w:eastAsia="Clario" w:hAnsi="Clario" w:cs="Clario"/>
          <w:sz w:val="22"/>
          <w:szCs w:val="22"/>
        </w:rPr>
      </w:pPr>
      <w:r w:rsidRPr="00AB14E9">
        <w:rPr>
          <w:rFonts w:ascii="Clario" w:eastAsia="Clario" w:hAnsi="Clario" w:cs="Clario"/>
          <w:sz w:val="22"/>
          <w:szCs w:val="22"/>
        </w:rPr>
        <w:t>Have you changed your recruitment process, criteria or strategy because of AI? What prompted the change, and what has it told you about candidates?</w:t>
      </w:r>
    </w:p>
    <w:p w14:paraId="10B52D89" w14:textId="4F97F3D2" w:rsidR="25FCB2BD" w:rsidRDefault="25FCB2BD" w:rsidP="25FCB2BD">
      <w:pPr>
        <w:spacing w:after="120"/>
        <w:rPr>
          <w:rFonts w:ascii="Clario" w:eastAsia="Clario" w:hAnsi="Clario" w:cs="Clario"/>
          <w:sz w:val="22"/>
          <w:szCs w:val="22"/>
        </w:rPr>
      </w:pPr>
    </w:p>
    <w:p w14:paraId="5CD6AC36" w14:textId="196BF4DD" w:rsidR="2B3EBB87" w:rsidRDefault="2B3EBB87" w:rsidP="25FCB2BD">
      <w:pPr>
        <w:spacing w:after="120"/>
        <w:rPr>
          <w:rFonts w:ascii="Clario" w:eastAsia="Clario" w:hAnsi="Clario" w:cs="Clario"/>
          <w:b/>
          <w:bCs/>
          <w:sz w:val="24"/>
          <w:szCs w:val="24"/>
        </w:rPr>
      </w:pPr>
      <w:r w:rsidRPr="25FCB2BD">
        <w:rPr>
          <w:rFonts w:ascii="Clario" w:eastAsia="Clario" w:hAnsi="Clario" w:cs="Clario"/>
          <w:b/>
          <w:bCs/>
          <w:color w:val="D64000"/>
          <w:sz w:val="24"/>
          <w:szCs w:val="24"/>
        </w:rPr>
        <w:t xml:space="preserve">Q3. </w:t>
      </w:r>
      <w:r w:rsidRPr="25FCB2BD">
        <w:rPr>
          <w:rFonts w:ascii="Clario" w:eastAsia="Clario" w:hAnsi="Clario" w:cs="Clario"/>
          <w:b/>
          <w:bCs/>
          <w:sz w:val="24"/>
          <w:szCs w:val="24"/>
        </w:rPr>
        <w:t>Thinking about the summer associates, interns, externs, or law clerks you've worked with (first-year and second-year students especially), how are they using AI in your setting, how ready are they, and what do you most want them to know or worry about before they start?</w:t>
      </w:r>
    </w:p>
    <w:p w14:paraId="5BA44B23" w14:textId="13BFF86D" w:rsidR="2B3EBB87" w:rsidRDefault="2B3EBB87" w:rsidP="25FCB2BD">
      <w:pPr>
        <w:spacing w:after="120"/>
        <w:rPr>
          <w:rFonts w:ascii="Clario" w:eastAsia="Clario" w:hAnsi="Clario" w:cs="Clario"/>
          <w:b/>
          <w:bCs/>
          <w:sz w:val="24"/>
          <w:szCs w:val="24"/>
        </w:rPr>
      </w:pPr>
      <w:r w:rsidRPr="25FCB2BD">
        <w:rPr>
          <w:rFonts w:ascii="Clario" w:eastAsia="Clario" w:hAnsi="Clario" w:cs="Clario"/>
          <w:b/>
          <w:bCs/>
          <w:sz w:val="24"/>
          <w:szCs w:val="24"/>
        </w:rPr>
        <w:t>Follow-up probes:</w:t>
      </w:r>
    </w:p>
    <w:p w14:paraId="0B83328E" w14:textId="780CAE11" w:rsidR="2B3EBB87" w:rsidRDefault="2B3EBB87" w:rsidP="25FCB2BD">
      <w:pPr>
        <w:pStyle w:val="ListParagraph"/>
        <w:numPr>
          <w:ilvl w:val="0"/>
          <w:numId w:val="1"/>
        </w:numPr>
        <w:rPr>
          <w:rFonts w:ascii="Clario" w:eastAsia="Clario" w:hAnsi="Clario" w:cs="Clario"/>
          <w:sz w:val="24"/>
          <w:szCs w:val="24"/>
        </w:rPr>
      </w:pPr>
      <w:r w:rsidRPr="25FCB2BD">
        <w:rPr>
          <w:rFonts w:ascii="Clario" w:eastAsia="Clario" w:hAnsi="Clario" w:cs="Clario"/>
          <w:sz w:val="24"/>
          <w:szCs w:val="24"/>
        </w:rPr>
        <w:t>How do 1L and 2L summer hires differ in AI readiness?</w:t>
      </w:r>
    </w:p>
    <w:p w14:paraId="0B91FDF2" w14:textId="31B730B5" w:rsidR="2B3EBB87" w:rsidRDefault="2B3EBB87" w:rsidP="25FCB2BD">
      <w:pPr>
        <w:pStyle w:val="ListParagraph"/>
        <w:numPr>
          <w:ilvl w:val="0"/>
          <w:numId w:val="1"/>
        </w:numPr>
        <w:rPr>
          <w:rFonts w:ascii="Clario" w:eastAsia="Clario" w:hAnsi="Clario" w:cs="Clario"/>
          <w:sz w:val="24"/>
          <w:szCs w:val="24"/>
        </w:rPr>
      </w:pPr>
      <w:r w:rsidRPr="25FCB2BD">
        <w:rPr>
          <w:rFonts w:ascii="Clario" w:eastAsia="Clario" w:hAnsi="Clario" w:cs="Clario"/>
          <w:sz w:val="24"/>
          <w:szCs w:val="24"/>
        </w:rPr>
        <w:t>Are they using your firm or court's approved tools, or their own?</w:t>
      </w:r>
    </w:p>
    <w:p w14:paraId="2410A14B" w14:textId="0F8F1EC8" w:rsidR="2B3EBB87" w:rsidRDefault="2B3EBB87" w:rsidP="25FCB2BD">
      <w:pPr>
        <w:pStyle w:val="ListParagraph"/>
        <w:numPr>
          <w:ilvl w:val="0"/>
          <w:numId w:val="1"/>
        </w:numPr>
        <w:rPr>
          <w:rFonts w:ascii="Clario" w:eastAsia="Clario" w:hAnsi="Clario" w:cs="Clario"/>
          <w:sz w:val="24"/>
          <w:szCs w:val="24"/>
        </w:rPr>
      </w:pPr>
      <w:r w:rsidRPr="25FCB2BD">
        <w:rPr>
          <w:rFonts w:ascii="Clario" w:eastAsia="Clario" w:hAnsi="Clario" w:cs="Clario"/>
          <w:sz w:val="24"/>
          <w:szCs w:val="24"/>
        </w:rPr>
        <w:t>What concerns you most about how they use AI in your setting?</w:t>
      </w:r>
    </w:p>
    <w:p w14:paraId="0E4A24C9" w14:textId="70808EB7" w:rsidR="00121EC0" w:rsidRPr="00121EC0" w:rsidRDefault="00121EC0" w:rsidP="00121EC0">
      <w:pPr>
        <w:pStyle w:val="ListParagraph"/>
        <w:numPr>
          <w:ilvl w:val="0"/>
          <w:numId w:val="1"/>
        </w:numPr>
        <w:rPr>
          <w:rFonts w:ascii="Clario" w:eastAsia="Clario" w:hAnsi="Clario" w:cs="Clario"/>
          <w:sz w:val="24"/>
          <w:szCs w:val="24"/>
        </w:rPr>
      </w:pPr>
      <w:r w:rsidRPr="00121EC0">
        <w:rPr>
          <w:rFonts w:ascii="Clario" w:eastAsia="Clario" w:hAnsi="Clario" w:cs="Clario"/>
          <w:sz w:val="22"/>
          <w:szCs w:val="22"/>
        </w:rPr>
        <w:t>Has AI changed how you select summer associates, interns, externs or clerks, or how many you take on?</w:t>
      </w:r>
    </w:p>
    <w:p w14:paraId="4724D6FF" w14:textId="22D70EBD" w:rsidR="2B3EBB87" w:rsidRDefault="2B3EBB87" w:rsidP="25FCB2BD">
      <w:pPr>
        <w:pStyle w:val="ListParagraph"/>
        <w:numPr>
          <w:ilvl w:val="0"/>
          <w:numId w:val="1"/>
        </w:numPr>
        <w:rPr>
          <w:rFonts w:ascii="Clario" w:eastAsia="Clario" w:hAnsi="Clario" w:cs="Clario"/>
          <w:sz w:val="24"/>
          <w:szCs w:val="24"/>
        </w:rPr>
      </w:pPr>
      <w:r w:rsidRPr="25FCB2BD">
        <w:rPr>
          <w:rFonts w:ascii="Clario" w:eastAsia="Clario" w:hAnsi="Clario" w:cs="Clario"/>
          <w:sz w:val="24"/>
          <w:szCs w:val="24"/>
        </w:rPr>
        <w:t>What could the school do before the summer to prepare them?</w:t>
      </w:r>
    </w:p>
    <w:p w14:paraId="5A540209" w14:textId="07C8F069" w:rsidR="25FCB2BD" w:rsidRDefault="25FCB2BD" w:rsidP="25FCB2BD">
      <w:pPr>
        <w:spacing w:after="120"/>
        <w:rPr>
          <w:rFonts w:ascii="Clario" w:eastAsia="Clario" w:hAnsi="Clario" w:cs="Clario"/>
          <w:b/>
          <w:bCs/>
          <w:sz w:val="22"/>
          <w:szCs w:val="22"/>
        </w:rPr>
      </w:pPr>
    </w:p>
    <w:p w14:paraId="37BBCBE5" w14:textId="4571E817" w:rsidR="00E02535" w:rsidRDefault="003963FB" w:rsidP="25FCB2BD">
      <w:pPr>
        <w:pBdr>
          <w:top w:val="single" w:sz="4" w:space="8" w:color="D9D9D9"/>
        </w:pBdr>
        <w:spacing w:before="320" w:after="60"/>
      </w:pPr>
      <w:r w:rsidRPr="25FCB2BD">
        <w:rPr>
          <w:rFonts w:ascii="Clario" w:eastAsia="Clario" w:hAnsi="Clario" w:cs="Clario"/>
          <w:b/>
          <w:bCs/>
          <w:color w:val="D64000"/>
          <w:sz w:val="24"/>
          <w:szCs w:val="24"/>
        </w:rPr>
        <w:t>Q</w:t>
      </w:r>
      <w:r w:rsidR="3D4147D9" w:rsidRPr="25FCB2BD">
        <w:rPr>
          <w:rFonts w:ascii="Clario" w:eastAsia="Clario" w:hAnsi="Clario" w:cs="Clario"/>
          <w:b/>
          <w:bCs/>
          <w:color w:val="D64000"/>
          <w:sz w:val="24"/>
          <w:szCs w:val="24"/>
        </w:rPr>
        <w:t>4</w:t>
      </w:r>
      <w:r w:rsidRPr="25FCB2BD">
        <w:rPr>
          <w:rFonts w:ascii="Clario" w:eastAsia="Clario" w:hAnsi="Clario" w:cs="Clario"/>
          <w:b/>
          <w:bCs/>
          <w:color w:val="D64000"/>
          <w:sz w:val="24"/>
          <w:szCs w:val="24"/>
        </w:rPr>
        <w:t xml:space="preserve">.  </w:t>
      </w:r>
      <w:r w:rsidRPr="25FCB2BD">
        <w:rPr>
          <w:rFonts w:ascii="Clario" w:eastAsia="Clario" w:hAnsi="Clario" w:cs="Clario"/>
          <w:b/>
          <w:bCs/>
          <w:sz w:val="24"/>
          <w:szCs w:val="24"/>
        </w:rPr>
        <w:t>Beyond the tools themselves, what is your assessment of how new graduates understand the professional conduct and ethical obligations that come with using AI, including confidentiality, the duty of competence, disclosure to clients and courts?</w:t>
      </w:r>
    </w:p>
    <w:p w14:paraId="3A89D3B4" w14:textId="77777777" w:rsidR="00E02535" w:rsidRDefault="003963FB">
      <w:pPr>
        <w:spacing w:after="140"/>
      </w:pPr>
      <w:r>
        <w:rPr>
          <w:rFonts w:ascii="Clario" w:eastAsia="Clario" w:hAnsi="Clario" w:cs="Clario"/>
          <w:b/>
          <w:bCs/>
        </w:rPr>
        <w:t xml:space="preserve">Purpose: </w:t>
      </w:r>
      <w:r>
        <w:rPr>
          <w:rFonts w:ascii="Clario" w:eastAsia="Clario" w:hAnsi="Clario" w:cs="Clario"/>
          <w:i/>
          <w:iCs/>
          <w:color w:val="595959"/>
        </w:rPr>
        <w:t>Surfaces the ethical and regulatory dimension that is non-negotiable across all practice settings. Mirrors the Track A and Track B survey question on professional conduct. Academic staff who are skeptical about AI in general are often more receptive to the professional conduct framing: it connects to values they already hold.</w:t>
      </w:r>
    </w:p>
    <w:p w14:paraId="548B6D1E" w14:textId="77777777" w:rsidR="00E02535" w:rsidRDefault="003963FB">
      <w:pPr>
        <w:spacing w:after="90"/>
      </w:pPr>
      <w:r>
        <w:rPr>
          <w:rFonts w:ascii="Clario" w:eastAsia="Clario" w:hAnsi="Clario" w:cs="Clario"/>
          <w:b/>
          <w:bCs/>
          <w:sz w:val="22"/>
          <w:szCs w:val="22"/>
        </w:rPr>
        <w:lastRenderedPageBreak/>
        <w:t>Follow-up probes:</w:t>
      </w:r>
    </w:p>
    <w:p w14:paraId="03E5F1BE" w14:textId="77777777" w:rsidR="00E02535" w:rsidRDefault="003963FB">
      <w:pPr>
        <w:pStyle w:val="ListParagraph"/>
        <w:numPr>
          <w:ilvl w:val="0"/>
          <w:numId w:val="4"/>
        </w:numPr>
        <w:spacing w:after="120"/>
        <w:ind w:left="440"/>
      </w:pPr>
      <w:r>
        <w:rPr>
          <w:rFonts w:ascii="Clario" w:eastAsia="Clario" w:hAnsi="Clario" w:cs="Clario"/>
          <w:sz w:val="22"/>
          <w:szCs w:val="22"/>
        </w:rPr>
        <w:t>Have you seen graduates make mistakes in this area, using AI tools in ways that created confidentiality risks or produced work product that needed substantial correction?</w:t>
      </w:r>
    </w:p>
    <w:p w14:paraId="2777B155" w14:textId="77777777" w:rsidR="00E02535" w:rsidRDefault="003963FB">
      <w:pPr>
        <w:pStyle w:val="ListParagraph"/>
        <w:numPr>
          <w:ilvl w:val="0"/>
          <w:numId w:val="4"/>
        </w:numPr>
        <w:spacing w:after="120"/>
        <w:ind w:left="440"/>
      </w:pPr>
      <w:r>
        <w:rPr>
          <w:rFonts w:ascii="Clario" w:eastAsia="Clario" w:hAnsi="Clario" w:cs="Clario"/>
          <w:sz w:val="22"/>
          <w:szCs w:val="22"/>
        </w:rPr>
        <w:t>Does your organization have an AI use policy? Did your recent hires know what it was before they arrived?</w:t>
      </w:r>
    </w:p>
    <w:p w14:paraId="35DAE345" w14:textId="77777777" w:rsidR="00E02535" w:rsidRDefault="003963FB">
      <w:pPr>
        <w:pStyle w:val="ListParagraph"/>
        <w:numPr>
          <w:ilvl w:val="0"/>
          <w:numId w:val="4"/>
        </w:numPr>
        <w:spacing w:after="120"/>
        <w:ind w:left="440"/>
      </w:pPr>
      <w:r>
        <w:rPr>
          <w:rFonts w:ascii="Clario" w:eastAsia="Clario" w:hAnsi="Clario" w:cs="Clario"/>
          <w:sz w:val="22"/>
          <w:szCs w:val="22"/>
        </w:rPr>
        <w:t>As someone subject to court rules, what do you wish graduates understood before they walked in the door?</w:t>
      </w:r>
    </w:p>
    <w:p w14:paraId="294D9C4B" w14:textId="3C0FC7BA" w:rsidR="00E02535" w:rsidRDefault="003963FB" w:rsidP="25FCB2BD">
      <w:pPr>
        <w:pBdr>
          <w:top w:val="single" w:sz="4" w:space="8" w:color="D9D9D9"/>
        </w:pBdr>
        <w:spacing w:before="320" w:after="60"/>
      </w:pPr>
      <w:r w:rsidRPr="25FCB2BD">
        <w:rPr>
          <w:rFonts w:ascii="Clario" w:eastAsia="Clario" w:hAnsi="Clario" w:cs="Clario"/>
          <w:b/>
          <w:bCs/>
          <w:color w:val="D64000"/>
          <w:sz w:val="24"/>
          <w:szCs w:val="24"/>
        </w:rPr>
        <w:t>Q</w:t>
      </w:r>
      <w:r w:rsidR="612F36F7" w:rsidRPr="25FCB2BD">
        <w:rPr>
          <w:rFonts w:ascii="Clario" w:eastAsia="Clario" w:hAnsi="Clario" w:cs="Clario"/>
          <w:b/>
          <w:bCs/>
          <w:color w:val="D64000"/>
          <w:sz w:val="24"/>
          <w:szCs w:val="24"/>
        </w:rPr>
        <w:t>5</w:t>
      </w:r>
      <w:r w:rsidRPr="25FCB2BD">
        <w:rPr>
          <w:rFonts w:ascii="Clario" w:eastAsia="Clario" w:hAnsi="Clario" w:cs="Clario"/>
          <w:b/>
          <w:bCs/>
          <w:color w:val="D64000"/>
          <w:sz w:val="24"/>
          <w:szCs w:val="24"/>
        </w:rPr>
        <w:t xml:space="preserve">.  </w:t>
      </w:r>
      <w:r w:rsidRPr="25FCB2BD">
        <w:rPr>
          <w:rFonts w:ascii="Clario" w:eastAsia="Clario" w:hAnsi="Clario" w:cs="Clario"/>
          <w:b/>
          <w:bCs/>
          <w:sz w:val="24"/>
          <w:szCs w:val="24"/>
        </w:rPr>
        <w:t>If you imagine a graduate who arrived genuinely well-prepared for AI-integrated practice in your setting, what would that person know, and what would they be able to do?</w:t>
      </w:r>
    </w:p>
    <w:p w14:paraId="2171B500" w14:textId="77777777" w:rsidR="00E02535" w:rsidRDefault="003963FB">
      <w:pPr>
        <w:spacing w:after="140"/>
      </w:pPr>
      <w:r>
        <w:rPr>
          <w:rFonts w:ascii="Clario" w:eastAsia="Clario" w:hAnsi="Clario" w:cs="Clario"/>
          <w:b/>
          <w:bCs/>
        </w:rPr>
        <w:t xml:space="preserve">Purpose: </w:t>
      </w:r>
      <w:r>
        <w:rPr>
          <w:rFonts w:ascii="Clario" w:eastAsia="Clario" w:hAnsi="Clario" w:cs="Clario"/>
          <w:i/>
          <w:iCs/>
          <w:color w:val="595959"/>
        </w:rPr>
        <w:t>Flips from problem to solution. Invites a concrete, positive picture of competency rather than a catalogue of failures. Generates the forward-looking evidence that academic staff can act on: not just what's wrong, but what good looks like. The language "in your setting" is deliberate: it anchors the answer to this employer's specific context, not a generic standard.</w:t>
      </w:r>
    </w:p>
    <w:p w14:paraId="22398CFB" w14:textId="77777777" w:rsidR="00E02535" w:rsidRDefault="003963FB">
      <w:pPr>
        <w:spacing w:after="90"/>
      </w:pPr>
      <w:r>
        <w:rPr>
          <w:rFonts w:ascii="Clario" w:eastAsia="Clario" w:hAnsi="Clario" w:cs="Clario"/>
          <w:b/>
          <w:bCs/>
          <w:sz w:val="22"/>
          <w:szCs w:val="22"/>
        </w:rPr>
        <w:t>Follow-up probes:</w:t>
      </w:r>
    </w:p>
    <w:p w14:paraId="14E233B5" w14:textId="77777777" w:rsidR="00E02535" w:rsidRDefault="003963FB">
      <w:pPr>
        <w:pStyle w:val="ListParagraph"/>
        <w:numPr>
          <w:ilvl w:val="0"/>
          <w:numId w:val="4"/>
        </w:numPr>
        <w:spacing w:after="120"/>
        <w:ind w:left="440"/>
      </w:pPr>
      <w:r>
        <w:rPr>
          <w:rFonts w:ascii="Clario" w:eastAsia="Clario" w:hAnsi="Clario" w:cs="Clario"/>
          <w:sz w:val="22"/>
          <w:szCs w:val="22"/>
        </w:rPr>
        <w:t>Is that realistic for a new graduate, or is it something they can only develop on the job?</w:t>
      </w:r>
    </w:p>
    <w:p w14:paraId="44E654E9" w14:textId="77777777" w:rsidR="00E02535" w:rsidRDefault="003963FB">
      <w:pPr>
        <w:pStyle w:val="ListParagraph"/>
        <w:numPr>
          <w:ilvl w:val="0"/>
          <w:numId w:val="4"/>
        </w:numPr>
        <w:spacing w:after="120"/>
        <w:ind w:left="440"/>
      </w:pPr>
      <w:r>
        <w:rPr>
          <w:rFonts w:ascii="Clario" w:eastAsia="Clario" w:hAnsi="Clario" w:cs="Clario"/>
          <w:sz w:val="22"/>
          <w:szCs w:val="22"/>
        </w:rPr>
        <w:t>What could a law school actually teach, as opposed to what can only be learned in practice?</w:t>
      </w:r>
    </w:p>
    <w:p w14:paraId="53544449" w14:textId="77777777" w:rsidR="00E02535" w:rsidRDefault="003963FB">
      <w:pPr>
        <w:pStyle w:val="ListParagraph"/>
        <w:numPr>
          <w:ilvl w:val="0"/>
          <w:numId w:val="4"/>
        </w:numPr>
        <w:spacing w:after="120"/>
        <w:ind w:left="440"/>
      </w:pPr>
      <w:r>
        <w:rPr>
          <w:rFonts w:ascii="Clario" w:eastAsia="Clario" w:hAnsi="Clario" w:cs="Clario"/>
          <w:sz w:val="22"/>
          <w:szCs w:val="22"/>
        </w:rPr>
        <w:t>If you had to name the single most important competency, what would it be?</w:t>
      </w:r>
    </w:p>
    <w:p w14:paraId="62CC95F6" w14:textId="016917E7" w:rsidR="00E02535" w:rsidRPr="00AF130D" w:rsidRDefault="003963FB" w:rsidP="25FCB2BD">
      <w:pPr>
        <w:pBdr>
          <w:top w:val="single" w:sz="4" w:space="8" w:color="D9D9D9"/>
        </w:pBdr>
        <w:spacing w:before="320" w:after="60"/>
      </w:pPr>
      <w:r w:rsidRPr="25FCB2BD">
        <w:rPr>
          <w:rFonts w:ascii="Clario" w:eastAsia="Clario" w:hAnsi="Clario" w:cs="Clario"/>
          <w:b/>
          <w:bCs/>
          <w:color w:val="D64000"/>
          <w:sz w:val="24"/>
          <w:szCs w:val="24"/>
        </w:rPr>
        <w:t>Q</w:t>
      </w:r>
      <w:r w:rsidR="72500801" w:rsidRPr="25FCB2BD">
        <w:rPr>
          <w:rFonts w:ascii="Clario" w:eastAsia="Clario" w:hAnsi="Clario" w:cs="Clario"/>
          <w:b/>
          <w:bCs/>
          <w:color w:val="D64000"/>
          <w:sz w:val="24"/>
          <w:szCs w:val="24"/>
        </w:rPr>
        <w:t>6</w:t>
      </w:r>
      <w:r w:rsidRPr="25FCB2BD">
        <w:rPr>
          <w:rFonts w:ascii="Clario" w:eastAsia="Clario" w:hAnsi="Clario" w:cs="Clario"/>
          <w:b/>
          <w:bCs/>
          <w:color w:val="D64000"/>
          <w:sz w:val="24"/>
          <w:szCs w:val="24"/>
        </w:rPr>
        <w:t xml:space="preserve">.  </w:t>
      </w:r>
      <w:r w:rsidRPr="25FCB2BD">
        <w:rPr>
          <w:rFonts w:ascii="Clario" w:eastAsia="Clario" w:hAnsi="Clario" w:cs="Clario"/>
          <w:b/>
          <w:bCs/>
          <w:sz w:val="24"/>
          <w:szCs w:val="24"/>
        </w:rPr>
        <w:t>If you were advising the law school directly, what is the single most important thing it could do to better prepare graduates for AI-integrated practice in your setting?</w:t>
      </w:r>
    </w:p>
    <w:p w14:paraId="24F5FAAB" w14:textId="1CB74C2D" w:rsidR="00E02535" w:rsidRPr="005721D0" w:rsidRDefault="003963FB">
      <w:pPr>
        <w:spacing w:after="140"/>
        <w:rPr>
          <w:rFonts w:ascii="Clario" w:eastAsia="Clario" w:hAnsi="Clario" w:cs="Clario"/>
          <w:i/>
          <w:iCs/>
          <w:color w:val="595959"/>
        </w:rPr>
      </w:pPr>
      <w:r w:rsidRPr="00AF130D">
        <w:rPr>
          <w:rFonts w:ascii="Clario" w:eastAsia="Clario" w:hAnsi="Clario" w:cs="Clario"/>
          <w:b/>
          <w:bCs/>
        </w:rPr>
        <w:t xml:space="preserve">Purpose: </w:t>
      </w:r>
      <w:r w:rsidRPr="005721D0">
        <w:rPr>
          <w:rFonts w:ascii="Clario" w:eastAsia="Clario" w:hAnsi="Clario" w:cs="Clario"/>
          <w:i/>
          <w:iCs/>
          <w:color w:val="595959"/>
        </w:rPr>
        <w:t>Closes the sequence by turning the evidence into a recommendation the employer owns. Mirrors the closing question in both employer survey tracks, so focus group findings can be read against survey responses rather than sitting apart from them. Asking for one thing forces a priority instead of a list</w:t>
      </w:r>
      <w:r w:rsidR="00CB4F2E" w:rsidRPr="005721D0">
        <w:rPr>
          <w:rFonts w:ascii="Clario" w:eastAsia="Clario" w:hAnsi="Clario" w:cs="Clario"/>
          <w:i/>
          <w:iCs/>
          <w:color w:val="595959"/>
        </w:rPr>
        <w:t>.</w:t>
      </w:r>
    </w:p>
    <w:p w14:paraId="0B9E4346" w14:textId="77777777" w:rsidR="00E02535" w:rsidRPr="00AF130D" w:rsidRDefault="003963FB">
      <w:pPr>
        <w:spacing w:after="90"/>
      </w:pPr>
      <w:r w:rsidRPr="00AF130D">
        <w:rPr>
          <w:rFonts w:ascii="Clario" w:eastAsia="Clario" w:hAnsi="Clario" w:cs="Clario"/>
          <w:b/>
          <w:bCs/>
          <w:sz w:val="22"/>
          <w:szCs w:val="22"/>
        </w:rPr>
        <w:t>Follow-up probes:</w:t>
      </w:r>
    </w:p>
    <w:p w14:paraId="51877D0A" w14:textId="0BA538B0" w:rsidR="00E02535" w:rsidRPr="00AF130D" w:rsidRDefault="003963FB">
      <w:pPr>
        <w:pStyle w:val="ListParagraph"/>
        <w:numPr>
          <w:ilvl w:val="0"/>
          <w:numId w:val="4"/>
        </w:numPr>
        <w:spacing w:after="120"/>
        <w:ind w:left="440"/>
      </w:pPr>
      <w:r w:rsidRPr="00AF130D">
        <w:rPr>
          <w:rFonts w:ascii="Clario" w:eastAsia="Clario" w:hAnsi="Clario" w:cs="Clario"/>
          <w:sz w:val="22"/>
          <w:szCs w:val="22"/>
        </w:rPr>
        <w:t xml:space="preserve">Is that a change to what is taught, how it is taught, or when in the degree it </w:t>
      </w:r>
      <w:r w:rsidR="00202F79">
        <w:rPr>
          <w:rFonts w:ascii="Clario" w:eastAsia="Clario" w:hAnsi="Clario" w:cs="Clario"/>
          <w:sz w:val="22"/>
          <w:szCs w:val="22"/>
        </w:rPr>
        <w:t>is taught</w:t>
      </w:r>
      <w:r w:rsidRPr="00AF130D">
        <w:rPr>
          <w:rFonts w:ascii="Clario" w:eastAsia="Clario" w:hAnsi="Clario" w:cs="Clario"/>
          <w:sz w:val="22"/>
          <w:szCs w:val="22"/>
        </w:rPr>
        <w:t>?</w:t>
      </w:r>
    </w:p>
    <w:p w14:paraId="55D4D3B4" w14:textId="77777777" w:rsidR="00E02535" w:rsidRPr="00AF130D" w:rsidRDefault="003963FB">
      <w:pPr>
        <w:pStyle w:val="ListParagraph"/>
        <w:numPr>
          <w:ilvl w:val="0"/>
          <w:numId w:val="4"/>
        </w:numPr>
        <w:spacing w:after="120"/>
        <w:ind w:left="440"/>
      </w:pPr>
      <w:r w:rsidRPr="00AF130D">
        <w:rPr>
          <w:rFonts w:ascii="Clario" w:eastAsia="Clario" w:hAnsi="Clario" w:cs="Clario"/>
          <w:sz w:val="22"/>
          <w:szCs w:val="22"/>
        </w:rPr>
        <w:t>How would you know it had worked? What would you see in the graduates you hire?</w:t>
      </w:r>
    </w:p>
    <w:p w14:paraId="60CA8FE2" w14:textId="77777777" w:rsidR="00E02535" w:rsidRPr="00AF130D" w:rsidRDefault="003963FB">
      <w:pPr>
        <w:pStyle w:val="ListParagraph"/>
        <w:numPr>
          <w:ilvl w:val="0"/>
          <w:numId w:val="4"/>
        </w:numPr>
        <w:spacing w:after="120"/>
        <w:ind w:left="440"/>
      </w:pPr>
      <w:r w:rsidRPr="00AF130D">
        <w:rPr>
          <w:rFonts w:ascii="Clario" w:eastAsia="Clario" w:hAnsi="Clario" w:cs="Clario"/>
          <w:sz w:val="22"/>
          <w:szCs w:val="22"/>
        </w:rPr>
        <w:t>What could a law school realistically stop doing, or teach less of, to make room for it?</w:t>
      </w:r>
    </w:p>
    <w:p w14:paraId="55FEB5BB" w14:textId="77777777" w:rsidR="00E02535" w:rsidRDefault="003963FB">
      <w:pPr>
        <w:pStyle w:val="Heading2"/>
        <w:shd w:val="clear" w:color="auto" w:fill="123121"/>
        <w:spacing w:before="360" w:after="200"/>
      </w:pPr>
      <w:r>
        <w:rPr>
          <w:rFonts w:ascii="Clario" w:eastAsia="Clario" w:hAnsi="Clario" w:cs="Clario"/>
          <w:b/>
          <w:bCs/>
          <w:color w:val="FFFFFF"/>
          <w:sz w:val="22"/>
          <w:szCs w:val="22"/>
        </w:rPr>
        <w:t xml:space="preserve">  </w:t>
      </w:r>
      <w:bookmarkStart w:id="8" w:name="_Toc243474858"/>
      <w:r>
        <w:rPr>
          <w:rFonts w:ascii="Clario" w:eastAsia="Clario" w:hAnsi="Clario" w:cs="Clario"/>
          <w:b/>
          <w:bCs/>
          <w:color w:val="FFFFFF"/>
          <w:sz w:val="22"/>
          <w:szCs w:val="22"/>
        </w:rPr>
        <w:t>USING FOCUS GROUP FINDINGS</w:t>
      </w:r>
      <w:bookmarkEnd w:id="8"/>
    </w:p>
    <w:p w14:paraId="278E9E9A" w14:textId="5ECE3458" w:rsidR="00E02535" w:rsidRDefault="003963FB">
      <w:pPr>
        <w:spacing w:before="120" w:after="120"/>
      </w:pPr>
      <w:r w:rsidRPr="25FCB2BD">
        <w:rPr>
          <w:rFonts w:ascii="Clario" w:eastAsia="Clario" w:hAnsi="Clario" w:cs="Clario"/>
          <w:sz w:val="22"/>
          <w:szCs w:val="22"/>
        </w:rPr>
        <w:t>Focus group conversation</w:t>
      </w:r>
      <w:r w:rsidR="19CE056E" w:rsidRPr="25FCB2BD">
        <w:rPr>
          <w:rFonts w:ascii="Clario" w:eastAsia="Clario" w:hAnsi="Clario" w:cs="Clario"/>
          <w:sz w:val="22"/>
          <w:szCs w:val="22"/>
        </w:rPr>
        <w:t>, whether they be for a one-on-one conversation or with a small group,</w:t>
      </w:r>
      <w:r w:rsidRPr="25FCB2BD">
        <w:rPr>
          <w:rFonts w:ascii="Clario" w:eastAsia="Clario" w:hAnsi="Clario" w:cs="Clario"/>
          <w:sz w:val="22"/>
          <w:szCs w:val="22"/>
        </w:rPr>
        <w:t xml:space="preserve"> generate three kinds of usable evidence:</w:t>
      </w:r>
    </w:p>
    <w:p w14:paraId="2567415B" w14:textId="77777777" w:rsidR="00E02535" w:rsidRDefault="003963FB">
      <w:pPr>
        <w:pStyle w:val="ListParagraph"/>
        <w:numPr>
          <w:ilvl w:val="0"/>
          <w:numId w:val="4"/>
        </w:numPr>
        <w:spacing w:after="120"/>
        <w:ind w:left="440"/>
      </w:pPr>
      <w:r>
        <w:rPr>
          <w:rFonts w:ascii="Clario" w:eastAsia="Clario" w:hAnsi="Clario" w:cs="Clario"/>
          <w:sz w:val="22"/>
          <w:szCs w:val="22"/>
        </w:rPr>
        <w:t>Specific accounts: concrete situations where graduate preparation made a difference. These are the most powerful evidence for academic staff. Collect them carefully, get permission to use them, and deploy them in the right rooms.</w:t>
      </w:r>
    </w:p>
    <w:p w14:paraId="0542F782" w14:textId="77777777" w:rsidR="00E02535" w:rsidRDefault="003963FB">
      <w:pPr>
        <w:pStyle w:val="ListParagraph"/>
        <w:numPr>
          <w:ilvl w:val="0"/>
          <w:numId w:val="4"/>
        </w:numPr>
        <w:spacing w:after="120"/>
        <w:ind w:left="440"/>
      </w:pPr>
      <w:r>
        <w:rPr>
          <w:rFonts w:ascii="Clario" w:eastAsia="Clario" w:hAnsi="Clario" w:cs="Clario"/>
          <w:sz w:val="22"/>
          <w:szCs w:val="22"/>
        </w:rPr>
        <w:t>Pattern observations: recurring themes across multiple employers, the gap that shows up in every conversation regardless of practice setting. These justify curriculum-wide action rather than targeted course changes.</w:t>
      </w:r>
    </w:p>
    <w:p w14:paraId="751DF996" w14:textId="1645C1C1" w:rsidR="00E02535" w:rsidRDefault="003963FB">
      <w:pPr>
        <w:pStyle w:val="ListParagraph"/>
        <w:numPr>
          <w:ilvl w:val="0"/>
          <w:numId w:val="4"/>
        </w:numPr>
        <w:spacing w:after="120"/>
        <w:ind w:left="440"/>
      </w:pPr>
      <w:r w:rsidRPr="136AD9B7">
        <w:rPr>
          <w:rFonts w:ascii="Clario" w:eastAsia="Clario" w:hAnsi="Clario" w:cs="Clario"/>
          <w:sz w:val="22"/>
          <w:szCs w:val="22"/>
        </w:rPr>
        <w:t xml:space="preserve">Positive models: descriptions of what well-prepared graduates do. These are what </w:t>
      </w:r>
      <w:r w:rsidR="2F4BC2DB" w:rsidRPr="136AD9B7">
        <w:rPr>
          <w:rFonts w:ascii="Clario" w:eastAsia="Clario" w:hAnsi="Clario" w:cs="Clario"/>
          <w:sz w:val="22"/>
          <w:szCs w:val="22"/>
        </w:rPr>
        <w:t xml:space="preserve">could be used for any </w:t>
      </w:r>
      <w:r w:rsidRPr="136AD9B7">
        <w:rPr>
          <w:rFonts w:ascii="Clario" w:eastAsia="Clario" w:hAnsi="Clario" w:cs="Clario"/>
          <w:sz w:val="22"/>
          <w:szCs w:val="22"/>
        </w:rPr>
        <w:t xml:space="preserve">curriculum </w:t>
      </w:r>
      <w:r w:rsidR="5EAA8085" w:rsidRPr="136AD9B7">
        <w:rPr>
          <w:rFonts w:ascii="Clario" w:eastAsia="Clario" w:hAnsi="Clario" w:cs="Clario"/>
          <w:sz w:val="22"/>
          <w:szCs w:val="22"/>
        </w:rPr>
        <w:t>adjustments that should be necessary</w:t>
      </w:r>
      <w:r w:rsidRPr="136AD9B7">
        <w:rPr>
          <w:rFonts w:ascii="Clario" w:eastAsia="Clario" w:hAnsi="Clario" w:cs="Clario"/>
          <w:sz w:val="22"/>
          <w:szCs w:val="22"/>
        </w:rPr>
        <w:t>.</w:t>
      </w:r>
    </w:p>
    <w:p w14:paraId="19FCD4A6" w14:textId="77777777" w:rsidR="00E02535" w:rsidRDefault="003963FB">
      <w:pPr>
        <w:pStyle w:val="Heading1"/>
        <w:pageBreakBefore/>
        <w:pBdr>
          <w:bottom w:val="single" w:sz="12" w:space="4" w:color="D64000"/>
        </w:pBdr>
        <w:spacing w:after="160"/>
      </w:pPr>
      <w:bookmarkStart w:id="9" w:name="_Toc243474859"/>
      <w:r>
        <w:rPr>
          <w:rFonts w:ascii="Clario Medium" w:eastAsia="Clario" w:hAnsi="Clario Medium" w:cs="Clario Medium"/>
          <w:b/>
          <w:bCs/>
          <w:color w:val="D64000"/>
          <w:sz w:val="36"/>
          <w:szCs w:val="36"/>
        </w:rPr>
        <w:lastRenderedPageBreak/>
        <w:t>Acknowledgements</w:t>
      </w:r>
      <w:bookmarkEnd w:id="9"/>
    </w:p>
    <w:p w14:paraId="1376A02D" w14:textId="77777777" w:rsidR="00E02535" w:rsidRDefault="003963FB">
      <w:pPr>
        <w:spacing w:before="40" w:after="280"/>
      </w:pPr>
      <w:r>
        <w:rPr>
          <w:rFonts w:ascii="Clario" w:eastAsia="Clario" w:hAnsi="Clario" w:cs="Clario"/>
          <w:color w:val="212322"/>
          <w:sz w:val="22"/>
          <w:szCs w:val="22"/>
        </w:rPr>
        <w:t>This guide was developed and refined with the generous expertise of the following contributors and reviewers, whose insight shaped its design.</w:t>
      </w:r>
    </w:p>
    <w:tbl>
      <w:tblPr>
        <w:tblW w:w="10207" w:type="dxa"/>
        <w:tblCellMar>
          <w:left w:w="0" w:type="dxa"/>
          <w:right w:w="260" w:type="dxa"/>
        </w:tblCellMar>
        <w:tblLook w:val="0600" w:firstRow="0" w:lastRow="0" w:firstColumn="0" w:lastColumn="0" w:noHBand="1" w:noVBand="1"/>
      </w:tblPr>
      <w:tblGrid>
        <w:gridCol w:w="5103"/>
        <w:gridCol w:w="5104"/>
      </w:tblGrid>
      <w:tr w:rsidR="00E02535" w14:paraId="184A9EAF" w14:textId="77777777">
        <w:tc>
          <w:tcPr>
            <w:tcW w:w="5103" w:type="dxa"/>
          </w:tcPr>
          <w:p w14:paraId="48EB96D8" w14:textId="77777777" w:rsidR="00E02535" w:rsidRDefault="003963FB">
            <w:pPr>
              <w:spacing w:before="60" w:line="252" w:lineRule="auto"/>
              <w:contextualSpacing/>
            </w:pPr>
            <w:r>
              <w:rPr>
                <w:rFonts w:ascii="Clario" w:eastAsia="Clario" w:hAnsi="Clario" w:cs="Clario"/>
                <w:b/>
                <w:bCs/>
                <w:color w:val="212322"/>
                <w:sz w:val="22"/>
                <w:szCs w:val="22"/>
              </w:rPr>
              <w:t>Dean Soledad Atienza</w:t>
            </w:r>
          </w:p>
          <w:p w14:paraId="1106B4AA" w14:textId="77777777" w:rsidR="00E02535" w:rsidRDefault="003963FB">
            <w:pPr>
              <w:spacing w:after="260" w:line="252" w:lineRule="auto"/>
            </w:pPr>
            <w:r>
              <w:rPr>
                <w:rFonts w:ascii="Clario" w:eastAsia="Clario" w:hAnsi="Clario" w:cs="Clario"/>
                <w:color w:val="595959"/>
              </w:rPr>
              <w:t>IE Law School</w:t>
            </w:r>
          </w:p>
        </w:tc>
        <w:tc>
          <w:tcPr>
            <w:tcW w:w="5103" w:type="dxa"/>
          </w:tcPr>
          <w:p w14:paraId="7D1F7A5E" w14:textId="77777777" w:rsidR="00F4093D" w:rsidRDefault="00F4093D" w:rsidP="00F4093D">
            <w:pPr>
              <w:spacing w:before="60" w:line="252" w:lineRule="auto"/>
              <w:contextualSpacing/>
              <w:rPr>
                <w:rFonts w:ascii="Clario" w:eastAsia="Clario" w:hAnsi="Clario" w:cs="Clario"/>
                <w:b/>
                <w:bCs/>
                <w:color w:val="212322"/>
                <w:sz w:val="22"/>
                <w:szCs w:val="22"/>
              </w:rPr>
            </w:pPr>
            <w:r>
              <w:rPr>
                <w:rFonts w:ascii="Clario" w:eastAsia="Clario" w:hAnsi="Clario" w:cs="Clario"/>
                <w:b/>
                <w:bCs/>
                <w:color w:val="212322"/>
                <w:sz w:val="22"/>
                <w:szCs w:val="22"/>
              </w:rPr>
              <w:t>Judge Jennifer D. Bailey (Ret.)</w:t>
            </w:r>
          </w:p>
          <w:p w14:paraId="3E95EA4F" w14:textId="3BA673BE" w:rsidR="00E02535" w:rsidRDefault="00F4093D" w:rsidP="00F4093D">
            <w:pPr>
              <w:spacing w:after="260" w:line="252" w:lineRule="auto"/>
            </w:pPr>
            <w:r>
              <w:rPr>
                <w:rFonts w:ascii="Clario" w:eastAsia="Clario" w:hAnsi="Clario" w:cs="Clario"/>
                <w:color w:val="595959"/>
              </w:rPr>
              <w:t>Bailey Judicial Solutions, LLC</w:t>
            </w:r>
          </w:p>
        </w:tc>
      </w:tr>
      <w:tr w:rsidR="00E02535" w14:paraId="2B03CCDB" w14:textId="77777777">
        <w:tc>
          <w:tcPr>
            <w:tcW w:w="5103" w:type="dxa"/>
          </w:tcPr>
          <w:p w14:paraId="01B66C15" w14:textId="77777777" w:rsidR="00E02535" w:rsidRDefault="003963FB">
            <w:pPr>
              <w:spacing w:before="60" w:line="252" w:lineRule="auto"/>
              <w:contextualSpacing/>
            </w:pPr>
            <w:r>
              <w:rPr>
                <w:rFonts w:ascii="Clario" w:eastAsia="Clario" w:hAnsi="Clario" w:cs="Clario"/>
                <w:b/>
                <w:bCs/>
                <w:color w:val="212322"/>
                <w:sz w:val="22"/>
                <w:szCs w:val="22"/>
              </w:rPr>
              <w:t>Professor Sara Berman</w:t>
            </w:r>
          </w:p>
          <w:p w14:paraId="4E5D0033" w14:textId="77777777" w:rsidR="00E02535" w:rsidRDefault="003963FB">
            <w:pPr>
              <w:spacing w:after="260" w:line="252" w:lineRule="auto"/>
            </w:pPr>
            <w:r>
              <w:rPr>
                <w:rFonts w:ascii="Clario" w:eastAsia="Clario" w:hAnsi="Clario" w:cs="Clario"/>
                <w:color w:val="595959"/>
              </w:rPr>
              <w:t>USC Gould School of Law</w:t>
            </w:r>
          </w:p>
        </w:tc>
        <w:tc>
          <w:tcPr>
            <w:tcW w:w="5103" w:type="dxa"/>
          </w:tcPr>
          <w:p w14:paraId="60DD8290" w14:textId="77777777" w:rsidR="00E02535" w:rsidRDefault="003963FB">
            <w:pPr>
              <w:spacing w:before="60" w:line="252" w:lineRule="auto"/>
              <w:contextualSpacing/>
            </w:pPr>
            <w:r>
              <w:rPr>
                <w:rFonts w:ascii="Clario" w:eastAsia="Clario" w:hAnsi="Clario" w:cs="Clario"/>
                <w:b/>
                <w:bCs/>
                <w:color w:val="212322"/>
                <w:sz w:val="22"/>
                <w:szCs w:val="22"/>
              </w:rPr>
              <w:t>Dean Nick James</w:t>
            </w:r>
          </w:p>
          <w:p w14:paraId="2CE6BD95" w14:textId="77777777" w:rsidR="00E02535" w:rsidRDefault="003963FB">
            <w:pPr>
              <w:spacing w:after="260" w:line="252" w:lineRule="auto"/>
            </w:pPr>
            <w:r>
              <w:rPr>
                <w:rFonts w:ascii="Clario" w:eastAsia="Clario" w:hAnsi="Clario" w:cs="Clario"/>
                <w:color w:val="595959"/>
              </w:rPr>
              <w:t>Bond University</w:t>
            </w:r>
          </w:p>
        </w:tc>
      </w:tr>
      <w:tr w:rsidR="00E02535" w14:paraId="686AD03A" w14:textId="77777777">
        <w:tc>
          <w:tcPr>
            <w:tcW w:w="5103" w:type="dxa"/>
          </w:tcPr>
          <w:p w14:paraId="4BD6AB39" w14:textId="77777777" w:rsidR="00E02535" w:rsidRDefault="003963FB">
            <w:pPr>
              <w:spacing w:before="60" w:line="252" w:lineRule="auto"/>
              <w:contextualSpacing/>
            </w:pPr>
            <w:r>
              <w:rPr>
                <w:rFonts w:ascii="Clario" w:eastAsia="Clario" w:hAnsi="Clario" w:cs="Clario"/>
                <w:b/>
                <w:bCs/>
                <w:color w:val="212322"/>
                <w:sz w:val="22"/>
                <w:szCs w:val="22"/>
              </w:rPr>
              <w:t>Dean Johanna Kalb</w:t>
            </w:r>
          </w:p>
          <w:p w14:paraId="0573965B" w14:textId="77777777" w:rsidR="00E02535" w:rsidRDefault="003963FB">
            <w:pPr>
              <w:spacing w:after="260" w:line="252" w:lineRule="auto"/>
            </w:pPr>
            <w:r>
              <w:rPr>
                <w:rFonts w:ascii="Clario" w:eastAsia="Clario" w:hAnsi="Clario" w:cs="Clario"/>
                <w:color w:val="595959"/>
              </w:rPr>
              <w:t>University of San Francisco School of Law</w:t>
            </w:r>
          </w:p>
        </w:tc>
        <w:tc>
          <w:tcPr>
            <w:tcW w:w="5103" w:type="dxa"/>
          </w:tcPr>
          <w:p w14:paraId="3E5BE312" w14:textId="77777777" w:rsidR="00E02535" w:rsidRDefault="003963FB">
            <w:pPr>
              <w:spacing w:before="60" w:line="252" w:lineRule="auto"/>
              <w:contextualSpacing/>
            </w:pPr>
            <w:r>
              <w:rPr>
                <w:rFonts w:ascii="Clario" w:eastAsia="Clario" w:hAnsi="Clario" w:cs="Clario"/>
                <w:b/>
                <w:bCs/>
                <w:color w:val="212322"/>
                <w:sz w:val="22"/>
                <w:szCs w:val="22"/>
              </w:rPr>
              <w:t>Dean William Koch</w:t>
            </w:r>
          </w:p>
          <w:p w14:paraId="6623045A" w14:textId="77777777" w:rsidR="00E02535" w:rsidRDefault="003963FB">
            <w:pPr>
              <w:spacing w:after="260" w:line="252" w:lineRule="auto"/>
            </w:pPr>
            <w:r>
              <w:rPr>
                <w:rFonts w:ascii="Clario" w:eastAsia="Clario" w:hAnsi="Clario" w:cs="Clario"/>
                <w:color w:val="595959"/>
              </w:rPr>
              <w:t>Nashville School of Law</w:t>
            </w:r>
          </w:p>
        </w:tc>
      </w:tr>
      <w:tr w:rsidR="00E02535" w14:paraId="656FEEB9" w14:textId="77777777">
        <w:tc>
          <w:tcPr>
            <w:tcW w:w="5103" w:type="dxa"/>
          </w:tcPr>
          <w:p w14:paraId="64C3319C" w14:textId="77777777" w:rsidR="00E02535" w:rsidRDefault="003963FB">
            <w:pPr>
              <w:spacing w:before="60" w:line="252" w:lineRule="auto"/>
              <w:contextualSpacing/>
            </w:pPr>
            <w:r>
              <w:rPr>
                <w:rFonts w:ascii="Clario" w:eastAsia="Clario" w:hAnsi="Clario" w:cs="Clario"/>
                <w:b/>
                <w:bCs/>
                <w:color w:val="212322"/>
                <w:sz w:val="22"/>
                <w:szCs w:val="22"/>
              </w:rPr>
              <w:t>Dean Stefanie Lindquist</w:t>
            </w:r>
          </w:p>
          <w:p w14:paraId="2F532722" w14:textId="77777777" w:rsidR="00E02535" w:rsidRDefault="003963FB">
            <w:pPr>
              <w:spacing w:after="260" w:line="252" w:lineRule="auto"/>
            </w:pPr>
            <w:r>
              <w:rPr>
                <w:rFonts w:ascii="Clario" w:eastAsia="Clario" w:hAnsi="Clario" w:cs="Clario"/>
                <w:color w:val="595959"/>
              </w:rPr>
              <w:t>Washington University School of Law</w:t>
            </w:r>
          </w:p>
        </w:tc>
        <w:tc>
          <w:tcPr>
            <w:tcW w:w="5103" w:type="dxa"/>
          </w:tcPr>
          <w:p w14:paraId="241107B0" w14:textId="77777777" w:rsidR="00E02535" w:rsidRDefault="003963FB">
            <w:pPr>
              <w:spacing w:before="60" w:line="252" w:lineRule="auto"/>
              <w:contextualSpacing/>
            </w:pPr>
            <w:r>
              <w:rPr>
                <w:rFonts w:ascii="Clario" w:eastAsia="Clario" w:hAnsi="Clario" w:cs="Clario"/>
                <w:b/>
                <w:bCs/>
                <w:color w:val="212322"/>
                <w:sz w:val="22"/>
                <w:szCs w:val="22"/>
              </w:rPr>
              <w:t>Dean Mark Martin</w:t>
            </w:r>
          </w:p>
          <w:p w14:paraId="3C60B797" w14:textId="77777777" w:rsidR="00E02535" w:rsidRDefault="003963FB">
            <w:pPr>
              <w:spacing w:after="260" w:line="252" w:lineRule="auto"/>
            </w:pPr>
            <w:r>
              <w:rPr>
                <w:rFonts w:ascii="Clario" w:eastAsia="Clario" w:hAnsi="Clario" w:cs="Clario"/>
                <w:color w:val="595959"/>
              </w:rPr>
              <w:t>High Point University</w:t>
            </w:r>
          </w:p>
        </w:tc>
      </w:tr>
      <w:tr w:rsidR="00E02535" w14:paraId="6246D4A5" w14:textId="77777777">
        <w:tc>
          <w:tcPr>
            <w:tcW w:w="5103" w:type="dxa"/>
          </w:tcPr>
          <w:p w14:paraId="12262B5E" w14:textId="77777777" w:rsidR="00E02535" w:rsidRDefault="003963FB">
            <w:pPr>
              <w:spacing w:before="60" w:line="252" w:lineRule="auto"/>
              <w:contextualSpacing/>
            </w:pPr>
            <w:r>
              <w:rPr>
                <w:rFonts w:ascii="Clario" w:eastAsia="Clario" w:hAnsi="Clario" w:cs="Clario"/>
                <w:b/>
                <w:bCs/>
                <w:color w:val="212322"/>
                <w:sz w:val="22"/>
                <w:szCs w:val="22"/>
              </w:rPr>
              <w:t>Judge Samuel Thumma</w:t>
            </w:r>
          </w:p>
          <w:p w14:paraId="5D5A67CC" w14:textId="77777777" w:rsidR="00E02535" w:rsidRDefault="003963FB">
            <w:pPr>
              <w:spacing w:after="260" w:line="252" w:lineRule="auto"/>
            </w:pPr>
            <w:r>
              <w:rPr>
                <w:rFonts w:ascii="Clario" w:eastAsia="Clario" w:hAnsi="Clario" w:cs="Clario"/>
                <w:color w:val="595959"/>
              </w:rPr>
              <w:t>Arizona Court of Appeals, Division One</w:t>
            </w:r>
          </w:p>
        </w:tc>
        <w:tc>
          <w:tcPr>
            <w:tcW w:w="5103" w:type="dxa"/>
          </w:tcPr>
          <w:p w14:paraId="704CF538" w14:textId="77777777" w:rsidR="00E02535" w:rsidRDefault="003963FB">
            <w:pPr>
              <w:spacing w:before="60" w:line="252" w:lineRule="auto"/>
              <w:contextualSpacing/>
            </w:pPr>
            <w:r>
              <w:rPr>
                <w:rFonts w:ascii="Clario" w:eastAsia="Clario" w:hAnsi="Clario" w:cs="Clario"/>
                <w:b/>
                <w:bCs/>
                <w:color w:val="212322"/>
                <w:sz w:val="22"/>
                <w:szCs w:val="22"/>
              </w:rPr>
              <w:t>Dean Donna Young</w:t>
            </w:r>
          </w:p>
          <w:p w14:paraId="536845B3" w14:textId="77777777" w:rsidR="00E02535" w:rsidRDefault="003963FB">
            <w:pPr>
              <w:spacing w:after="260" w:line="252" w:lineRule="auto"/>
            </w:pPr>
            <w:r>
              <w:rPr>
                <w:rFonts w:ascii="Clario" w:eastAsia="Clario" w:hAnsi="Clario" w:cs="Clario"/>
                <w:color w:val="595959"/>
              </w:rPr>
              <w:t>Lincoln Alexander School of Law, Toronto Metropolitan University</w:t>
            </w:r>
          </w:p>
        </w:tc>
      </w:tr>
    </w:tbl>
    <w:p w14:paraId="52589801" w14:textId="77777777" w:rsidR="00E02535" w:rsidRDefault="00E02535"/>
    <w:sectPr w:rsidR="00E02535">
      <w:headerReference w:type="default" r:id="rId17"/>
      <w:footerReference w:type="default" r:id="rId18"/>
      <w:pgSz w:w="11907" w:h="16840" w:code="9"/>
      <w:pgMar w:top="1134" w:right="850" w:bottom="1134" w:left="850"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60E90" w14:textId="77777777" w:rsidR="009A5EF9" w:rsidRDefault="009A5EF9">
      <w:r>
        <w:separator/>
      </w:r>
    </w:p>
  </w:endnote>
  <w:endnote w:type="continuationSeparator" w:id="0">
    <w:p w14:paraId="16ED7ABE" w14:textId="77777777" w:rsidR="009A5EF9" w:rsidRDefault="009A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lario Medium">
    <w:altName w:val="Calibri"/>
    <w:panose1 w:val="020B0603030300000000"/>
    <w:charset w:val="00"/>
    <w:family w:val="swiss"/>
    <w:pitch w:val="variable"/>
    <w:sig w:usb0="00000287" w:usb1="00000000" w:usb2="00000000" w:usb3="00000000" w:csb0="0000009F" w:csb1="00000000"/>
  </w:font>
  <w:font w:name="Knowledge Black">
    <w:panose1 w:val="020B0503000000020004"/>
    <w:charset w:val="00"/>
    <w:family w:val="swiss"/>
    <w:notTrueType/>
    <w:pitch w:val="variable"/>
    <w:sig w:usb0="A00002E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Clario">
    <w:altName w:val="Calibri"/>
    <w:panose1 w:val="020B0503030300000000"/>
    <w:charset w:val="00"/>
    <w:family w:val="swiss"/>
    <w:pitch w:val="variable"/>
    <w:sig w:usb0="00000287" w:usb1="00000000" w:usb2="00000000" w:usb3="00000000" w:csb0="0000009F" w:csb1="00000000"/>
  </w:font>
  <w:font w:name="Knowledge Regular">
    <w:panose1 w:val="020B0506000000020004"/>
    <w:charset w:val="00"/>
    <w:family w:val="swiss"/>
    <w:notTrueType/>
    <w:pitch w:val="variable"/>
    <w:sig w:usb0="A00002EF" w:usb1="5000204A"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CBCC"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Employer Focus Group Guide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4A86D"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Employer Focus Group Guide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7FA70"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Employer Focus Group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7ACC4" w14:textId="77777777" w:rsidR="009A5EF9" w:rsidRDefault="009A5EF9">
      <w:r>
        <w:separator/>
      </w:r>
    </w:p>
  </w:footnote>
  <w:footnote w:type="continuationSeparator" w:id="0">
    <w:p w14:paraId="5F7591D0" w14:textId="77777777" w:rsidR="009A5EF9" w:rsidRDefault="009A5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031BA" w14:textId="77777777" w:rsidR="00C03E86" w:rsidRDefault="00CA71C6">
    <w:pPr>
      <w:pBdr>
        <w:bottom w:val="single" w:sz="4" w:space="6" w:color="D64000"/>
      </w:pBdr>
      <w:tabs>
        <w:tab w:val="right" w:pos="10207"/>
      </w:tabs>
    </w:pPr>
    <w:r>
      <w:rPr>
        <w:noProof/>
      </w:rPr>
      <w:drawing>
        <wp:inline distT="0" distB="0" distL="0" distR="0" wp14:anchorId="3441198D" wp14:editId="407DF7B6">
          <wp:extent cx="1091909" cy="341085"/>
          <wp:effectExtent l="0" t="0" r="0" b="0"/>
          <wp:docPr id="1803985227"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43DD" w14:textId="001659C0" w:rsidR="00F404B8" w:rsidRDefault="00F404B8">
    <w:pPr>
      <w:pStyle w:val="Header"/>
    </w:pPr>
    <w:r>
      <w:rPr>
        <w:noProof/>
      </w:rPr>
      <w:drawing>
        <wp:inline distT="0" distB="0" distL="0" distR="0" wp14:anchorId="747DC9BA" wp14:editId="18B0E081">
          <wp:extent cx="1091909" cy="341085"/>
          <wp:effectExtent l="0" t="0" r="0" b="0"/>
          <wp:docPr id="1243415381"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13D4" w14:textId="77777777" w:rsidR="00C03E86" w:rsidRDefault="00CA71C6">
    <w:pPr>
      <w:pBdr>
        <w:bottom w:val="single" w:sz="4" w:space="6" w:color="D64000"/>
      </w:pBdr>
      <w:tabs>
        <w:tab w:val="right" w:pos="10207"/>
      </w:tabs>
    </w:pPr>
    <w:r>
      <w:rPr>
        <w:noProof/>
      </w:rPr>
      <w:drawing>
        <wp:inline distT="0" distB="0" distL="0" distR="0" wp14:anchorId="3B94D184" wp14:editId="57368AF8">
          <wp:extent cx="1091909" cy="341085"/>
          <wp:effectExtent l="0" t="0" r="0" b="0"/>
          <wp:docPr id="1299874234"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4870"/>
    <w:multiLevelType w:val="hybridMultilevel"/>
    <w:tmpl w:val="7A7EC70A"/>
    <w:lvl w:ilvl="0" w:tplc="440CD1A6">
      <w:start w:val="1"/>
      <w:numFmt w:val="bullet"/>
      <w:lvlText w:val="☐"/>
      <w:lvlJc w:val="left"/>
      <w:pPr>
        <w:ind w:left="450" w:hanging="260"/>
      </w:pPr>
      <w:rPr>
        <w:rFonts w:ascii="Calibri" w:eastAsia="Calibri" w:hAnsi="Calibri" w:cs="Calibri"/>
        <w:sz w:val="22"/>
        <w:szCs w:val="22"/>
      </w:rPr>
    </w:lvl>
    <w:lvl w:ilvl="1" w:tplc="5F82609C">
      <w:numFmt w:val="decimal"/>
      <w:lvlText w:val=""/>
      <w:lvlJc w:val="left"/>
    </w:lvl>
    <w:lvl w:ilvl="2" w:tplc="C22CA614">
      <w:numFmt w:val="decimal"/>
      <w:lvlText w:val=""/>
      <w:lvlJc w:val="left"/>
    </w:lvl>
    <w:lvl w:ilvl="3" w:tplc="C02CCB18">
      <w:numFmt w:val="decimal"/>
      <w:lvlText w:val=""/>
      <w:lvlJc w:val="left"/>
    </w:lvl>
    <w:lvl w:ilvl="4" w:tplc="FC94689A">
      <w:numFmt w:val="decimal"/>
      <w:lvlText w:val=""/>
      <w:lvlJc w:val="left"/>
    </w:lvl>
    <w:lvl w:ilvl="5" w:tplc="5232D598">
      <w:numFmt w:val="decimal"/>
      <w:lvlText w:val=""/>
      <w:lvlJc w:val="left"/>
    </w:lvl>
    <w:lvl w:ilvl="6" w:tplc="D172A976">
      <w:numFmt w:val="decimal"/>
      <w:lvlText w:val=""/>
      <w:lvlJc w:val="left"/>
    </w:lvl>
    <w:lvl w:ilvl="7" w:tplc="C1488D9C">
      <w:numFmt w:val="decimal"/>
      <w:lvlText w:val=""/>
      <w:lvlJc w:val="left"/>
    </w:lvl>
    <w:lvl w:ilvl="8" w:tplc="FABA3CAA">
      <w:numFmt w:val="decimal"/>
      <w:lvlText w:val=""/>
      <w:lvlJc w:val="left"/>
    </w:lvl>
  </w:abstractNum>
  <w:abstractNum w:abstractNumId="1" w15:restartNumberingAfterBreak="0">
    <w:nsid w:val="094C4752"/>
    <w:multiLevelType w:val="hybridMultilevel"/>
    <w:tmpl w:val="A2647DEE"/>
    <w:lvl w:ilvl="0" w:tplc="72A6BE0C">
      <w:start w:val="1"/>
      <w:numFmt w:val="bullet"/>
      <w:lvlText w:val="●"/>
      <w:lvlJc w:val="left"/>
      <w:pPr>
        <w:ind w:left="720" w:hanging="360"/>
      </w:pPr>
    </w:lvl>
    <w:lvl w:ilvl="1" w:tplc="8C2A90EA">
      <w:start w:val="1"/>
      <w:numFmt w:val="bullet"/>
      <w:lvlText w:val="○"/>
      <w:lvlJc w:val="left"/>
      <w:pPr>
        <w:ind w:left="1440" w:hanging="360"/>
      </w:pPr>
    </w:lvl>
    <w:lvl w:ilvl="2" w:tplc="DA28BDD0">
      <w:start w:val="1"/>
      <w:numFmt w:val="bullet"/>
      <w:lvlText w:val="■"/>
      <w:lvlJc w:val="left"/>
      <w:pPr>
        <w:ind w:left="2160" w:hanging="360"/>
      </w:pPr>
    </w:lvl>
    <w:lvl w:ilvl="3" w:tplc="63A40248">
      <w:start w:val="1"/>
      <w:numFmt w:val="bullet"/>
      <w:lvlText w:val="●"/>
      <w:lvlJc w:val="left"/>
      <w:pPr>
        <w:ind w:left="2880" w:hanging="360"/>
      </w:pPr>
    </w:lvl>
    <w:lvl w:ilvl="4" w:tplc="CF766AAE">
      <w:start w:val="1"/>
      <w:numFmt w:val="bullet"/>
      <w:lvlText w:val="○"/>
      <w:lvlJc w:val="left"/>
      <w:pPr>
        <w:ind w:left="3600" w:hanging="360"/>
      </w:pPr>
    </w:lvl>
    <w:lvl w:ilvl="5" w:tplc="FD3ECD1E">
      <w:start w:val="1"/>
      <w:numFmt w:val="bullet"/>
      <w:lvlText w:val="■"/>
      <w:lvlJc w:val="left"/>
      <w:pPr>
        <w:ind w:left="4320" w:hanging="360"/>
      </w:pPr>
    </w:lvl>
    <w:lvl w:ilvl="6" w:tplc="9A726D54">
      <w:start w:val="1"/>
      <w:numFmt w:val="bullet"/>
      <w:lvlText w:val="●"/>
      <w:lvlJc w:val="left"/>
      <w:pPr>
        <w:ind w:left="5040" w:hanging="360"/>
      </w:pPr>
    </w:lvl>
    <w:lvl w:ilvl="7" w:tplc="8BB051A6">
      <w:start w:val="1"/>
      <w:numFmt w:val="bullet"/>
      <w:lvlText w:val="●"/>
      <w:lvlJc w:val="left"/>
      <w:pPr>
        <w:ind w:left="5760" w:hanging="360"/>
      </w:pPr>
    </w:lvl>
    <w:lvl w:ilvl="8" w:tplc="BAF6EF9A">
      <w:start w:val="1"/>
      <w:numFmt w:val="bullet"/>
      <w:lvlText w:val="●"/>
      <w:lvlJc w:val="left"/>
      <w:pPr>
        <w:ind w:left="6480" w:hanging="360"/>
      </w:pPr>
    </w:lvl>
  </w:abstractNum>
  <w:abstractNum w:abstractNumId="2" w15:restartNumberingAfterBreak="0">
    <w:nsid w:val="117B4F01"/>
    <w:multiLevelType w:val="hybridMultilevel"/>
    <w:tmpl w:val="2C4604D0"/>
    <w:lvl w:ilvl="0" w:tplc="1CC4E1CA">
      <w:start w:val="1"/>
      <w:numFmt w:val="bullet"/>
      <w:lvlText w:val="•"/>
      <w:lvlJc w:val="left"/>
      <w:pPr>
        <w:ind w:left="620" w:hanging="300"/>
      </w:pPr>
      <w:rPr>
        <w:rFonts w:ascii="Calibri" w:eastAsia="Calibri" w:hAnsi="Calibri" w:cs="Calibri"/>
        <w:sz w:val="22"/>
        <w:szCs w:val="22"/>
      </w:rPr>
    </w:lvl>
    <w:lvl w:ilvl="1" w:tplc="8CC4D0AC">
      <w:numFmt w:val="decimal"/>
      <w:lvlText w:val=""/>
      <w:lvlJc w:val="left"/>
    </w:lvl>
    <w:lvl w:ilvl="2" w:tplc="F0B269E8">
      <w:numFmt w:val="decimal"/>
      <w:lvlText w:val=""/>
      <w:lvlJc w:val="left"/>
    </w:lvl>
    <w:lvl w:ilvl="3" w:tplc="88C0C30E">
      <w:numFmt w:val="decimal"/>
      <w:lvlText w:val=""/>
      <w:lvlJc w:val="left"/>
    </w:lvl>
    <w:lvl w:ilvl="4" w:tplc="83F4C91C">
      <w:numFmt w:val="decimal"/>
      <w:lvlText w:val=""/>
      <w:lvlJc w:val="left"/>
    </w:lvl>
    <w:lvl w:ilvl="5" w:tplc="AAC61728">
      <w:numFmt w:val="decimal"/>
      <w:lvlText w:val=""/>
      <w:lvlJc w:val="left"/>
    </w:lvl>
    <w:lvl w:ilvl="6" w:tplc="C83C4AF2">
      <w:numFmt w:val="decimal"/>
      <w:lvlText w:val=""/>
      <w:lvlJc w:val="left"/>
    </w:lvl>
    <w:lvl w:ilvl="7" w:tplc="97C02AFA">
      <w:numFmt w:val="decimal"/>
      <w:lvlText w:val=""/>
      <w:lvlJc w:val="left"/>
    </w:lvl>
    <w:lvl w:ilvl="8" w:tplc="3C6A42BE">
      <w:numFmt w:val="decimal"/>
      <w:lvlText w:val=""/>
      <w:lvlJc w:val="left"/>
    </w:lvl>
  </w:abstractNum>
  <w:abstractNum w:abstractNumId="3" w15:restartNumberingAfterBreak="0">
    <w:nsid w:val="3A8B33A0"/>
    <w:multiLevelType w:val="hybridMultilevel"/>
    <w:tmpl w:val="8C0642BE"/>
    <w:lvl w:ilvl="0" w:tplc="DB363E82">
      <w:start w:val="1"/>
      <w:numFmt w:val="bullet"/>
      <w:lvlText w:val="•"/>
      <w:lvlJc w:val="left"/>
      <w:pPr>
        <w:ind w:left="620" w:hanging="300"/>
      </w:pPr>
      <w:rPr>
        <w:rFonts w:ascii="Calibri" w:eastAsia="Calibri" w:hAnsi="Calibri" w:cs="Calibri"/>
        <w:sz w:val="22"/>
        <w:szCs w:val="22"/>
      </w:rPr>
    </w:lvl>
    <w:lvl w:ilvl="1" w:tplc="7ED4F872">
      <w:numFmt w:val="decimal"/>
      <w:lvlText w:val=""/>
      <w:lvlJc w:val="left"/>
    </w:lvl>
    <w:lvl w:ilvl="2" w:tplc="DB1C6E14">
      <w:numFmt w:val="decimal"/>
      <w:lvlText w:val=""/>
      <w:lvlJc w:val="left"/>
    </w:lvl>
    <w:lvl w:ilvl="3" w:tplc="5D8E9530">
      <w:numFmt w:val="decimal"/>
      <w:lvlText w:val=""/>
      <w:lvlJc w:val="left"/>
    </w:lvl>
    <w:lvl w:ilvl="4" w:tplc="EC7E4238">
      <w:numFmt w:val="decimal"/>
      <w:lvlText w:val=""/>
      <w:lvlJc w:val="left"/>
    </w:lvl>
    <w:lvl w:ilvl="5" w:tplc="CDB64158">
      <w:numFmt w:val="decimal"/>
      <w:lvlText w:val=""/>
      <w:lvlJc w:val="left"/>
    </w:lvl>
    <w:lvl w:ilvl="6" w:tplc="44A28A4A">
      <w:numFmt w:val="decimal"/>
      <w:lvlText w:val=""/>
      <w:lvlJc w:val="left"/>
    </w:lvl>
    <w:lvl w:ilvl="7" w:tplc="D2BE6B38">
      <w:numFmt w:val="decimal"/>
      <w:lvlText w:val=""/>
      <w:lvlJc w:val="left"/>
    </w:lvl>
    <w:lvl w:ilvl="8" w:tplc="B7BC48E0">
      <w:numFmt w:val="decimal"/>
      <w:lvlText w:val=""/>
      <w:lvlJc w:val="left"/>
    </w:lvl>
  </w:abstractNum>
  <w:abstractNum w:abstractNumId="4" w15:restartNumberingAfterBreak="0">
    <w:nsid w:val="6FA4D473"/>
    <w:multiLevelType w:val="hybridMultilevel"/>
    <w:tmpl w:val="CFC65842"/>
    <w:lvl w:ilvl="0" w:tplc="53AAF934">
      <w:start w:val="1"/>
      <w:numFmt w:val="bullet"/>
      <w:lvlText w:val=""/>
      <w:lvlJc w:val="left"/>
      <w:pPr>
        <w:ind w:left="720" w:hanging="360"/>
      </w:pPr>
      <w:rPr>
        <w:rFonts w:ascii="Symbol" w:hAnsi="Symbol" w:hint="default"/>
      </w:rPr>
    </w:lvl>
    <w:lvl w:ilvl="1" w:tplc="D4B24732">
      <w:start w:val="1"/>
      <w:numFmt w:val="bullet"/>
      <w:lvlText w:val="o"/>
      <w:lvlJc w:val="left"/>
      <w:pPr>
        <w:ind w:left="1440" w:hanging="360"/>
      </w:pPr>
      <w:rPr>
        <w:rFonts w:ascii="Courier New" w:hAnsi="Courier New" w:hint="default"/>
      </w:rPr>
    </w:lvl>
    <w:lvl w:ilvl="2" w:tplc="BCE40E14">
      <w:start w:val="1"/>
      <w:numFmt w:val="bullet"/>
      <w:lvlText w:val=""/>
      <w:lvlJc w:val="left"/>
      <w:pPr>
        <w:ind w:left="2160" w:hanging="360"/>
      </w:pPr>
      <w:rPr>
        <w:rFonts w:ascii="Wingdings" w:hAnsi="Wingdings" w:hint="default"/>
      </w:rPr>
    </w:lvl>
    <w:lvl w:ilvl="3" w:tplc="6A28FD16">
      <w:start w:val="1"/>
      <w:numFmt w:val="bullet"/>
      <w:lvlText w:val=""/>
      <w:lvlJc w:val="left"/>
      <w:pPr>
        <w:ind w:left="2880" w:hanging="360"/>
      </w:pPr>
      <w:rPr>
        <w:rFonts w:ascii="Symbol" w:hAnsi="Symbol" w:hint="default"/>
      </w:rPr>
    </w:lvl>
    <w:lvl w:ilvl="4" w:tplc="CB6684C8">
      <w:start w:val="1"/>
      <w:numFmt w:val="bullet"/>
      <w:lvlText w:val="o"/>
      <w:lvlJc w:val="left"/>
      <w:pPr>
        <w:ind w:left="3600" w:hanging="360"/>
      </w:pPr>
      <w:rPr>
        <w:rFonts w:ascii="Courier New" w:hAnsi="Courier New" w:hint="default"/>
      </w:rPr>
    </w:lvl>
    <w:lvl w:ilvl="5" w:tplc="608A223C">
      <w:start w:val="1"/>
      <w:numFmt w:val="bullet"/>
      <w:lvlText w:val=""/>
      <w:lvlJc w:val="left"/>
      <w:pPr>
        <w:ind w:left="4320" w:hanging="360"/>
      </w:pPr>
      <w:rPr>
        <w:rFonts w:ascii="Wingdings" w:hAnsi="Wingdings" w:hint="default"/>
      </w:rPr>
    </w:lvl>
    <w:lvl w:ilvl="6" w:tplc="D6F2AE74">
      <w:start w:val="1"/>
      <w:numFmt w:val="bullet"/>
      <w:lvlText w:val=""/>
      <w:lvlJc w:val="left"/>
      <w:pPr>
        <w:ind w:left="5040" w:hanging="360"/>
      </w:pPr>
      <w:rPr>
        <w:rFonts w:ascii="Symbol" w:hAnsi="Symbol" w:hint="default"/>
      </w:rPr>
    </w:lvl>
    <w:lvl w:ilvl="7" w:tplc="2F763830">
      <w:start w:val="1"/>
      <w:numFmt w:val="bullet"/>
      <w:lvlText w:val="o"/>
      <w:lvlJc w:val="left"/>
      <w:pPr>
        <w:ind w:left="5760" w:hanging="360"/>
      </w:pPr>
      <w:rPr>
        <w:rFonts w:ascii="Courier New" w:hAnsi="Courier New" w:hint="default"/>
      </w:rPr>
    </w:lvl>
    <w:lvl w:ilvl="8" w:tplc="033E9A2E">
      <w:start w:val="1"/>
      <w:numFmt w:val="bullet"/>
      <w:lvlText w:val=""/>
      <w:lvlJc w:val="left"/>
      <w:pPr>
        <w:ind w:left="6480" w:hanging="360"/>
      </w:pPr>
      <w:rPr>
        <w:rFonts w:ascii="Wingdings" w:hAnsi="Wingdings" w:hint="default"/>
      </w:rPr>
    </w:lvl>
  </w:abstractNum>
  <w:num w:numId="1" w16cid:durableId="2124420224">
    <w:abstractNumId w:val="4"/>
  </w:num>
  <w:num w:numId="2" w16cid:durableId="1185289778">
    <w:abstractNumId w:val="1"/>
    <w:lvlOverride w:ilvl="0">
      <w:startOverride w:val="1"/>
    </w:lvlOverride>
  </w:num>
  <w:num w:numId="3" w16cid:durableId="547692339">
    <w:abstractNumId w:val="0"/>
    <w:lvlOverride w:ilvl="0">
      <w:startOverride w:val="1"/>
    </w:lvlOverride>
  </w:num>
  <w:num w:numId="4" w16cid:durableId="1743136119">
    <w:abstractNumId w:val="2"/>
    <w:lvlOverride w:ilvl="0">
      <w:startOverride w:val="1"/>
    </w:lvlOverride>
  </w:num>
  <w:num w:numId="5" w16cid:durableId="187951252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7B"/>
    <w:rsid w:val="00040B19"/>
    <w:rsid w:val="000510A4"/>
    <w:rsid w:val="000627C9"/>
    <w:rsid w:val="00096EC1"/>
    <w:rsid w:val="000A5E61"/>
    <w:rsid w:val="000B04A6"/>
    <w:rsid w:val="000C222F"/>
    <w:rsid w:val="000F239E"/>
    <w:rsid w:val="00121EC0"/>
    <w:rsid w:val="001309A8"/>
    <w:rsid w:val="00161473"/>
    <w:rsid w:val="001E42EC"/>
    <w:rsid w:val="00202F79"/>
    <w:rsid w:val="00253589"/>
    <w:rsid w:val="002858EF"/>
    <w:rsid w:val="002B30AC"/>
    <w:rsid w:val="002C4893"/>
    <w:rsid w:val="002D0F8E"/>
    <w:rsid w:val="002E654F"/>
    <w:rsid w:val="00304E63"/>
    <w:rsid w:val="00326703"/>
    <w:rsid w:val="00326BC8"/>
    <w:rsid w:val="003318FF"/>
    <w:rsid w:val="00335207"/>
    <w:rsid w:val="00342956"/>
    <w:rsid w:val="0035497D"/>
    <w:rsid w:val="0037158D"/>
    <w:rsid w:val="003963FB"/>
    <w:rsid w:val="003F33F9"/>
    <w:rsid w:val="0040289E"/>
    <w:rsid w:val="00444E0E"/>
    <w:rsid w:val="00456B7B"/>
    <w:rsid w:val="00466C62"/>
    <w:rsid w:val="00467593"/>
    <w:rsid w:val="004A14A5"/>
    <w:rsid w:val="004C723A"/>
    <w:rsid w:val="004D48A6"/>
    <w:rsid w:val="004E178B"/>
    <w:rsid w:val="005515E3"/>
    <w:rsid w:val="00560CBE"/>
    <w:rsid w:val="005721D0"/>
    <w:rsid w:val="005A3581"/>
    <w:rsid w:val="005F17C0"/>
    <w:rsid w:val="006037E8"/>
    <w:rsid w:val="006107FC"/>
    <w:rsid w:val="00615273"/>
    <w:rsid w:val="00615B05"/>
    <w:rsid w:val="00617243"/>
    <w:rsid w:val="006175FE"/>
    <w:rsid w:val="00631D3D"/>
    <w:rsid w:val="00644EF7"/>
    <w:rsid w:val="00675E0E"/>
    <w:rsid w:val="006957E0"/>
    <w:rsid w:val="006B41B7"/>
    <w:rsid w:val="006D71ED"/>
    <w:rsid w:val="007039AE"/>
    <w:rsid w:val="00707308"/>
    <w:rsid w:val="007476C8"/>
    <w:rsid w:val="00770179"/>
    <w:rsid w:val="0078212F"/>
    <w:rsid w:val="007C2381"/>
    <w:rsid w:val="007D5F00"/>
    <w:rsid w:val="007E1D6A"/>
    <w:rsid w:val="0081490A"/>
    <w:rsid w:val="00815DD5"/>
    <w:rsid w:val="00822261"/>
    <w:rsid w:val="008276B7"/>
    <w:rsid w:val="008420AF"/>
    <w:rsid w:val="008430CB"/>
    <w:rsid w:val="0084359F"/>
    <w:rsid w:val="0084421E"/>
    <w:rsid w:val="00867D62"/>
    <w:rsid w:val="008D1945"/>
    <w:rsid w:val="008D2762"/>
    <w:rsid w:val="008D3C7C"/>
    <w:rsid w:val="00906AE8"/>
    <w:rsid w:val="009110B1"/>
    <w:rsid w:val="00921933"/>
    <w:rsid w:val="00930372"/>
    <w:rsid w:val="0094778E"/>
    <w:rsid w:val="009505A4"/>
    <w:rsid w:val="0096691D"/>
    <w:rsid w:val="009A4348"/>
    <w:rsid w:val="009A5EF9"/>
    <w:rsid w:val="009D5C6C"/>
    <w:rsid w:val="00A10646"/>
    <w:rsid w:val="00A225D5"/>
    <w:rsid w:val="00A65977"/>
    <w:rsid w:val="00AA135E"/>
    <w:rsid w:val="00AA7FCC"/>
    <w:rsid w:val="00AB14E9"/>
    <w:rsid w:val="00AC31DA"/>
    <w:rsid w:val="00AE03B0"/>
    <w:rsid w:val="00AF130D"/>
    <w:rsid w:val="00B21472"/>
    <w:rsid w:val="00B864EC"/>
    <w:rsid w:val="00B97C81"/>
    <w:rsid w:val="00BB0708"/>
    <w:rsid w:val="00BB231A"/>
    <w:rsid w:val="00BD03FF"/>
    <w:rsid w:val="00BE0EA4"/>
    <w:rsid w:val="00C000CF"/>
    <w:rsid w:val="00C03E86"/>
    <w:rsid w:val="00C0629C"/>
    <w:rsid w:val="00C115AB"/>
    <w:rsid w:val="00C139DC"/>
    <w:rsid w:val="00C1547F"/>
    <w:rsid w:val="00C1787C"/>
    <w:rsid w:val="00C56C19"/>
    <w:rsid w:val="00C61774"/>
    <w:rsid w:val="00C648C2"/>
    <w:rsid w:val="00C75855"/>
    <w:rsid w:val="00CA71C6"/>
    <w:rsid w:val="00CB077A"/>
    <w:rsid w:val="00CB4F2E"/>
    <w:rsid w:val="00CB4FE3"/>
    <w:rsid w:val="00CB6BF8"/>
    <w:rsid w:val="00CD4BB8"/>
    <w:rsid w:val="00CD7D3A"/>
    <w:rsid w:val="00CF2C0F"/>
    <w:rsid w:val="00D10AF0"/>
    <w:rsid w:val="00D20E65"/>
    <w:rsid w:val="00D538AF"/>
    <w:rsid w:val="00D7495C"/>
    <w:rsid w:val="00D95DF7"/>
    <w:rsid w:val="00DE1D91"/>
    <w:rsid w:val="00DF4565"/>
    <w:rsid w:val="00E02535"/>
    <w:rsid w:val="00E14F8C"/>
    <w:rsid w:val="00E268CC"/>
    <w:rsid w:val="00EA2494"/>
    <w:rsid w:val="00F0114A"/>
    <w:rsid w:val="00F2322D"/>
    <w:rsid w:val="00F404B8"/>
    <w:rsid w:val="00F4093D"/>
    <w:rsid w:val="00F53E8C"/>
    <w:rsid w:val="00F96E9A"/>
    <w:rsid w:val="00FA4610"/>
    <w:rsid w:val="00FB001A"/>
    <w:rsid w:val="00FC2E10"/>
    <w:rsid w:val="00FF3C2A"/>
    <w:rsid w:val="02890F62"/>
    <w:rsid w:val="07EDDC08"/>
    <w:rsid w:val="0CB55C79"/>
    <w:rsid w:val="0CF3E8A4"/>
    <w:rsid w:val="0ED0FAF0"/>
    <w:rsid w:val="0F74F65A"/>
    <w:rsid w:val="136AD9B7"/>
    <w:rsid w:val="19CE056E"/>
    <w:rsid w:val="1D7E4FB1"/>
    <w:rsid w:val="25FCB2BD"/>
    <w:rsid w:val="2B3EBB87"/>
    <w:rsid w:val="2F4BC2DB"/>
    <w:rsid w:val="3356AFDC"/>
    <w:rsid w:val="33BD7B3D"/>
    <w:rsid w:val="34B97120"/>
    <w:rsid w:val="3B6CA409"/>
    <w:rsid w:val="3CAD1C6D"/>
    <w:rsid w:val="3CADB383"/>
    <w:rsid w:val="3D4147D9"/>
    <w:rsid w:val="448A7337"/>
    <w:rsid w:val="484E1CEE"/>
    <w:rsid w:val="4956A89C"/>
    <w:rsid w:val="4CB44210"/>
    <w:rsid w:val="534D64C5"/>
    <w:rsid w:val="55EA93FD"/>
    <w:rsid w:val="5996E848"/>
    <w:rsid w:val="599FA16E"/>
    <w:rsid w:val="5EAA8085"/>
    <w:rsid w:val="612F36F7"/>
    <w:rsid w:val="64890C74"/>
    <w:rsid w:val="6AAA3A60"/>
    <w:rsid w:val="6D38E0B1"/>
    <w:rsid w:val="712EE117"/>
    <w:rsid w:val="72500801"/>
    <w:rsid w:val="752FA7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F4452"/>
  <w15:docId w15:val="{4636933D-BD58-4701-939F-BC04321E4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1309A8"/>
    <w:rPr>
      <w:sz w:val="16"/>
      <w:szCs w:val="16"/>
    </w:rPr>
  </w:style>
  <w:style w:type="paragraph" w:styleId="CommentText">
    <w:name w:val="annotation text"/>
    <w:basedOn w:val="Normal"/>
    <w:link w:val="CommentTextChar"/>
    <w:uiPriority w:val="99"/>
    <w:unhideWhenUsed/>
    <w:rsid w:val="001309A8"/>
  </w:style>
  <w:style w:type="character" w:customStyle="1" w:styleId="CommentTextChar">
    <w:name w:val="Comment Text Char"/>
    <w:basedOn w:val="DefaultParagraphFont"/>
    <w:link w:val="CommentText"/>
    <w:uiPriority w:val="99"/>
    <w:rsid w:val="001309A8"/>
  </w:style>
  <w:style w:type="paragraph" w:styleId="CommentSubject">
    <w:name w:val="annotation subject"/>
    <w:basedOn w:val="CommentText"/>
    <w:next w:val="CommentText"/>
    <w:link w:val="CommentSubjectChar"/>
    <w:uiPriority w:val="99"/>
    <w:semiHidden/>
    <w:unhideWhenUsed/>
    <w:rsid w:val="001309A8"/>
    <w:rPr>
      <w:b/>
      <w:bCs/>
    </w:rPr>
  </w:style>
  <w:style w:type="character" w:customStyle="1" w:styleId="CommentSubjectChar">
    <w:name w:val="Comment Subject Char"/>
    <w:basedOn w:val="CommentTextChar"/>
    <w:link w:val="CommentSubject"/>
    <w:uiPriority w:val="99"/>
    <w:semiHidden/>
    <w:rsid w:val="001309A8"/>
    <w:rPr>
      <w:b/>
      <w:bCs/>
    </w:rPr>
  </w:style>
  <w:style w:type="paragraph" w:styleId="Header">
    <w:name w:val="header"/>
    <w:basedOn w:val="Normal"/>
    <w:link w:val="HeaderChar"/>
    <w:uiPriority w:val="99"/>
    <w:unhideWhenUsed/>
    <w:rsid w:val="00815DD5"/>
    <w:pPr>
      <w:tabs>
        <w:tab w:val="center" w:pos="4513"/>
        <w:tab w:val="right" w:pos="9026"/>
      </w:tabs>
    </w:pPr>
  </w:style>
  <w:style w:type="character" w:customStyle="1" w:styleId="HeaderChar">
    <w:name w:val="Header Char"/>
    <w:basedOn w:val="DefaultParagraphFont"/>
    <w:link w:val="Header"/>
    <w:uiPriority w:val="99"/>
    <w:rsid w:val="00815DD5"/>
  </w:style>
  <w:style w:type="paragraph" w:styleId="Footer">
    <w:name w:val="footer"/>
    <w:basedOn w:val="Normal"/>
    <w:link w:val="FooterChar"/>
    <w:uiPriority w:val="99"/>
    <w:unhideWhenUsed/>
    <w:rsid w:val="00815DD5"/>
    <w:pPr>
      <w:tabs>
        <w:tab w:val="center" w:pos="4513"/>
        <w:tab w:val="right" w:pos="9026"/>
      </w:tabs>
    </w:pPr>
  </w:style>
  <w:style w:type="character" w:customStyle="1" w:styleId="FooterChar">
    <w:name w:val="Footer Char"/>
    <w:basedOn w:val="DefaultParagraphFont"/>
    <w:link w:val="Footer"/>
    <w:uiPriority w:val="99"/>
    <w:rsid w:val="00815DD5"/>
  </w:style>
  <w:style w:type="paragraph" w:customStyle="1" w:styleId="DocumentHeader">
    <w:name w:val="Document Header"/>
    <w:basedOn w:val="Title"/>
    <w:autoRedefine/>
    <w:qFormat/>
    <w:rsid w:val="00DE266C"/>
    <w:pPr>
      <w:widowControl w:val="0"/>
      <w:autoSpaceDE w:val="0"/>
      <w:autoSpaceDN w:val="0"/>
    </w:pPr>
    <w:rPr>
      <w:rFonts w:asciiTheme="majorHAnsi" w:eastAsia="Knowledge Black" w:hAnsiTheme="majorHAnsi" w:cs="Arial"/>
      <w:bCs/>
      <w:sz w:val="72"/>
    </w:rPr>
  </w:style>
  <w:style w:type="paragraph" w:customStyle="1" w:styleId="MonthYear">
    <w:name w:val="Month / Year"/>
    <w:basedOn w:val="Normal"/>
    <w:qFormat/>
    <w:rsid w:val="00DE266C"/>
    <w:pPr>
      <w:widowControl w:val="0"/>
      <w:autoSpaceDE w:val="0"/>
      <w:autoSpaceDN w:val="0"/>
    </w:pPr>
    <w:rPr>
      <w:rFonts w:ascii="Clario" w:eastAsia="Knowledge Regular" w:hAnsi="Clario" w:cs="Arial"/>
      <w:b/>
      <w:sz w:val="22"/>
      <w:szCs w:val="22"/>
    </w:rPr>
  </w:style>
  <w:style w:type="paragraph" w:styleId="TOCHeading">
    <w:name w:val="TOC Heading"/>
    <w:basedOn w:val="Heading1"/>
    <w:next w:val="Normal"/>
    <w:uiPriority w:val="39"/>
    <w:unhideWhenUsed/>
    <w:qFormat/>
    <w:rsid w:val="006C4D1F"/>
    <w:pPr>
      <w:outlineLvl w:val="9"/>
    </w:pPr>
  </w:style>
  <w:style w:type="paragraph" w:styleId="TOC1">
    <w:name w:val="toc 1"/>
    <w:basedOn w:val="Normal"/>
    <w:next w:val="Normal"/>
    <w:autoRedefine/>
    <w:uiPriority w:val="39"/>
    <w:unhideWhenUsed/>
    <w:rsid w:val="00F404B8"/>
    <w:pPr>
      <w:tabs>
        <w:tab w:val="right" w:leader="dot" w:pos="10197"/>
      </w:tabs>
      <w:spacing w:before="120"/>
    </w:pPr>
    <w:rPr>
      <w:rFonts w:asciiTheme="majorHAnsi" w:eastAsia="Clario" w:hAnsiTheme="majorHAnsi" w:cs="Clario Medium"/>
      <w:b/>
      <w:bCs/>
      <w:iCs/>
      <w:noProof/>
      <w:sz w:val="24"/>
      <w:szCs w:val="24"/>
    </w:rPr>
  </w:style>
  <w:style w:type="paragraph" w:styleId="TOC2">
    <w:name w:val="toc 2"/>
    <w:basedOn w:val="Normal"/>
    <w:next w:val="Normal"/>
    <w:autoRedefine/>
    <w:uiPriority w:val="39"/>
    <w:unhideWhenUsed/>
    <w:rsid w:val="008D320A"/>
    <w:pPr>
      <w:spacing w:before="120"/>
      <w:ind w:left="200"/>
    </w:pPr>
    <w:rPr>
      <w:rFonts w:cstheme="minorHAnsi"/>
      <w:bCs/>
      <w:sz w:val="22"/>
      <w:szCs w:val="22"/>
    </w:rPr>
  </w:style>
  <w:style w:type="paragraph" w:styleId="TOC3">
    <w:name w:val="toc 3"/>
    <w:basedOn w:val="Normal"/>
    <w:next w:val="Normal"/>
    <w:autoRedefine/>
    <w:uiPriority w:val="39"/>
    <w:unhideWhenUsed/>
    <w:rsid w:val="004F5CC6"/>
    <w:pPr>
      <w:ind w:left="400"/>
    </w:pPr>
    <w:rPr>
      <w:rFonts w:cstheme="minorHAnsi"/>
    </w:rPr>
  </w:style>
  <w:style w:type="paragraph" w:styleId="Subtitle">
    <w:name w:val="Subtitle"/>
    <w:basedOn w:val="Normal"/>
    <w:next w:val="Normal"/>
    <w:uiPriority w:val="11"/>
    <w:qFormat/>
    <w:rsid w:val="00F93C5A"/>
    <w:pPr>
      <w:numPr>
        <w:ilvl w:val="1"/>
      </w:numPr>
    </w:pPr>
    <w:rPr>
      <w:rFonts w:eastAsiaTheme="minorEastAsia"/>
      <w:spacing w:val="15"/>
      <w:sz w:val="28"/>
      <w:szCs w:val="52"/>
    </w:rPr>
  </w:style>
  <w:style w:type="paragraph" w:styleId="Revision">
    <w:name w:val="Revision"/>
    <w:hidden/>
    <w:uiPriority w:val="99"/>
    <w:semiHidden/>
    <w:rsid w:val="004D48A6"/>
  </w:style>
  <w:style w:type="character" w:styleId="FollowedHyperlink">
    <w:name w:val="FollowedHyperlink"/>
    <w:basedOn w:val="DefaultParagraphFont"/>
    <w:uiPriority w:val="99"/>
    <w:semiHidden/>
    <w:unhideWhenUsed/>
    <w:rsid w:val="002E654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thomsonreuters.com/en/institute/toolkit/introduction-to-ai-change-management-for-law-sch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prosci.com/methodology/adkar"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lario Medium"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lario"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D4F89150CE5A428675349360877350" ma:contentTypeVersion="3" ma:contentTypeDescription="Create a new document." ma:contentTypeScope="" ma:versionID="e8f3da5f35aeac2e61ffc93301265d72">
  <xsd:schema xmlns:xsd="http://www.w3.org/2001/XMLSchema" xmlns:xs="http://www.w3.org/2001/XMLSchema" xmlns:p="http://schemas.microsoft.com/office/2006/metadata/properties" xmlns:ns2="41e53420-888a-4834-8273-0f10026e47b2" targetNamespace="http://schemas.microsoft.com/office/2006/metadata/properties" ma:root="true" ma:fieldsID="e820f5cd5ee226f732d95b4b4ac50357" ns2:_="">
    <xsd:import namespace="41e53420-888a-4834-8273-0f10026e47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3420-888a-4834-8273-0f10026e4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8AA9D8-191F-4345-9201-18AC1E011B74}">
  <ds:schemaRefs>
    <ds:schemaRef ds:uri="http://schemas.microsoft.com/sharepoint/v3/contenttype/forms"/>
  </ds:schemaRefs>
</ds:datastoreItem>
</file>

<file path=customXml/itemProps2.xml><?xml version="1.0" encoding="utf-8"?>
<ds:datastoreItem xmlns:ds="http://schemas.openxmlformats.org/officeDocument/2006/customXml" ds:itemID="{57E2535D-6D39-4827-9C81-4F14F7E29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3420-888a-4834-8273-0f10026e4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5C3A63-56AF-4991-9A66-EF0878E3AE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2019</Words>
  <Characters>10560</Characters>
  <Application>Microsoft Office Word</Application>
  <DocSecurity>0</DocSecurity>
  <Lines>285</Lines>
  <Paragraphs>216</Paragraphs>
  <ScaleCrop>false</ScaleCrop>
  <Company/>
  <LinksUpToDate>false</LinksUpToDate>
  <CharactersWithSpaces>12363</CharactersWithSpaces>
  <SharedDoc>false</SharedDoc>
  <HLinks>
    <vt:vector size="48" baseType="variant">
      <vt:variant>
        <vt:i4>1507385</vt:i4>
      </vt:variant>
      <vt:variant>
        <vt:i4>44</vt:i4>
      </vt:variant>
      <vt:variant>
        <vt:i4>0</vt:i4>
      </vt:variant>
      <vt:variant>
        <vt:i4>5</vt:i4>
      </vt:variant>
      <vt:variant>
        <vt:lpwstr/>
      </vt:variant>
      <vt:variant>
        <vt:lpwstr>_Toc900000008</vt:lpwstr>
      </vt:variant>
      <vt:variant>
        <vt:i4>1507385</vt:i4>
      </vt:variant>
      <vt:variant>
        <vt:i4>38</vt:i4>
      </vt:variant>
      <vt:variant>
        <vt:i4>0</vt:i4>
      </vt:variant>
      <vt:variant>
        <vt:i4>5</vt:i4>
      </vt:variant>
      <vt:variant>
        <vt:lpwstr/>
      </vt:variant>
      <vt:variant>
        <vt:lpwstr>_Toc900000007</vt:lpwstr>
      </vt:variant>
      <vt:variant>
        <vt:i4>1507385</vt:i4>
      </vt:variant>
      <vt:variant>
        <vt:i4>32</vt:i4>
      </vt:variant>
      <vt:variant>
        <vt:i4>0</vt:i4>
      </vt:variant>
      <vt:variant>
        <vt:i4>5</vt:i4>
      </vt:variant>
      <vt:variant>
        <vt:lpwstr/>
      </vt:variant>
      <vt:variant>
        <vt:lpwstr>_Toc900000006</vt:lpwstr>
      </vt:variant>
      <vt:variant>
        <vt:i4>1507385</vt:i4>
      </vt:variant>
      <vt:variant>
        <vt:i4>26</vt:i4>
      </vt:variant>
      <vt:variant>
        <vt:i4>0</vt:i4>
      </vt:variant>
      <vt:variant>
        <vt:i4>5</vt:i4>
      </vt:variant>
      <vt:variant>
        <vt:lpwstr/>
      </vt:variant>
      <vt:variant>
        <vt:lpwstr>_Toc900000005</vt:lpwstr>
      </vt:variant>
      <vt:variant>
        <vt:i4>1507385</vt:i4>
      </vt:variant>
      <vt:variant>
        <vt:i4>20</vt:i4>
      </vt:variant>
      <vt:variant>
        <vt:i4>0</vt:i4>
      </vt:variant>
      <vt:variant>
        <vt:i4>5</vt:i4>
      </vt:variant>
      <vt:variant>
        <vt:lpwstr/>
      </vt:variant>
      <vt:variant>
        <vt:lpwstr>_Toc900000004</vt:lpwstr>
      </vt:variant>
      <vt:variant>
        <vt:i4>1507385</vt:i4>
      </vt:variant>
      <vt:variant>
        <vt:i4>14</vt:i4>
      </vt:variant>
      <vt:variant>
        <vt:i4>0</vt:i4>
      </vt:variant>
      <vt:variant>
        <vt:i4>5</vt:i4>
      </vt:variant>
      <vt:variant>
        <vt:lpwstr/>
      </vt:variant>
      <vt:variant>
        <vt:lpwstr>_Toc900000003</vt:lpwstr>
      </vt:variant>
      <vt:variant>
        <vt:i4>1507385</vt:i4>
      </vt:variant>
      <vt:variant>
        <vt:i4>8</vt:i4>
      </vt:variant>
      <vt:variant>
        <vt:i4>0</vt:i4>
      </vt:variant>
      <vt:variant>
        <vt:i4>5</vt:i4>
      </vt:variant>
      <vt:variant>
        <vt:lpwstr/>
      </vt:variant>
      <vt:variant>
        <vt:lpwstr>_Toc900000002</vt:lpwstr>
      </vt:variant>
      <vt:variant>
        <vt:i4>1507385</vt:i4>
      </vt:variant>
      <vt:variant>
        <vt:i4>2</vt:i4>
      </vt:variant>
      <vt:variant>
        <vt:i4>0</vt:i4>
      </vt:variant>
      <vt:variant>
        <vt:i4>5</vt:i4>
      </vt:variant>
      <vt:variant>
        <vt:lpwstr/>
      </vt:variant>
      <vt:variant>
        <vt:lpwstr>_Toc900000001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Future of Legal Practice: Employer Focus Group Guide</dc:title>
  <dc:subject/>
  <dc:creator>Maximilian Shirley</dc:creator>
  <cp:keywords/>
  <cp:lastModifiedBy>Shirley, Maximilian (TR Marketing &amp; Communications)</cp:lastModifiedBy>
  <cp:revision>36</cp:revision>
  <dcterms:created xsi:type="dcterms:W3CDTF">2026-08-12T03:00:00Z</dcterms:created>
  <dcterms:modified xsi:type="dcterms:W3CDTF">2026-10-21T15:16:00Z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0x010100CAD4F89150CE5A428675349360877350</vt:lpwstr>
  </property>
  <property fmtid="{D5CDD505-2E9C-101B-9397-08002B2CF9AE}" pid="3" name="docLang">
    <vt:lpwstr>en</vt:lpwstr>
  </property>
</Properties>
</file>