
<file path=[Content_Types].xml><?xml version="1.0" encoding="utf-8"?>
<Types xmlns="http://schemas.openxmlformats.org/package/2006/content-types">
  <Default Extension="bmp" ContentType="image/bmp"/>
  <Default Extension="gif" ContentType="image/gif"/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settings.xml" ContentType="application/vnd.openxmlformats-officedocument.wordprocessingml.settings+xml"/>
  <Override PartName="/word/comments.xml" ContentType="application/vnd.openxmlformats-officedocument.wordprocessingml.comment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560"/>
      </w:pPr>
      <w:r>
        <w:drawing>
          <wp:inline distT="0" distB="0" distL="0" distR="0">
            <wp:extent cx="2476500" cy="73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650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/>
      </w:pPr>
      <w:r>
        <w:rPr>
          <w:rFonts w:ascii="Arial" w:cs="Arial" w:eastAsia="Arial" w:hAnsi="Arial"/>
          <w:b/>
          <w:bCs/>
          <w:color w:val="24304A"/>
          <w:sz w:val="48"/>
          <w:szCs w:val="48"/>
        </w:rPr>
        <w:t xml:space="preserve">NEW BUSINESS STARTER KIT</w:t>
      </w:r>
    </w:p>
    <w:p>
      <w:pPr>
        <w:spacing w:after="520"/>
      </w:pPr>
      <w:r>
        <w:rPr>
          <w:rFonts w:ascii="Arial" w:cs="Arial" w:eastAsia="Arial" w:hAnsi="Arial"/>
          <w:color w:val="5A6480"/>
          <w:sz w:val="24"/>
          <w:szCs w:val="24"/>
        </w:rPr>
        <w:t xml:space="preserve">Getting set up properly in Australia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026"/>
      </w:tblGrid>
      <w:tr>
        <w:trPr>
          <w:tblHeader/>
        </w:trP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Business name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Prepared by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Date</w:t>
            </w:r>
          </w:p>
        </w:tc>
        <w:tc>
          <w:tcPr>
            <w:tcW w:type="dxa" w:w="6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r>
        <w:br w:type="page"/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Before you register anything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Most of what goes wrong in a new business is decided in the first month, not the first year. Four questions are worth answering before you spend money.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Will this make money? Test it in the Business Viability Calculator (STA002) before committing.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What will it cost to start, and do I have that? Use the Startup Costs Calculator (STA003).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How many sales do I need to break even? Use the Break-Even Calculator (STA011).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Can I survive the gap between doing the work and being paid? Use the Cash Flow Forecast (STA016).</w:t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Choosing a structure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This is the decision that is most expensive to change later. There is no universally right answer — it depends on risk, income level, who else is involved and what you intend to do with the business eventually.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3400"/>
        <w:gridCol w:w="3826"/>
      </w:tblGrid>
      <w:tr>
        <w:trPr>
          <w:tblHeader/>
        </w:trPr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Structure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Suits</w:t>
            </w:r>
          </w:p>
        </w:tc>
        <w:tc>
          <w:tcPr>
            <w:tcW w:type="dxa" w:w="3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Watch out for</w:t>
            </w:r>
          </w:p>
        </w:tc>
      </w:tr>
      <w:tr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Sole trader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One person, low risk, starting small</w:t>
            </w:r>
          </w:p>
        </w:tc>
        <w:tc>
          <w:tcPr>
            <w:tcW w:type="dxa" w:w="3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No asset protection. Business debts are your debts.</w:t>
            </w:r>
          </w:p>
        </w:tc>
      </w:tr>
      <w:tr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Partnership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Two or more people sharing a business</w:t>
            </w:r>
          </w:p>
        </w:tc>
        <w:tc>
          <w:tcPr>
            <w:tcW w:type="dxa" w:w="3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Each partner is liable for the whole of the partnership's debts.</w:t>
            </w:r>
          </w:p>
        </w:tc>
      </w:tr>
      <w:tr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Company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Trading with risk, multiple owners, reinvesting profit</w:t>
            </w:r>
          </w:p>
        </w:tc>
        <w:tc>
          <w:tcPr>
            <w:tcW w:type="dxa" w:w="3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Set-up and annual costs, director duties, Division 7A on loans to owners.</w:t>
            </w:r>
          </w:p>
        </w:tc>
      </w:tr>
      <w:tr>
        <w:tc>
          <w:tcPr>
            <w:tcW w:type="dxa" w:w="18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Trust</w:t>
            </w:r>
          </w:p>
        </w:tc>
        <w:tc>
          <w:tcPr>
            <w:tcW w:type="dxa" w:w="34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Holding assets, distributing income across a family group</w:t>
            </w:r>
          </w:p>
        </w:tc>
        <w:tc>
          <w:tcPr>
            <w:tcW w:type="dxa" w:w="3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Complex, needs a deed and careful annual resolutions.</w:t>
            </w:r>
          </w:p>
        </w:tc>
      </w:tr>
    </w:tbl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Talk to us before you register. Changing structure later can trigger capital gains tax and stamp duty.</w:t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Registrations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4200"/>
        <w:gridCol w:w="2826"/>
      </w:tblGrid>
      <w:tr>
        <w:trPr>
          <w:tblHeader/>
        </w:trPr>
        <w:tc>
          <w:tcPr>
            <w:tcW w:type="dxa" w:w="2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Registration</w:t>
            </w:r>
          </w:p>
        </w:tc>
        <w:tc>
          <w:tcPr>
            <w:tcW w:type="dxa" w:w="4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When you need it</w:t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Where</w:t>
            </w:r>
          </w:p>
        </w:tc>
      </w:tr>
      <w:tr>
        <w:tc>
          <w:tcPr>
            <w:tcW w:type="dxa" w:w="2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ABN</w:t>
            </w:r>
          </w:p>
        </w:tc>
        <w:tc>
          <w:tcPr>
            <w:tcW w:type="dxa" w:w="4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Almost always, before you invoice anyone</w:t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abr.gov.au</w:t>
            </w:r>
          </w:p>
        </w:tc>
      </w:tr>
      <w:tr>
        <w:tc>
          <w:tcPr>
            <w:tcW w:type="dxa" w:w="2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Business name</w:t>
            </w:r>
          </w:p>
        </w:tc>
        <w:tc>
          <w:tcPr>
            <w:tcW w:type="dxa" w:w="4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If trading under anything other than your own name</w:t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asic.gov.au</w:t>
            </w:r>
          </w:p>
        </w:tc>
      </w:tr>
      <w:tr>
        <w:tc>
          <w:tcPr>
            <w:tcW w:type="dxa" w:w="2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GST</w:t>
            </w:r>
          </w:p>
        </w:tc>
        <w:tc>
          <w:tcPr>
            <w:tcW w:type="dxa" w:w="4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Turnover of $75,000 or more, or if you drive a taxi or rideshare</w:t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ato.gov.au</w:t>
            </w:r>
          </w:p>
        </w:tc>
      </w:tr>
      <w:tr>
        <w:tc>
          <w:tcPr>
            <w:tcW w:type="dxa" w:w="2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PAYG withholding</w:t>
            </w:r>
          </w:p>
        </w:tc>
        <w:tc>
          <w:tcPr>
            <w:tcW w:type="dxa" w:w="4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Before you first pay an employee or a contractor without an ABN</w:t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ato.gov.au</w:t>
            </w:r>
          </w:p>
        </w:tc>
      </w:tr>
      <w:tr>
        <w:tc>
          <w:tcPr>
            <w:tcW w:type="dxa" w:w="2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TFN</w:t>
            </w:r>
          </w:p>
        </w:tc>
        <w:tc>
          <w:tcPr>
            <w:tcW w:type="dxa" w:w="4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Companies, partnerships and trusts need their own</w:t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ato.gov.au</w:t>
            </w:r>
          </w:p>
        </w:tc>
      </w:tr>
      <w:tr>
        <w:tc>
          <w:tcPr>
            <w:tcW w:type="dxa" w:w="2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Domain name</w:t>
            </w:r>
          </w:p>
        </w:tc>
        <w:tc>
          <w:tcPr>
            <w:tcW w:type="dxa" w:w="4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Once the business name is secured</w:t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auda.org.au registrars</w:t>
            </w:r>
          </w:p>
        </w:tc>
      </w:tr>
      <w:tr>
        <w:tc>
          <w:tcPr>
            <w:tcW w:type="dxa" w:w="2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Licences</w:t>
            </w:r>
          </w:p>
        </w:tc>
        <w:tc>
          <w:tcPr>
            <w:tcW w:type="dxa" w:w="42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Trade, food, liquor, building — varies by industry and state</w:t>
            </w:r>
          </w:p>
        </w:tc>
        <w:tc>
          <w:tcPr>
            <w:tcW w:type="dxa" w:w="28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ablis.business.gov.au</w:t>
            </w:r>
          </w:p>
        </w:tc>
      </w:tr>
    </w:tbl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You can register for GST voluntarily below $75,000. It lets you claim GST on purchases but adds a BAS every quarter.</w:t>
      </w:r>
    </w:p>
    <w:p>
      <w:r>
        <w:br w:type="page"/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Your obligations once you start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24304A"/>
          <w:sz w:val="22"/>
          <w:szCs w:val="22"/>
        </w:rPr>
        <w:t xml:space="preserve">Records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The ATO requires records to be kept for five years, in English, and to explain every transaction. In practice this means cloud accounting software from day one — reconstructing a year from a shoebox costs far more than the subscription.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24304A"/>
          <w:sz w:val="22"/>
          <w:szCs w:val="22"/>
        </w:rPr>
        <w:t xml:space="preserve">If you employ people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Superannuation guarantee at 12% of ordinary time earnings, paid quarterly.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PAYG withholding from wages, reported through Single Touch Payroll each pay run.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Correct award rates. Check the award on fairwork.gov.au — getting this wrong is expensive.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Workers compensation insurance before the first employee starts.</w:t>
      </w:r>
    </w:p>
    <w:p>
      <w:pPr>
        <w:pStyle w:val="Heading2"/>
        <w:spacing w:after="90" w:before="220"/>
      </w:pPr>
      <w:r>
        <w:rPr>
          <w:rFonts w:ascii="Arial" w:cs="Arial" w:eastAsia="Arial" w:hAnsi="Arial"/>
          <w:b/>
          <w:bCs/>
          <w:color w:val="24304A"/>
          <w:sz w:val="22"/>
          <w:szCs w:val="22"/>
        </w:rPr>
        <w:t xml:space="preserve">If you use contractors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Calling someone a contractor does not make them one. If they work like an employee, superannuation and PAYG can still apply. The distinction turns on control, delegation, risk and how they are paid — not on what the agreement says.</w:t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The first-year calendar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426"/>
      </w:tblGrid>
      <w:tr>
        <w:trPr>
          <w:tblHeader/>
        </w:trP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When</w:t>
            </w:r>
          </w:p>
        </w:tc>
        <w:tc>
          <w:tcPr>
            <w:tcW w:type="dxa" w:w="6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What</w:t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Monthly</w:t>
            </w:r>
          </w:p>
        </w:tc>
        <w:tc>
          <w:tcPr>
            <w:tcW w:type="dxa" w:w="6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Reconcile the bank. Review your cash position against forecast.</w:t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Each pay run</w:t>
            </w:r>
          </w:p>
        </w:tc>
        <w:tc>
          <w:tcPr>
            <w:tcW w:type="dxa" w:w="6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Single Touch Payroll report to the ATO.</w:t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28 Oct / 28 Feb / 28 Apr / 28 Jul</w:t>
            </w:r>
          </w:p>
        </w:tc>
        <w:tc>
          <w:tcPr>
            <w:tcW w:type="dxa" w:w="6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Quarterly BAS, if you lodge quarterly.</w:t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28 Oct / 28 Jan / 28 Apr / 28 Jul</w:t>
            </w:r>
          </w:p>
        </w:tc>
        <w:tc>
          <w:tcPr>
            <w:tcW w:type="dxa" w:w="6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Superannuation guarantee payments.</w:t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14 July</w:t>
            </w:r>
          </w:p>
        </w:tc>
        <w:tc>
          <w:tcPr>
            <w:tcW w:type="dxa" w:w="6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Finalise Single Touch Payroll for the prior year.</w:t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31 October</w:t>
            </w:r>
          </w:p>
        </w:tc>
        <w:tc>
          <w:tcPr>
            <w:tcW w:type="dxa" w:w="6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Income tax return, if lodging yourself.</w:t>
            </w:r>
          </w:p>
        </w:tc>
      </w:tr>
      <w:tr>
        <w:tc>
          <w:tcPr>
            <w:tcW w:type="dxa" w:w="26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May (following year)</w:t>
            </w:r>
          </w:p>
        </w:tc>
        <w:tc>
          <w:tcPr>
            <w:tcW w:type="dxa" w:w="64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Income tax return, if lodging through us.</w:t>
            </w:r>
          </w:p>
        </w:tc>
      </w:tr>
    </w:tbl>
    <w:p>
      <w:pPr>
        <w:spacing w:after="90"/>
        <w:ind w:left="220"/>
      </w:pPr>
      <w:r>
        <w:rPr>
          <w:rFonts w:ascii="Arial" w:cs="Arial" w:eastAsia="Arial" w:hAnsi="Arial"/>
          <w:i/>
          <w:iCs/>
          <w:color w:val="5A6480"/>
          <w:sz w:val="19"/>
          <w:szCs w:val="19"/>
        </w:rPr>
        <w:t xml:space="preserve">· Lodgement dates shift for public holidays and differ if you lodge through a tax agent. We will confirm your dates.</w:t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Setting money aside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The single most common failure in a first-year business is spending money that was never theirs. Open a second bank account and move money into it every time you are paid: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GST — roughly one eleventh of everything you invoice.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Income tax — a working estimate is 25 to 30 per cent of profit.</w:t>
      </w:r>
    </w:p>
    <w:p>
      <w:pPr>
        <w:pStyle w:val="ListParagraph"/>
        <w:numPr>
          <w:ilvl w:val="0"/>
          <w:numId w:val="1"/>
        </w:numPr>
        <w:spacing w:after="60"/>
      </w:pPr>
      <w:r>
        <w:rPr>
          <w:rFonts w:ascii="Arial" w:cs="Arial" w:eastAsia="Arial" w:hAnsi="Arial"/>
          <w:sz w:val="20"/>
          <w:szCs w:val="20"/>
        </w:rPr>
        <w:t xml:space="preserve">Superannuation — if you employ anyone, 12% of their ordinary earnings.</w:t>
      </w:r>
    </w:p>
    <w:p>
      <w:pPr>
        <w:spacing w:after="120"/>
      </w:pPr>
      <w:r>
        <w:rPr>
          <w:rFonts w:ascii="Arial" w:cs="Arial" w:eastAsia="Arial" w:hAnsi="Arial"/>
          <w:i w:val="false"/>
          <w:iCs w:val="false"/>
          <w:color w:val="000000"/>
          <w:sz w:val="20"/>
          <w:szCs w:val="20"/>
        </w:rPr>
        <w:t xml:space="preserve">Money in that account is not available to spend. Treating it as a buffer is how businesses end up on an ATO payment plan.</w:t>
      </w:r>
    </w:p>
    <w:p>
      <w:pPr>
        <w:pStyle w:val="Heading1"/>
        <w:spacing w:after="130" w:before="340"/>
      </w:pPr>
      <w:r>
        <w:rPr>
          <w:rFonts w:ascii="Arial" w:cs="Arial" w:eastAsia="Arial" w:hAnsi="Arial"/>
          <w:b/>
          <w:bCs/>
          <w:color w:val="24304A"/>
          <w:sz w:val="28"/>
          <w:szCs w:val="28"/>
        </w:rPr>
        <w:t xml:space="preserve">First-year checklist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0"/>
        <w:gridCol w:w="8026"/>
      </w:tblGrid>
      <w:tr>
        <w:trPr>
          <w:tblHeader/>
        </w:trP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Done</w:t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24304A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19"/>
                <w:szCs w:val="19"/>
              </w:rPr>
              <w:t xml:space="preserve">Task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Structure decided and set up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ABN registered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Business name registered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GST registered (or decision recorded not to)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TFN obtained for the entity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Business bank account opened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Second account opened for tax and GST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Accounting software set up and bank feeds connected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Insurances arranged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Licences and permits obtained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Terms of trade and quote template prepared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Payroll set up and STP connected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FFFFF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Record-keeping routine agreed</w:t>
            </w:r>
          </w:p>
        </w:tc>
      </w:tr>
      <w:tr>
        <w:tc>
          <w:tcPr>
            <w:tcW w:type="dxa" w:w="1000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8026"/>
            <w:tcBorders>
              <w:top w:val="single" w:color="BFC7D2" w:sz="1"/>
              <w:left w:val="single" w:color="BFC7D2" w:sz="1"/>
              <w:bottom w:val="single" w:color="BFC7D2" w:sz="1"/>
              <w:right w:val="single" w:color="BFC7D2" w:sz="1"/>
            </w:tcBorders>
            <w:shd w:fill="F5F7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sz w:val="19"/>
                <w:szCs w:val="19"/>
              </w:rPr>
              <w:t xml:space="preserve">First meeting with us booked</w:t>
            </w:r>
          </w:p>
        </w:tc>
      </w:tr>
    </w:tbl>
    <w:p>
      <w:pPr>
        <w:spacing w:before="340"/>
      </w:pPr>
    </w:p>
    <w:p>
      <w:pPr>
        <w:spacing w:after="120"/>
      </w:pPr>
      <w:r>
        <w:rPr>
          <w:rFonts w:ascii="Arial" w:cs="Arial" w:eastAsia="Arial" w:hAnsi="Arial"/>
          <w:i/>
          <w:iCs/>
          <w:color w:val="5A6480"/>
          <w:sz w:val="20"/>
          <w:szCs w:val="20"/>
        </w:rPr>
        <w:t xml:space="preserve">This template is a general guide and does not take your particular circumstances into account. It is not financial, tax, accounting or legal advice. Speak to us before relying on it for a decision.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8A93A3"/>
        <w:sz w:val="16"/>
        <w:szCs w:val="16"/>
      </w:rPr>
      <w:t xml:space="preserve">Sydney Tax Accountant  ·  sydneytaxaccountant.com  ·  </w:t>
    </w:r>
    <w:r>
      <w:rPr>
        <w:rFonts w:ascii="Arial" w:cs="Arial" w:eastAsia="Arial" w:hAnsi="Arial"/>
        <w:color w:val="8A93A3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i/>
        <w:iCs/>
        <w:color w:val="8A93A3"/>
        <w:sz w:val="16"/>
        <w:szCs w:val="16"/>
      </w:rPr>
      <w:t xml:space="preserve">New Business Starter Kit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footnotes" Target="footnotes.xml"/><Relationship Id="rId7" Type="http://schemas.openxmlformats.org/officeDocument/2006/relationships/header" Target="header1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comments" Target="comments.xml"/><Relationship Id="rId11" Type="http://schemas.openxmlformats.org/officeDocument/2006/relationships/customXml" Target="../customXml/item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endnotes" Target="endnotes.xml"/><Relationship Id="rId9" Type="http://schemas.openxmlformats.org/officeDocument/2006/relationships/image" Target="media/80e4328720a9349f1ebc3d3e6a168c96a1c15d6c.png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3B1066AABBA4D910161A0A9D80A97" ma:contentTypeVersion="11" ma:contentTypeDescription="Create a new document." ma:contentTypeScope="" ma:versionID="e74bc779a92c2fe80aae5615e1d7291a">
  <xsd:schema xmlns:xsd="http://www.w3.org/2001/XMLSchema" xmlns:xs="http://www.w3.org/2001/XMLSchema" xmlns:p="http://schemas.microsoft.com/office/2006/metadata/properties" xmlns:ns2="e44a2444-3aaf-48d5-82ba-e0709559103c" xmlns:ns3="4b0419ae-04f3-411c-a645-6976bd29b30c" targetNamespace="http://schemas.microsoft.com/office/2006/metadata/properties" ma:root="true" ma:fieldsID="5af7c5bc21799920b3da8bfa89be4b1f" ns2:_="" ns3:_="">
    <xsd:import namespace="e44a2444-3aaf-48d5-82ba-e0709559103c"/>
    <xsd:import namespace="4b0419ae-04f3-411c-a645-6976bd29b30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4a2444-3aaf-48d5-82ba-e0709559103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24d408e-2aef-4b9c-bb91-eba007486ad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0419ae-04f3-411c-a645-6976bd29b30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0f0e966-588b-4413-b1d1-5dfc3681b582}" ma:internalName="TaxCatchAll" ma:showField="CatchAllData" ma:web="4b0419ae-04f3-411c-a645-6976bd29b30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b0419ae-04f3-411c-a645-6976bd29b30c" xsi:nil="true"/>
    <lcf76f155ced4ddcb4097134ff3c332f xmlns="e44a2444-3aaf-48d5-82ba-e0709559103c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3F72170-86D5-40E7-A3A8-82C8AB3B5BDE}"/>
</file>

<file path=customXml/itemProps2.xml><?xml version="1.0" encoding="utf-8"?>
<ds:datastoreItem xmlns:ds="http://schemas.openxmlformats.org/officeDocument/2006/customXml" ds:itemID="{A743A377-5DEC-4A0F-BF95-945C5894D3B7}"/>
</file>

<file path=customXml/itemProps3.xml><?xml version="1.0" encoding="utf-8"?>
<ds:datastoreItem xmlns:ds="http://schemas.openxmlformats.org/officeDocument/2006/customXml" ds:itemID="{247D1847-5E6B-4B9C-952D-9BE2FC59E889}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STA001 - New Business Starter Kit</dc:title>
  <dc:creator>Sydney Tax Accountant</dc:creator>
  <cp:lastModifiedBy>Un-named</cp:lastModifiedBy>
  <cp:revision>1</cp:revision>
  <dcterms:created xsi:type="dcterms:W3CDTF">2026-08-17T08:42:56Z</dcterms:created>
  <dcterms:modified xsi:type="dcterms:W3CDTF">2026-08-17T08:42:56Z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0x0101008853B1066AABBA4D910161A0A9D80A97</vt:lpwstr>
  </property>
</Properties>
</file>