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90" w:before="120"/>
      </w:pPr>
      <w:r>
        <w:drawing>
          <wp:inline distT="0" distB="0" distL="0" distR="0">
            <wp:extent cx="1428750" cy="457200"/>
            <wp:effectExtent t="0" r="0" b="0" l="0"/>
            <wp:docPr id="1" name="approved-logo.png" descr="Approved Signal &amp; Stage horizontal logo, unchanged" title="Signal &amp; Sta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keepNext/>
        <w:spacing w:after="80" w:before="0"/>
      </w:pPr>
      <w:r>
        <w:rPr>
          <w:rFonts w:ascii="Arial" w:cs="Arial" w:eastAsia="Arial" w:hAnsi="Arial"/>
          <w:b/>
          <w:bCs/>
          <w:color w:val="061719"/>
          <w:sz w:val="48"/>
          <w:szCs w:val="48"/>
        </w:rPr>
        <w:t xml:space="preserve">Speaker comparison scorecard</w:t>
      </w:r>
    </w:p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Page 1: the brief, essential requirements and proposed scope. Compare up to three candidates; complete page 2 only after recording what is known.</w:t>
      </w:r>
    </w:p>
    <w:p>
      <w:pPr>
        <w:spacing w:after="85"/>
      </w:pPr>
      <w:r>
        <w:rPr>
          <w:rFonts w:ascii="Inter" w:cs="Inter" w:eastAsia="Inter" w:hAnsi="Inter"/>
          <w:color w:val="061719"/>
          <w:sz w:val="22"/>
          <w:szCs w:val="22"/>
        </w:rPr>
        <w:t xml:space="preserve">Event / date: ______________________________________________________</w:t>
      </w:r>
    </w:p>
    <w:p>
      <w:pPr>
        <w:spacing w:after="85"/>
      </w:pPr>
      <w:r>
        <w:rPr>
          <w:rFonts w:ascii="Inter" w:cs="Inter" w:eastAsia="Inter" w:hAnsi="Inter"/>
          <w:color w:val="061719"/>
          <w:sz w:val="22"/>
          <w:szCs w:val="22"/>
        </w:rPr>
        <w:t xml:space="preserve">Audience: _________________________________________________________</w:t>
      </w:r>
    </w:p>
    <w:p>
      <w:pPr>
        <w:spacing w:after="85"/>
      </w:pPr>
      <w:r>
        <w:rPr>
          <w:rFonts w:ascii="Inter" w:cs="Inter" w:eastAsia="Inter" w:hAnsi="Inter"/>
          <w:color w:val="061719"/>
          <w:sz w:val="22"/>
          <w:szCs w:val="22"/>
        </w:rPr>
        <w:t xml:space="preserve">Learning objective: __________________________________________________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8"/>
        <w:gridCol w:w="2432"/>
        <w:gridCol w:w="2432"/>
        <w:gridCol w:w="2432"/>
      </w:tblGrid>
      <w:tr>
        <w:trPr>
          <w:cantSplit/>
          <w:tblHeader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Candidate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A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B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Speaker name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Proposed session / format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Agency / contact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</w:tbl>
    <w:p>
      <w:pPr>
        <w:pStyle w:val="Heading2"/>
        <w:keepNext/>
        <w:spacing w:after="80" w:before="110"/>
      </w:pPr>
      <w:r>
        <w:rPr>
          <w:rFonts w:ascii="Arial" w:cs="Arial" w:eastAsia="Arial" w:hAnsi="Arial"/>
          <w:b/>
          <w:bCs/>
          <w:color w:val="061719"/>
          <w:sz w:val="27"/>
          <w:szCs w:val="27"/>
        </w:rPr>
        <w:t xml:space="preserve">Essential requirements: not scored</w:t>
      </w:r>
    </w:p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Write Met, Not met or Not yet verified (NYV). Record evidence and date. An unmet essential cannot be offset by a high preference rating.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8"/>
        <w:gridCol w:w="2432"/>
        <w:gridCol w:w="2432"/>
        <w:gridCol w:w="2432"/>
      </w:tblGrid>
      <w:tr>
        <w:trPr>
          <w:cantSplit/>
          <w:tblHeader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A: status / evidence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B: status / evidence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C: status / evidence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Date, time zone and availability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Required access arrangements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Required language / format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Budget ceiling / other must-have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</w:tbl>
    <w:p>
      <w:pPr>
        <w:pStyle w:val="Heading2"/>
        <w:keepNext/>
        <w:spacing w:after="80" w:before="110"/>
      </w:pPr>
      <w:r>
        <w:rPr>
          <w:rFonts w:ascii="Arial" w:cs="Arial" w:eastAsia="Arial" w:hAnsi="Arial"/>
          <w:b/>
          <w:bCs/>
          <w:color w:val="061719"/>
          <w:sz w:val="27"/>
          <w:szCs w:val="27"/>
        </w:rPr>
        <w:t xml:space="preserve">Proposed total cost and scope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8"/>
        <w:gridCol w:w="2432"/>
        <w:gridCol w:w="2432"/>
        <w:gridCol w:w="2432"/>
      </w:tblGrid>
      <w:tr>
        <w:trPr>
          <w:cantSplit/>
          <w:tblHeader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Cost / scope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A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B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Total / currency / quote date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Included scope / expenses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Exclusions / rights / limits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</w:tbl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Keep the full quote and supporting documents. Estimates, holds and unanswered inquiries are not confirmed bookings.</w:t>
      </w:r>
    </w:p>
    <w:p>
      <w:pPr>
        <w:sectPr>
          <w:footerReference w:type="default" r:id="rId7"/>
          <w:type w:val="nextPage"/>
          <w:pgSz w:w="12240" w:h="15840" w:orient="portrait"/>
          <w:pgMar w:top="650" w:right="1008" w:bottom="950" w:left="1008" w:header="350" w:footer="400" w:gutter="0"/>
          <w:pgNumType/>
          <w:docGrid w:linePitch="360"/>
        </w:sectPr>
      </w:pPr>
    </w:p>
    <w:p>
      <w:pPr>
        <w:spacing w:after="90"/>
      </w:pPr>
      <w:r>
        <w:rPr>
          <w:rFonts w:ascii="Inter" w:cs="Inter" w:eastAsia="Inter" w:hAnsi="Inter"/>
          <w:b/>
          <w:bCs/>
          <w:color w:val="47545A"/>
          <w:sz w:val="18"/>
          <w:szCs w:val="18"/>
        </w:rPr>
        <w:t xml:space="preserve">SIGNAL &amp; STAGE · DECISION WORKSHEET</w:t>
      </w:r>
    </w:p>
    <w:p>
      <w:pPr>
        <w:pStyle w:val="Heading1"/>
        <w:keepNext/>
        <w:spacing w:after="80" w:before="0"/>
      </w:pPr>
      <w:r>
        <w:rPr>
          <w:rFonts w:ascii="Arial" w:cs="Arial" w:eastAsia="Arial" w:hAnsi="Arial"/>
          <w:b/>
          <w:bCs/>
          <w:color w:val="061719"/>
          <w:sz w:val="48"/>
          <w:szCs w:val="48"/>
        </w:rPr>
        <w:t xml:space="preserve">Compare evidence, not impressions</w:t>
      </w:r>
    </w:p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Page 2: scored preferences. Use 1–5 only when evidence supports a judgment. NYV = Not yet verified, a separate status, never zero.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8424"/>
      </w:tblGrid>
      <w:tr>
        <w:trPr>
          <w:cantSplit/>
          <w:tblHeader/>
        </w:trPr>
        <w:tc>
          <w:tcPr>
            <w:tcW w:type="dxa" w:w="18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Rating</w:t>
            </w:r>
          </w:p>
        </w:tc>
        <w:tc>
          <w:tcPr>
            <w:tcW w:type="dxa" w:w="8424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1 / 2</w:t>
            </w:r>
          </w:p>
        </w:tc>
        <w:tc>
          <w:tcPr>
            <w:tcW w:type="dxa" w:w="8424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1: weak fit or substantial concerns. 2: partial fit with material gaps.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3 / 4 / 5</w:t>
            </w:r>
          </w:p>
        </w:tc>
        <w:tc>
          <w:tcPr>
            <w:tcW w:type="dxa" w:w="8424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3: meets the brief. 4: strong fit with relevant evidence. 5: exceptional fit supported by specific evidence.</w:t>
            </w:r>
          </w:p>
        </w:tc>
      </w:tr>
    </w:tbl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In every candidate cell, write a rating or NYV and an evidence reference (URL, recording timestamp, reference call or proposal section/date).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8"/>
        <w:gridCol w:w="2432"/>
        <w:gridCol w:w="2432"/>
        <w:gridCol w:w="2432"/>
      </w:tblGrid>
      <w:tr>
        <w:trPr>
          <w:cantSplit/>
          <w:tblHeader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Preference / question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A: rating + evidence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B: rating + evidence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C: rating + evidence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Audience relevance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Specificity of takeaways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Speaking evidence: quality and relevance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Customization and preparation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Accessibility, language and format fit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Agency communication and support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type="dxa" w:w="2928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Total cost and scope fit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2432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R: ______________________</w:t>
            </w:r>
          </w:p>
          <w:p>
            <w:pPr>
              <w:spacing w:after="65" w:line="235"/>
            </w:pPr>
            <w:r>
              <w:rPr>
                <w:rFonts w:ascii="Inter" w:cs="Inter" w:eastAsia="Inter" w:hAnsi="Inter"/>
                <w:color w:val="061719"/>
                <w:sz w:val="19"/>
                <w:szCs w:val="19"/>
              </w:rPr>
              <w:t xml:space="preserve">______________________</w:t>
            </w:r>
          </w:p>
        </w:tc>
      </w:tr>
    </w:tbl>
    <w:p>
      <w:pPr>
        <w:pStyle w:val="Heading2"/>
        <w:keepNext/>
        <w:spacing w:after="80" w:before="110"/>
      </w:pPr>
      <w:r>
        <w:rPr>
          <w:rFonts w:ascii="Arial" w:cs="Arial" w:eastAsia="Arial" w:hAnsi="Arial"/>
          <w:b/>
          <w:bCs/>
          <w:color w:val="061719"/>
          <w:sz w:val="27"/>
          <w:szCs w:val="27"/>
        </w:rPr>
        <w:t xml:space="preserve">Unanswered questions and next action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424"/>
        <w:gridCol w:w="4200"/>
      </w:tblGrid>
      <w:tr>
        <w:trPr>
          <w:cantSplit/>
          <w:tblHeader/>
        </w:trPr>
        <w:tc>
          <w:tcPr>
            <w:tcW w:type="dxa" w:w="16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Candidate</w:t>
            </w:r>
          </w:p>
        </w:tc>
        <w:tc>
          <w:tcPr>
            <w:tcW w:type="dxa" w:w="4424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Question / evidence still needed</w:t>
            </w:r>
          </w:p>
        </w:tc>
        <w:tc>
          <w:tcPr>
            <w:tcW w:type="dxa" w:w="42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shd w:fill="F3F5F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/>
                <w:bCs/>
                <w:color w:val="061719"/>
                <w:sz w:val="20"/>
                <w:szCs w:val="20"/>
              </w:rPr>
              <w:t xml:space="preserve">Next action / owner / due date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A</w:t>
            </w:r>
          </w:p>
        </w:tc>
        <w:tc>
          <w:tcPr>
            <w:tcW w:type="dxa" w:w="4424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2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____________________________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B</w:t>
            </w:r>
          </w:p>
        </w:tc>
        <w:tc>
          <w:tcPr>
            <w:tcW w:type="dxa" w:w="4424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2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____________________________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C</w:t>
            </w:r>
          </w:p>
        </w:tc>
        <w:tc>
          <w:tcPr>
            <w:tcW w:type="dxa" w:w="4424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200"/>
            <w:tcBorders>
              <w:top w:val="single" w:color="ADB9B9" w:sz="4"/>
              <w:left w:val="single" w:color="ADB9B9" w:sz="4"/>
              <w:bottom w:val="single" w:color="ADB9B9" w:sz="4"/>
              <w:right w:val="single" w:color="ADB9B9" w:sz="4"/>
            </w:tcBorders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pPr>
              <w:spacing w:after="35" w:line="250"/>
            </w:pPr>
            <w:r>
              <w:rPr>
                <w:rFonts w:ascii="Inter" w:cs="Inter" w:eastAsia="Inter" w:hAnsi="Inter"/>
                <w:b w:val="false"/>
                <w:bCs w:val="false"/>
                <w:color w:val="061719"/>
                <w:sz w:val="20"/>
                <w:szCs w:val="20"/>
              </w:rPr>
              <w:t xml:space="preserve">____________________________</w:t>
            </w:r>
          </w:p>
        </w:tc>
      </w:tr>
    </w:tbl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Preferred option / reason: ___________________________________________________</w:t>
      </w:r>
    </w:p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Do not total away unknowns. Resolve important NYV items and unmet essentials first. This scorecard supports judgment; it is not a validated prediction of event success.</w:t>
      </w:r>
    </w:p>
    <w:p>
      <w:pPr>
        <w:spacing w:after="65" w:line="235"/>
      </w:pPr>
      <w:r>
        <w:rPr>
          <w:rFonts w:ascii="Inter" w:cs="Inter" w:eastAsia="Inter" w:hAnsi="Inter"/>
          <w:color w:val="061719"/>
          <w:sz w:val="19"/>
          <w:szCs w:val="19"/>
        </w:rPr>
        <w:t xml:space="preserve">Need help building your speaker shortlist?</w:t>
      </w:r>
    </w:p>
    <w:p>
      <w:pPr>
        <w:spacing w:after="25" w:line="230"/>
      </w:pPr>
      <w:hyperlink w:history="1" r:id="rIdmn1xnadn5pjm8fkf883og">
        <w:r>
          <w:rPr>
            <w:rFonts w:ascii="Inter" w:cs="Inter" w:eastAsia="Inter" w:hAnsi="Inter"/>
            <w:color w:val="061719"/>
            <w:sz w:val="19"/>
            <w:szCs w:val="19"/>
            <w:u w:val="single"/>
          </w:rPr>
          <w:t xml:space="preserve">Explore Signal &amp; Stage and tell us about your audience:</w:t>
        </w:r>
      </w:hyperlink>
    </w:p>
    <w:p>
      <w:pPr>
        <w:spacing w:after="190" w:before="120"/>
      </w:pPr>
      <w:r>
        <w:drawing>
          <wp:inline distT="0" distB="0" distL="0" distR="0">
            <wp:extent cx="495300" cy="495300"/>
            <wp:effectExtent t="0" r="0" b="0" l="0"/>
            <wp:docPr id="1" name="website-qr.png" descr="https://www.harveycastromd.com/signal-and-stage" title="QR code to Signal &amp; S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8"/>
      <w:type w:val="nextPage"/>
      <w:pgSz w:w="12240" w:h="15840" w:orient="portrait"/>
      <w:pgMar w:top="650" w:right="1008" w:bottom="950" w:left="1008" w:header="3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4CD68" w:sz="5"/>
      </w:pBdr>
      <w:spacing w:after="30" w:before="50"/>
    </w:pPr>
    <w:r>
      <w:rPr>
        <w:rFonts w:ascii="Inter" w:cs="Inter" w:eastAsia="Inter" w:hAnsi="Inter"/>
        <w:b/>
        <w:bCs/>
        <w:color w:val="061719"/>
        <w:sz w:val="18"/>
        <w:szCs w:val="18"/>
      </w:rPr>
      <w:t xml:space="preserve">Signal &amp; Stage</w:t>
    </w:r>
    <w:r>
      <w:rPr>
        <w:rFonts w:ascii="Inter" w:cs="Inter" w:eastAsia="Inter" w:hAnsi="Inter"/>
        <w:color w:val="061719"/>
        <w:sz w:val="18"/>
        <w:szCs w:val="18"/>
      </w:rPr>
      <w:t xml:space="preserve">  |  A DR GPT™ Labs venture</w:t>
    </w:r>
    <w:r>
      <w:rPr>
        <w:rFonts w:ascii="Inter" w:cs="Inter" w:eastAsia="Inter" w:hAnsi="Inter"/>
        <w:color w:val="061719"/>
        <w:sz w:val="18"/>
        <w:szCs w:val="18"/>
      </w:rPr>
      <w:t xml:space="preserve">     </w:t>
    </w:r>
    <w:r>
      <w:rPr>
        <w:rFonts w:ascii="Inter" w:cs="Inter" w:eastAsia="Inter" w:hAnsi="Inter"/>
        <w:color w:val="47545A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  <w:p>
    <w:pPr>
      <w:spacing w:after="0" w:line="210"/>
    </w:pPr>
    <w:hyperlink w:history="1" r:id="rIdn5hkegtcppyrj0z2vbaaq">
      <w:r>
        <w:rPr>
          <w:rFonts w:ascii="Inter" w:cs="Inter" w:eastAsia="Inter" w:hAnsi="Inter"/>
          <w:color w:val="061719"/>
          <w:sz w:val="18"/>
          <w:szCs w:val="18"/>
          <w:u w:val="single"/>
        </w:rPr>
        <w:t xml:space="preserve">www.harveycastromd.com/signal-and-stage</w:t>
      </w:r>
    </w:hyperlink>
    <w:r>
      <w:rPr>
        <w:rFonts w:ascii="Inter" w:cs="Inter" w:eastAsia="Inter" w:hAnsi="Inter"/>
        <w:color w:val="47545A"/>
        <w:sz w:val="18"/>
        <w:szCs w:val="18"/>
      </w:rPr>
      <w:t xml:space="preserve">   |   v1.0 · September 27, 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4CD68" w:sz="5"/>
      </w:pBdr>
      <w:spacing w:after="30" w:before="50"/>
    </w:pPr>
    <w:r>
      <w:rPr>
        <w:rFonts w:ascii="Inter" w:cs="Inter" w:eastAsia="Inter" w:hAnsi="Inter"/>
        <w:b/>
        <w:bCs/>
        <w:color w:val="061719"/>
        <w:sz w:val="18"/>
        <w:szCs w:val="18"/>
      </w:rPr>
      <w:t xml:space="preserve">Signal &amp; Stage</w:t>
    </w:r>
    <w:r>
      <w:rPr>
        <w:rFonts w:ascii="Inter" w:cs="Inter" w:eastAsia="Inter" w:hAnsi="Inter"/>
        <w:color w:val="061719"/>
        <w:sz w:val="18"/>
        <w:szCs w:val="18"/>
      </w:rPr>
      <w:t xml:space="preserve">  |  A DR GPT™ Labs venture</w:t>
    </w:r>
    <w:r>
      <w:rPr>
        <w:rFonts w:ascii="Inter" w:cs="Inter" w:eastAsia="Inter" w:hAnsi="Inter"/>
        <w:color w:val="061719"/>
        <w:sz w:val="18"/>
        <w:szCs w:val="18"/>
      </w:rPr>
      <w:t xml:space="preserve">     </w:t>
    </w:r>
    <w:r>
      <w:rPr>
        <w:rFonts w:ascii="Inter" w:cs="Inter" w:eastAsia="Inter" w:hAnsi="Inter"/>
        <w:color w:val="47545A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  <w:p>
    <w:pPr>
      <w:spacing w:after="0" w:line="210"/>
    </w:pPr>
    <w:hyperlink w:history="1" r:id="rId-oxec50zvcmv7qrlncwlc">
      <w:r>
        <w:rPr>
          <w:rFonts w:ascii="Inter" w:cs="Inter" w:eastAsia="Inter" w:hAnsi="Inter"/>
          <w:color w:val="061719"/>
          <w:sz w:val="18"/>
          <w:szCs w:val="18"/>
          <w:u w:val="single"/>
        </w:rPr>
        <w:t xml:space="preserve">www.harveycastromd.com/signal-and-stage</w:t>
      </w:r>
    </w:hyperlink>
    <w:r>
      <w:rPr>
        <w:rFonts w:ascii="Inter" w:cs="Inter" w:eastAsia="Inter" w:hAnsi="Inter"/>
        <w:color w:val="47545A"/>
        <w:sz w:val="18"/>
        <w:szCs w:val="18"/>
      </w:rPr>
      <w:t xml:space="preserve">   |   v1.0 · September 27,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61719"/>
        <w:sz w:val="22"/>
        <w:szCs w:val="22"/>
      </w:rPr>
    </w:rPrDefault>
    <w:pPrDefault>
      <w:pPr>
        <w:spacing w:after="130" w:line="30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cs="Arial" w:eastAsia="Arial" w:hAnsi="Arial"/>
      <w:b/>
      <w:bCs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cs="Arial" w:eastAsia="Arial" w:hAnsi="Arial"/>
      <w:b/>
      <w:bCs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mn1xnadn5pjm8fkf883og" Type="http://schemas.openxmlformats.org/officeDocument/2006/relationships/hyperlink" Target="https://www.harveycastromd.com/signal-and-stage" TargetMode="External"/><Relationship Id="rId9" Type="http://schemas.openxmlformats.org/officeDocument/2006/relationships/image" Target="media/f703f224379088e19b082e66fc2f1d567ce3a424.png"/><Relationship Id="rId10" Type="http://schemas.openxmlformats.org/officeDocument/2006/relationships/image" Target="media/0324c0ca3066a4cacb82fecb73c9ecd43dcc2d1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hkegtcppyrj0z2vbaaq" Type="http://schemas.openxmlformats.org/officeDocument/2006/relationships/hyperlink" Target="https://www.harveycastromd.com/signal-and-stage" TargetMode="External"/></Relationships>
</file>

<file path=word/_rels/footer2.xml.rels><?xml version="1.0" encoding="UTF-8"?><Relationships xmlns="http://schemas.openxmlformats.org/package/2006/relationships"><Relationship Id="rId-oxec50zvcmv7qrlncwlc" Type="http://schemas.openxmlformats.org/officeDocument/2006/relationships/hyperlink" Target="https://www.harveycastromd.com/signal-and-stag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Signal &amp; Stage Speaker Comparison Scorecard</dc:title>
  <dc:creator>Perplexity Computer</dc:creator>
  <dc:description>Signal &amp; Stage event planner resource</dc:description>
  <cp:lastModifiedBy>Un-named</cp:lastModifiedBy>
  <cp:revision>1</cp:revision>
  <dcterms:created xsi:type="dcterms:W3CDTF">2026-09-28T00:55:44.358Z</dcterms:created>
  <dcterms:modified xsi:type="dcterms:W3CDTF">2026-09-28T00:55:44.358Z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