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before="0"/>
        <w:jc w:val="right"/>
      </w:pPr>
      <w:r>
        <w:rPr>
          <w:b w:val="0"/>
          <w:i w:val="0"/>
          <w:highlight w:val="yellow"/>
        </w:rPr>
        <w:t>[Miejscowość]</w:t>
      </w:r>
      <w:r>
        <w:rPr>
          <w:b w:val="0"/>
          <w:i w:val="0"/>
        </w:rPr>
        <w:t xml:space="preserve">, </w:t>
      </w:r>
      <w:r>
        <w:rPr>
          <w:b w:val="0"/>
          <w:i w:val="0"/>
          <w:highlight w:val="yellow"/>
        </w:rPr>
        <w:t>[data]</w:t>
      </w:r>
      <w:r>
        <w:rPr>
          <w:b w:val="0"/>
          <w:i w:val="0"/>
        </w:rPr>
        <w:t xml:space="preserve"> r.</w:t>
      </w:r>
    </w:p>
    <w:p>
      <w:pPr>
        <w:spacing w:after="200" w:before="0"/>
      </w:pPr>
      <w:r>
        <w:rPr>
          <w:b w:val="0"/>
          <w:i w:val="0"/>
          <w:color w:val="5F6B67"/>
          <w:sz w:val="19"/>
          <w:highlight w:val="yellow"/>
        </w:rPr>
        <w:t>[List polecony za potwierdzeniem odbioru / Doręczenie do rąk własnych / Przesyłka przez e-Doręczenia]</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536"/>
        <w:gridCol w:w="4536"/>
      </w:tblGrid>
      <w:tr>
        <w:tc>
          <w:tcPr>
            <w:tcW w:type="dxa" w:w="4535"/>
          </w:tcPr>
          <w:p>
            <w:pPr>
              <w:spacing w:after="0"/>
            </w:pPr>
            <w:r>
              <w:rPr>
                <w:b/>
                <w:i w:val="0"/>
                <w:color w:val="5F6B67"/>
                <w:sz w:val="19"/>
              </w:rPr>
              <w:t>Wierzyciel</w:t>
            </w:r>
            <w:r>
              <w:br/>
            </w:r>
            <w:r>
              <w:rPr>
                <w:b w:val="0"/>
                <w:i w:val="0"/>
                <w:sz w:val="21"/>
                <w:highlight w:val="yellow"/>
              </w:rPr>
              <w:t>[Pełna nazwa firmy]</w:t>
            </w:r>
            <w:r>
              <w:br/>
            </w:r>
            <w:r>
              <w:rPr>
                <w:b w:val="0"/>
                <w:i w:val="0"/>
                <w:sz w:val="21"/>
                <w:highlight w:val="yellow"/>
              </w:rPr>
              <w:t>[Adres siedziby]</w:t>
            </w:r>
            <w:r>
              <w:br/>
            </w:r>
            <w:r>
              <w:rPr>
                <w:b w:val="0"/>
                <w:i w:val="0"/>
                <w:sz w:val="21"/>
              </w:rPr>
              <w:t xml:space="preserve">NIP </w:t>
            </w:r>
            <w:r>
              <w:rPr>
                <w:b w:val="0"/>
                <w:i w:val="0"/>
                <w:sz w:val="21"/>
                <w:highlight w:val="yellow"/>
              </w:rPr>
              <w:t>[numer]</w:t>
            </w:r>
            <w:r>
              <w:br/>
            </w:r>
            <w:r>
              <w:rPr>
                <w:b w:val="0"/>
                <w:i w:val="0"/>
                <w:sz w:val="21"/>
              </w:rPr>
              <w:t xml:space="preserve">KRS </w:t>
            </w:r>
            <w:r>
              <w:rPr>
                <w:b w:val="0"/>
                <w:i w:val="0"/>
                <w:sz w:val="21"/>
                <w:highlight w:val="yellow"/>
              </w:rPr>
              <w:t>[numer]</w:t>
            </w:r>
            <w:r>
              <w:rPr>
                <w:b w:val="0"/>
                <w:i w:val="0"/>
                <w:sz w:val="21"/>
              </w:rPr>
              <w:t xml:space="preserve"> albo wpis do CEIDG</w:t>
            </w:r>
            <w:r>
              <w:br/>
            </w:r>
            <w:r>
              <w:rPr>
                <w:b w:val="0"/>
                <w:i w:val="0"/>
                <w:sz w:val="21"/>
              </w:rPr>
              <w:t xml:space="preserve">Tel. </w:t>
            </w:r>
            <w:r>
              <w:rPr>
                <w:b w:val="0"/>
                <w:i w:val="0"/>
                <w:sz w:val="21"/>
                <w:highlight w:val="yellow"/>
              </w:rPr>
              <w:t>[numer]</w:t>
            </w:r>
            <w:r>
              <w:rPr>
                <w:b w:val="0"/>
                <w:i w:val="0"/>
                <w:sz w:val="21"/>
              </w:rPr>
              <w:t xml:space="preserve">, e-mail </w:t>
            </w:r>
            <w:r>
              <w:rPr>
                <w:b w:val="0"/>
                <w:i w:val="0"/>
                <w:sz w:val="21"/>
                <w:highlight w:val="yellow"/>
              </w:rPr>
              <w:t>[adres]</w:t>
            </w:r>
          </w:p>
        </w:tc>
        <w:tc>
          <w:tcPr>
            <w:tcW w:type="dxa" w:w="4535"/>
          </w:tcPr>
          <w:p>
            <w:pPr>
              <w:spacing w:after="0"/>
            </w:pPr>
            <w:r>
              <w:rPr>
                <w:b/>
                <w:i w:val="0"/>
                <w:color w:val="5F6B67"/>
                <w:sz w:val="19"/>
              </w:rPr>
              <w:t>Dłużnik</w:t>
            </w:r>
            <w:r>
              <w:br/>
            </w:r>
            <w:r>
              <w:rPr>
                <w:b w:val="0"/>
                <w:i w:val="0"/>
                <w:sz w:val="21"/>
                <w:highlight w:val="yellow"/>
              </w:rPr>
              <w:t>[Imię i nazwisko]</w:t>
            </w:r>
            <w:r>
              <w:br/>
            </w:r>
            <w:r>
              <w:rPr>
                <w:b w:val="0"/>
                <w:i w:val="0"/>
                <w:sz w:val="21"/>
                <w:highlight w:val="yellow"/>
              </w:rPr>
              <w:t>[Adres do doręczeń wskazany przez dłużnika, a jeśli go nie wskazał, adres zamieszkania]</w:t>
            </w:r>
          </w:p>
        </w:tc>
      </w:tr>
    </w:tbl>
    <w:p>
      <w:pPr>
        <w:keepNext/>
        <w:spacing w:after="240" w:before="280"/>
        <w:jc w:val="center"/>
      </w:pPr>
      <w:r>
        <w:rPr>
          <w:b/>
          <w:i w:val="0"/>
          <w:color w:val="0A1F1A"/>
          <w:sz w:val="30"/>
        </w:rPr>
        <w:t>PRZEDSĄDOWE WEZWANIE DO ZAPŁATY</w:t>
      </w:r>
    </w:p>
    <w:p>
      <w:pPr>
        <w:spacing w:after="120" w:before="0"/>
      </w:pPr>
      <w:r>
        <w:rPr>
          <w:b w:val="0"/>
          <w:i w:val="0"/>
        </w:rPr>
        <w:t xml:space="preserve">Wzywamy </w:t>
      </w:r>
      <w:r>
        <w:rPr>
          <w:b w:val="0"/>
          <w:i w:val="0"/>
          <w:highlight w:val="yellow"/>
        </w:rPr>
        <w:t>[Pana / Panią]</w:t>
      </w:r>
      <w:r>
        <w:rPr>
          <w:b w:val="0"/>
          <w:i w:val="0"/>
        </w:rPr>
        <w:t xml:space="preserve"> do zapłaty kwoty </w:t>
      </w:r>
      <w:r>
        <w:rPr>
          <w:b w:val="0"/>
          <w:i w:val="0"/>
          <w:highlight w:val="yellow"/>
        </w:rPr>
        <w:t>[suma]</w:t>
      </w:r>
      <w:r>
        <w:rPr>
          <w:b w:val="0"/>
          <w:i w:val="0"/>
        </w:rPr>
        <w:t xml:space="preserve"> zł (słownie </w:t>
      </w:r>
      <w:r>
        <w:rPr>
          <w:b w:val="0"/>
          <w:i w:val="0"/>
          <w:highlight w:val="yellow"/>
        </w:rPr>
        <w:t>[kwota słownie]</w:t>
      </w:r>
      <w:r>
        <w:rPr>
          <w:b w:val="0"/>
          <w:i w:val="0"/>
        </w:rPr>
        <w:t xml:space="preserve">) w terminie </w:t>
      </w:r>
      <w:r>
        <w:rPr>
          <w:b w:val="0"/>
          <w:i w:val="0"/>
          <w:highlight w:val="yellow"/>
        </w:rPr>
        <w:t>[7 / 14]</w:t>
      </w:r>
      <w:r>
        <w:rPr>
          <w:b w:val="0"/>
          <w:i w:val="0"/>
        </w:rPr>
        <w:t xml:space="preserve"> dni od dnia doręczenia tego wezwania.</w:t>
      </w:r>
    </w:p>
    <w:p>
      <w:pPr>
        <w:keepNext/>
        <w:spacing w:after="60" w:before="80"/>
      </w:pPr>
      <w:r>
        <w:rPr>
          <w:b/>
          <w:i w:val="0"/>
          <w:color w:val="0A1F1A"/>
          <w:sz w:val="23"/>
        </w:rPr>
        <w:t xml:space="preserve">Zadłużenie na dzień </w:t>
      </w:r>
      <w:r>
        <w:rPr>
          <w:b/>
          <w:i w:val="0"/>
          <w:color w:val="0A1F1A"/>
          <w:sz w:val="23"/>
          <w:highlight w:val="yellow"/>
        </w:rPr>
        <w:t>[data]</w:t>
      </w:r>
    </w:p>
    <w:tbl>
      <w:tblPr>
        <w:tblW w:type="auto" w:w="0"/>
        <w:tblLook w:firstColumn="1" w:firstRow="1" w:lastColumn="0" w:lastRow="0" w:noHBand="0" w:noVBand="1" w:val="04A0"/>
        <w:tblBorders>
          <w:top w:val="single" w:sz="4" w:space="0" w:color="BFC5C3"/>
          <w:left w:val="single" w:sz="4" w:space="0" w:color="BFC5C3"/>
          <w:bottom w:val="single" w:sz="4" w:space="0" w:color="BFC5C3"/>
          <w:right w:val="single" w:sz="4" w:space="0" w:color="BFC5C3"/>
          <w:insideH w:val="single" w:sz="4" w:space="0" w:color="BFC5C3"/>
          <w:insideV w:val="nil"/>
        </w:tblBorders>
        <w:tblLayout w:type="fixed"/>
        <w:tblCellMar>
          <w:top w:w="60" w:type="dxa"/>
          <w:left w:w="100" w:type="dxa"/>
          <w:bottom w:w="60" w:type="dxa"/>
          <w:right w:w="100" w:type="dxa"/>
        </w:tblCellMar>
      </w:tblPr>
      <w:tblGrid>
        <w:gridCol w:w="6917"/>
        <w:gridCol w:w="2154"/>
      </w:tblGrid>
      <w:tr>
        <w:tc>
          <w:tcPr>
            <w:tcW w:type="dxa" w:w="6917"/>
            <w:vAlign w:val="center"/>
          </w:tcPr>
          <w:p>
            <w:pPr>
              <w:spacing w:after="0" w:line="252" w:lineRule="auto"/>
            </w:pPr>
            <w:r>
              <w:rPr>
                <w:b w:val="0"/>
                <w:i w:val="0"/>
                <w:sz w:val="21"/>
              </w:rPr>
              <w:t xml:space="preserve">Należność główna z </w:t>
            </w:r>
            <w:r>
              <w:rPr>
                <w:b w:val="0"/>
                <w:i w:val="0"/>
                <w:sz w:val="21"/>
                <w:highlight w:val="yellow"/>
              </w:rPr>
              <w:t>[faktury nr / umowy nr]</w:t>
            </w:r>
            <w:r>
              <w:rPr>
                <w:b w:val="0"/>
                <w:i w:val="0"/>
                <w:sz w:val="21"/>
              </w:rPr>
              <w:t xml:space="preserve"> </w:t>
            </w:r>
            <w:r>
              <w:rPr>
                <w:b w:val="0"/>
                <w:i w:val="0"/>
                <w:sz w:val="21"/>
                <w:highlight w:val="yellow"/>
              </w:rPr>
              <w:t>[numer]</w:t>
            </w:r>
            <w:r>
              <w:rPr>
                <w:b w:val="0"/>
                <w:i w:val="0"/>
                <w:sz w:val="21"/>
              </w:rPr>
              <w:t xml:space="preserve"> z </w:t>
            </w:r>
            <w:r>
              <w:rPr>
                <w:b w:val="0"/>
                <w:i w:val="0"/>
                <w:sz w:val="21"/>
                <w:highlight w:val="yellow"/>
              </w:rPr>
              <w:t>[data]</w:t>
            </w:r>
            <w:r>
              <w:rPr>
                <w:b w:val="0"/>
                <w:i w:val="0"/>
                <w:sz w:val="21"/>
              </w:rPr>
              <w:t xml:space="preserve">, termin płatności </w:t>
            </w:r>
            <w:r>
              <w:rPr>
                <w:b w:val="0"/>
                <w:i w:val="0"/>
                <w:sz w:val="21"/>
                <w:highlight w:val="yellow"/>
              </w:rPr>
              <w:t>[data]</w:t>
            </w:r>
          </w:p>
        </w:tc>
        <w:tc>
          <w:tcPr>
            <w:tcW w:type="dxa" w:w="2154"/>
            <w:vAlign w:val="center"/>
          </w:tcPr>
          <w:p>
            <w:pPr>
              <w:spacing w:after="0" w:line="252" w:lineRule="auto"/>
              <w:jc w:val="right"/>
            </w:pPr>
            <w:r>
              <w:rPr>
                <w:b w:val="0"/>
                <w:i w:val="0"/>
                <w:sz w:val="21"/>
                <w:highlight w:val="yellow"/>
              </w:rPr>
              <w:t>[kwota]</w:t>
            </w:r>
            <w:r>
              <w:rPr>
                <w:b w:val="0"/>
                <w:i w:val="0"/>
                <w:sz w:val="21"/>
              </w:rPr>
              <w:t xml:space="preserve"> zł</w:t>
            </w:r>
          </w:p>
        </w:tc>
      </w:tr>
      <w:tr>
        <w:tc>
          <w:tcPr>
            <w:tcW w:type="dxa" w:w="6917"/>
            <w:vAlign w:val="center"/>
          </w:tcPr>
          <w:p>
            <w:pPr>
              <w:spacing w:after="0" w:line="252" w:lineRule="auto"/>
            </w:pPr>
            <w:r>
              <w:rPr>
                <w:b w:val="0"/>
                <w:i w:val="0"/>
                <w:sz w:val="21"/>
              </w:rPr>
              <w:t xml:space="preserve">Odsetki ustawowe za opóźnienie od </w:t>
            </w:r>
            <w:r>
              <w:rPr>
                <w:b w:val="0"/>
                <w:i w:val="0"/>
                <w:sz w:val="21"/>
                <w:highlight w:val="yellow"/>
              </w:rPr>
              <w:t>[data]</w:t>
            </w:r>
            <w:r>
              <w:rPr>
                <w:b w:val="0"/>
                <w:i w:val="0"/>
                <w:sz w:val="21"/>
              </w:rPr>
              <w:t xml:space="preserve"> do </w:t>
            </w:r>
            <w:r>
              <w:rPr>
                <w:b w:val="0"/>
                <w:i w:val="0"/>
                <w:sz w:val="21"/>
                <w:highlight w:val="yellow"/>
              </w:rPr>
              <w:t>[data]</w:t>
            </w:r>
          </w:p>
        </w:tc>
        <w:tc>
          <w:tcPr>
            <w:tcW w:type="dxa" w:w="2154"/>
            <w:vAlign w:val="center"/>
          </w:tcPr>
          <w:p>
            <w:pPr>
              <w:spacing w:after="0" w:line="252" w:lineRule="auto"/>
              <w:jc w:val="right"/>
            </w:pPr>
            <w:r>
              <w:rPr>
                <w:b w:val="0"/>
                <w:i w:val="0"/>
                <w:sz w:val="21"/>
                <w:highlight w:val="yellow"/>
              </w:rPr>
              <w:t>[kwota]</w:t>
            </w:r>
            <w:r>
              <w:rPr>
                <w:b w:val="0"/>
                <w:i w:val="0"/>
                <w:sz w:val="21"/>
              </w:rPr>
              <w:t xml:space="preserve"> zł</w:t>
            </w:r>
          </w:p>
        </w:tc>
      </w:tr>
      <w:tr>
        <w:tc>
          <w:tcPr>
            <w:tcW w:type="dxa" w:w="6917"/>
            <w:vAlign w:val="center"/>
            <w:shd w:val="clear" w:color="auto" w:fill="EEF0EF"/>
          </w:tcPr>
          <w:p>
            <w:pPr>
              <w:spacing w:after="0" w:line="252" w:lineRule="auto"/>
            </w:pPr>
            <w:r>
              <w:rPr>
                <w:b/>
                <w:i w:val="0"/>
                <w:sz w:val="21"/>
              </w:rPr>
              <w:t>Razem do zapłaty</w:t>
            </w:r>
          </w:p>
        </w:tc>
        <w:tc>
          <w:tcPr>
            <w:tcW w:type="dxa" w:w="2154"/>
            <w:vAlign w:val="center"/>
            <w:shd w:val="clear" w:color="auto" w:fill="EEF0EF"/>
          </w:tcPr>
          <w:p>
            <w:pPr>
              <w:spacing w:after="0" w:line="252" w:lineRule="auto"/>
              <w:jc w:val="right"/>
            </w:pPr>
            <w:r>
              <w:rPr>
                <w:b/>
                <w:i w:val="0"/>
                <w:sz w:val="21"/>
                <w:highlight w:val="yellow"/>
              </w:rPr>
              <w:t>[suma]</w:t>
            </w:r>
            <w:r>
              <w:rPr>
                <w:b/>
                <w:i w:val="0"/>
                <w:sz w:val="21"/>
              </w:rPr>
              <w:t xml:space="preserve"> zł</w:t>
            </w:r>
          </w:p>
        </w:tc>
      </w:tr>
    </w:tbl>
    <w:p>
      <w:pPr>
        <w:spacing w:after="40" w:before="0"/>
      </w:pPr>
    </w:p>
    <w:p>
      <w:pPr>
        <w:keepNext/>
        <w:spacing w:after="60" w:before="160"/>
      </w:pPr>
      <w:r>
        <w:rPr>
          <w:b/>
          <w:i w:val="0"/>
          <w:color w:val="0A1F1A"/>
          <w:sz w:val="23"/>
        </w:rPr>
        <w:t>Podstawa żądania</w:t>
      </w:r>
    </w:p>
    <w:p>
      <w:pPr>
        <w:spacing w:after="120" w:before="0"/>
      </w:pPr>
      <w:r>
        <w:rPr>
          <w:b w:val="0"/>
          <w:i w:val="0"/>
        </w:rPr>
        <w:t xml:space="preserve">Należność wynika z </w:t>
      </w:r>
      <w:r>
        <w:rPr>
          <w:b w:val="0"/>
          <w:i w:val="0"/>
          <w:highlight w:val="yellow"/>
        </w:rPr>
        <w:t>[umowy nr [numer] z [data] / faktury nr [numer] z [data]]</w:t>
      </w:r>
      <w:r>
        <w:rPr>
          <w:b w:val="0"/>
          <w:i w:val="0"/>
        </w:rPr>
        <w:t>. Od dnia następującego po upływie terminu płatności do dnia zapłaty przysługują nam odsetki ustawowe za opóźnienie (art. 481 § 1 i 2 Kodeksu cywilnego). Od 5 marca 2026 r. wynoszą one 9,25% w skali roku. Ich wysokość zmienia się wraz ze zmianą stopy referencyjnej Narodowego Banku Polskiego.</w:t>
      </w:r>
    </w:p>
    <w:p>
      <w:pPr>
        <w:keepNext/>
        <w:spacing w:after="60" w:before="160"/>
      </w:pPr>
      <w:r>
        <w:rPr>
          <w:b/>
          <w:i w:val="0"/>
          <w:color w:val="0A1F1A"/>
          <w:sz w:val="23"/>
        </w:rPr>
        <w:t>Sposób zapłaty</w:t>
      </w:r>
    </w:p>
    <w:p>
      <w:pPr>
        <w:spacing w:after="120"/>
      </w:pPr>
      <w:r>
        <w:rPr>
          <w:b w:val="0"/>
          <w:i w:val="0"/>
        </w:rPr>
        <w:t>Prosimy o wpłatę całej kwoty na rachunek bankowy</w:t>
      </w:r>
      <w:r>
        <w:br/>
      </w:r>
      <w:r>
        <w:rPr>
          <w:b w:val="0"/>
          <w:i w:val="0"/>
          <w:highlight w:val="yellow"/>
        </w:rPr>
        <w:t>[Nazwa banku]</w:t>
      </w:r>
      <w:r>
        <w:br/>
      </w:r>
      <w:r>
        <w:rPr>
          <w:b w:val="0"/>
          <w:i w:val="0"/>
          <w:highlight w:val="yellow"/>
        </w:rPr>
        <w:t>[Numer rachunku]</w:t>
      </w:r>
      <w:r>
        <w:br/>
      </w:r>
      <w:r>
        <w:rPr>
          <w:b w:val="0"/>
          <w:i w:val="0"/>
        </w:rPr>
        <w:t xml:space="preserve">W tytule przelewu prosimy podać </w:t>
      </w:r>
      <w:r>
        <w:rPr>
          <w:b w:val="0"/>
          <w:i w:val="0"/>
          <w:highlight w:val="yellow"/>
        </w:rPr>
        <w:t>[numer faktury albo umowy]</w:t>
      </w:r>
      <w:r>
        <w:rPr>
          <w:b w:val="0"/>
          <w:i w:val="0"/>
        </w:rPr>
        <w:t>.</w:t>
      </w:r>
    </w:p>
    <w:p>
      <w:pPr>
        <w:keepNext/>
        <w:spacing w:after="60" w:before="160"/>
      </w:pPr>
      <w:r>
        <w:rPr>
          <w:b/>
          <w:i w:val="0"/>
          <w:color w:val="0A1F1A"/>
          <w:sz w:val="23"/>
        </w:rPr>
        <w:t>Skutki braku zapłaty</w:t>
      </w:r>
    </w:p>
    <w:p>
      <w:pPr>
        <w:spacing w:after="120" w:before="0"/>
      </w:pPr>
      <w:r>
        <w:rPr>
          <w:b w:val="0"/>
          <w:i w:val="0"/>
        </w:rPr>
        <w:t>Jeżeli należność nie zostanie zapłacona w wyznaczonym terminie, skierujemy sprawę do sądu. Strona przegrywająca sprawę zwraca przeciwnikowi koszty procesu (art. 98 Kodeksu postępowania cywilnego). Po uzyskaniu tytułu wykonawczego złożymy wniosek o wszczęcie egzekucji komorniczej. Odsetki naliczamy do dnia zapłaty.</w:t>
      </w:r>
    </w:p>
    <w:p>
      <w:pPr>
        <w:keepNext/>
        <w:spacing w:after="60" w:before="160"/>
      </w:pPr>
      <w:r>
        <w:rPr>
          <w:b/>
          <w:i w:val="0"/>
          <w:color w:val="0A1F1A"/>
          <w:sz w:val="23"/>
        </w:rPr>
        <w:t>Ostrzeżenie o zamiarze przekazania danych do biura informacji gospodarczej</w:t>
      </w:r>
    </w:p>
    <w:p>
      <w:pPr>
        <w:spacing w:after="120" w:before="0"/>
      </w:pPr>
      <w:r>
        <w:rPr>
          <w:b w:val="0"/>
          <w:i w:val="0"/>
        </w:rPr>
        <w:t xml:space="preserve">Uprzedzamy, że w razie braku zapłaty zamierzamy przekazać informacje gospodarcze o </w:t>
      </w:r>
      <w:r>
        <w:rPr>
          <w:b w:val="0"/>
          <w:i w:val="0"/>
          <w:highlight w:val="yellow"/>
        </w:rPr>
        <w:t>[Pana / Pani]</w:t>
      </w:r>
      <w:r>
        <w:rPr>
          <w:b w:val="0"/>
          <w:i w:val="0"/>
        </w:rPr>
        <w:t xml:space="preserve"> zobowiązaniu do biura informacji gospodarczej </w:t>
      </w:r>
      <w:r>
        <w:rPr>
          <w:b w:val="0"/>
          <w:i w:val="0"/>
          <w:highlight w:val="yellow"/>
        </w:rPr>
        <w:t>[firma biura]</w:t>
      </w:r>
      <w:r>
        <w:rPr>
          <w:b w:val="0"/>
          <w:i w:val="0"/>
        </w:rPr>
        <w:t xml:space="preserve"> z siedzibą w </w:t>
      </w:r>
      <w:r>
        <w:rPr>
          <w:b w:val="0"/>
          <w:i w:val="0"/>
          <w:highlight w:val="yellow"/>
        </w:rPr>
        <w:t>[miejscowość]</w:t>
      </w:r>
      <w:r>
        <w:rPr>
          <w:b w:val="0"/>
          <w:i w:val="0"/>
        </w:rPr>
        <w:t xml:space="preserve">, </w:t>
      </w:r>
      <w:r>
        <w:rPr>
          <w:b w:val="0"/>
          <w:i w:val="0"/>
          <w:highlight w:val="yellow"/>
        </w:rPr>
        <w:t>[adres siedziby biura]</w:t>
      </w:r>
      <w:r>
        <w:rPr>
          <w:b w:val="0"/>
          <w:i w:val="0"/>
        </w:rPr>
        <w:t xml:space="preserve">, na podstawie art. 14 ustawy z dnia 9 kwietnia 2010 r. o udostępnianiu informacji gospodarczych i wymianie danych gospodarczych. Przekazanie nastąpi nie wcześniej niż po upływie miesiąca od dnia </w:t>
      </w:r>
      <w:r>
        <w:rPr>
          <w:b w:val="0"/>
          <w:i w:val="0"/>
          <w:highlight w:val="yellow"/>
        </w:rPr>
        <w:t>[wysłania tego wezwania listem poleconym / doręczenia tego wezwania do rąk własnych / doręczenia tego wezwania na adres do doręczeń elektronicznych]</w:t>
      </w:r>
      <w:r>
        <w:rPr>
          <w:b w:val="0"/>
          <w:i w:val="0"/>
        </w:rPr>
        <w:t>.</w:t>
      </w:r>
    </w:p>
    <w:p>
      <w:pPr>
        <w:spacing w:after="120" w:before="0"/>
      </w:pPr>
      <w:r>
        <w:rPr>
          <w:b w:val="0"/>
          <w:i w:val="0"/>
        </w:rPr>
        <w:t xml:space="preserve">Zgodnie z art. 15a tej ustawy </w:t>
      </w:r>
      <w:r>
        <w:rPr>
          <w:b w:val="0"/>
          <w:i w:val="0"/>
          <w:highlight w:val="yellow"/>
        </w:rPr>
        <w:t>[ma Pan / ma Pani]</w:t>
      </w:r>
      <w:r>
        <w:rPr>
          <w:b w:val="0"/>
          <w:i w:val="0"/>
        </w:rPr>
        <w:t xml:space="preserve"> prawo zgłosić nam sprzeciw wobec zamiaru przekazania danych do biura. Sprzeciw można przesłać pisemnie na adres </w:t>
      </w:r>
      <w:r>
        <w:rPr>
          <w:b w:val="0"/>
          <w:i w:val="0"/>
          <w:highlight w:val="yellow"/>
        </w:rPr>
        <w:t>[adres wierzyciela]</w:t>
      </w:r>
      <w:r>
        <w:rPr>
          <w:b w:val="0"/>
          <w:i w:val="0"/>
        </w:rPr>
        <w:t xml:space="preserve"> albo e-mailem na adres </w:t>
      </w:r>
      <w:r>
        <w:rPr>
          <w:b w:val="0"/>
          <w:i w:val="0"/>
          <w:highlight w:val="yellow"/>
        </w:rPr>
        <w:t>[adres e-mail]</w:t>
      </w:r>
      <w:r>
        <w:rPr>
          <w:b w:val="0"/>
          <w:i w:val="0"/>
        </w:rPr>
        <w:t>.</w:t>
      </w:r>
    </w:p>
    <w:p>
      <w:pPr>
        <w:keepNext/>
        <w:spacing w:after="60" w:before="160"/>
      </w:pPr>
      <w:r>
        <w:rPr>
          <w:b/>
          <w:i w:val="0"/>
          <w:color w:val="0A1F1A"/>
          <w:sz w:val="23"/>
        </w:rPr>
        <w:t>Gotowość do porozumienia</w:t>
      </w:r>
    </w:p>
    <w:p>
      <w:pPr>
        <w:spacing w:after="120" w:before="0"/>
      </w:pPr>
      <w:r>
        <w:rPr>
          <w:b w:val="0"/>
          <w:i w:val="0"/>
        </w:rPr>
        <w:t xml:space="preserve">Jesteśmy otwarci na polubowne rozwiązanie sprawy, w tym na rozłożenie należności na raty. Prosimy o kontakt przed upływem wyznaczonego terminu z </w:t>
      </w:r>
      <w:r>
        <w:rPr>
          <w:b w:val="0"/>
          <w:i w:val="0"/>
          <w:highlight w:val="yellow"/>
        </w:rPr>
        <w:t>[imię i nazwisko]</w:t>
      </w:r>
      <w:r>
        <w:rPr>
          <w:b w:val="0"/>
          <w:i w:val="0"/>
        </w:rPr>
        <w:t xml:space="preserve">, tel. </w:t>
      </w:r>
      <w:r>
        <w:rPr>
          <w:b w:val="0"/>
          <w:i w:val="0"/>
          <w:highlight w:val="yellow"/>
        </w:rPr>
        <w:t>[numer]</w:t>
      </w:r>
      <w:r>
        <w:rPr>
          <w:b w:val="0"/>
          <w:i w:val="0"/>
        </w:rPr>
        <w:t xml:space="preserve">, e-mail </w:t>
      </w:r>
      <w:r>
        <w:rPr>
          <w:b w:val="0"/>
          <w:i w:val="0"/>
          <w:highlight w:val="yellow"/>
        </w:rPr>
        <w:t>[adres]</w:t>
      </w:r>
      <w:r>
        <w:rPr>
          <w:b w:val="0"/>
          <w:i w:val="0"/>
        </w:rPr>
        <w:t>. Jeżeli należność została już zapłacona, prosimy o przesłanie potwierdzenia przelewu i potraktowanie tego wezwania jako nieaktualnego.</w:t>
      </w:r>
    </w:p>
    <w:p>
      <w:pPr>
        <w:keepNext/>
        <w:spacing w:after="520" w:before="200"/>
      </w:pPr>
      <w:r>
        <w:rPr>
          <w:b w:val="0"/>
          <w:i w:val="0"/>
        </w:rPr>
        <w:t>Z poważaniem</w:t>
      </w:r>
    </w:p>
    <w:p>
      <w:pPr>
        <w:spacing w:after="200"/>
      </w:pPr>
      <w:r>
        <w:rPr>
          <w:b w:val="0"/>
          <w:i w:val="0"/>
          <w:sz w:val="21"/>
          <w:highlight w:val="yellow"/>
        </w:rPr>
        <w:t>[podpis]</w:t>
      </w:r>
      <w:r>
        <w:br/>
      </w:r>
      <w:r>
        <w:rPr>
          <w:b w:val="0"/>
          <w:i w:val="0"/>
          <w:sz w:val="21"/>
          <w:highlight w:val="yellow"/>
        </w:rPr>
        <w:t>[Imię i nazwisko, stanowisko]</w:t>
      </w:r>
      <w:r>
        <w:br/>
      </w:r>
      <w:r>
        <w:rPr>
          <w:b w:val="0"/>
          <w:i w:val="0"/>
          <w:sz w:val="21"/>
          <w:highlight w:val="yellow"/>
        </w:rPr>
        <w:t>[osoba uprawniona do reprezentacji wierzyciela]</w:t>
      </w:r>
    </w:p>
    <w:p>
      <w:pPr>
        <w:keepNext/>
        <w:spacing w:after="60" w:before="160"/>
      </w:pPr>
      <w:r>
        <w:rPr>
          <w:b/>
          <w:i w:val="0"/>
          <w:color w:val="0A1F1A"/>
          <w:sz w:val="23"/>
        </w:rPr>
        <w:t>Załączniki</w:t>
      </w:r>
    </w:p>
    <w:p>
      <w:pPr>
        <w:spacing w:after="120"/>
      </w:pPr>
      <w:r>
        <w:rPr>
          <w:b w:val="0"/>
          <w:i w:val="0"/>
          <w:sz w:val="21"/>
        </w:rPr>
        <w:t xml:space="preserve">1. Kopia </w:t>
      </w:r>
      <w:r>
        <w:rPr>
          <w:b w:val="0"/>
          <w:i w:val="0"/>
          <w:sz w:val="21"/>
          <w:highlight w:val="yellow"/>
        </w:rPr>
        <w:t>[faktury albo umowy]</w:t>
      </w:r>
      <w:r>
        <w:rPr>
          <w:b w:val="0"/>
          <w:i w:val="0"/>
          <w:sz w:val="21"/>
        </w:rPr>
        <w:t xml:space="preserve"> nr </w:t>
      </w:r>
      <w:r>
        <w:rPr>
          <w:b w:val="0"/>
          <w:i w:val="0"/>
          <w:sz w:val="21"/>
          <w:highlight w:val="yellow"/>
        </w:rPr>
        <w:t>[numer]</w:t>
      </w:r>
      <w:r>
        <w:br/>
      </w:r>
      <w:r>
        <w:rPr>
          <w:b w:val="0"/>
          <w:i w:val="0"/>
          <w:sz w:val="21"/>
        </w:rPr>
        <w:t xml:space="preserve">2. </w:t>
      </w:r>
      <w:r>
        <w:rPr>
          <w:b w:val="0"/>
          <w:i w:val="0"/>
          <w:sz w:val="21"/>
          <w:highlight w:val="yellow"/>
        </w:rPr>
        <w:t>[Wcześniejsza korespondencja w sprawie płatności]</w:t>
      </w:r>
    </w:p>
    <w:p>
      <w:pPr>
        <w:spacing w:after="0"/>
      </w:pPr>
      <w:r>
        <w:br w:type="page"/>
      </w:r>
    </w:p>
    <w:p>
      <w:pPr>
        <w:spacing w:after="160" w:before="0"/>
      </w:pPr>
      <w:r>
        <w:rPr>
          <w:b/>
          <w:i w:val="0"/>
          <w:color w:val="0A1F1A"/>
          <w:sz w:val="26"/>
        </w:rPr>
        <w:t>Wskazówki do wypełnienia (nie wysyłaj tej strony dłużnikowi)</w:t>
      </w:r>
    </w:p>
    <w:p>
      <w:pPr>
        <w:pStyle w:val="ListBullet"/>
        <w:spacing w:after="80" w:line="264" w:lineRule="auto"/>
      </w:pPr>
      <w:r>
        <w:rPr>
          <w:b/>
          <w:i w:val="0"/>
          <w:sz w:val="21"/>
        </w:rPr>
        <w:t xml:space="preserve">Jak wysłać. </w:t>
      </w:r>
      <w:r>
        <w:rPr>
          <w:b w:val="0"/>
          <w:i w:val="0"/>
          <w:sz w:val="21"/>
        </w:rPr>
        <w:t>Do konsumenta wezwanie z ostrzeżeniem o biurze musi pójść listem poleconym albo zostać doręczone do rąk własnych, na adres do doręczeń wskazany przez konsumenta, a jeśli go nie wskazał, na adres zamieszkania (art. 14 ust. 1 pkt 3). Ustawa dopuszcza też adres do doręczeń elektronicznych wpisany do bazy adresów elektronicznych. Zwykły e-mail nie wystarczy. Zachowaj kopię pisma, potwierdzenie nadania i zwrotkę.</w:t>
      </w:r>
    </w:p>
    <w:p>
      <w:pPr>
        <w:pStyle w:val="ListBullet"/>
        <w:spacing w:after="80" w:line="264" w:lineRule="auto"/>
      </w:pPr>
      <w:r>
        <w:rPr>
          <w:b/>
          <w:i w:val="0"/>
          <w:sz w:val="21"/>
        </w:rPr>
        <w:t xml:space="preserve">Kiedy możesz przekazać dane do biura. </w:t>
      </w:r>
      <w:r>
        <w:rPr>
          <w:b w:val="0"/>
          <w:i w:val="0"/>
          <w:sz w:val="21"/>
        </w:rPr>
        <w:t>Łączna kwota wymagalnych zobowiązań konsumenta wobec ciebie wynosi co najmniej 200 zł, są one wymagalne od co najmniej 30 dni, minął co najmniej miesiąc od wysłania wezwania listem poleconym albo od doręczenia do rąk własnych i nie minęło 6 lat od dnia wymagalności (art. 14 ust. 1). Dane przekażesz tylko do biura, z którym masz pisemną umowę (art. 12).</w:t>
      </w:r>
    </w:p>
    <w:p>
      <w:pPr>
        <w:pStyle w:val="ListBullet"/>
        <w:spacing w:after="80" w:line="264" w:lineRule="auto"/>
      </w:pPr>
      <w:r>
        <w:rPr>
          <w:b/>
          <w:i w:val="0"/>
          <w:sz w:val="21"/>
        </w:rPr>
        <w:t xml:space="preserve">Stawka odsetek. </w:t>
      </w:r>
      <w:r>
        <w:rPr>
          <w:b w:val="0"/>
          <w:i w:val="0"/>
          <w:sz w:val="21"/>
        </w:rPr>
        <w:t>Odsetki ustawowe za opóźnienie to stopa referencyjna NBP plus 5,5 punktu procentowego. Od 5 marca 2026 r. wynoszą 9,25% w skali roku i zmieniają się w dniu zmiany stopy NBP. Przed wysyłką sprawdź, czy stopa nie zmieniła się po 2 października 2026 r. (najbliższe posiedzenie RPP zaplanowano na 6 i 7 października 2026 r.). Wzór na odsetki to kwota × stawka roczna × liczba dni ÷ 365, z podziałem na okresy, gdy stawka się zmieniała.</w:t>
      </w:r>
    </w:p>
    <w:p>
      <w:pPr>
        <w:pStyle w:val="ListBullet"/>
        <w:spacing w:after="80" w:line="264" w:lineRule="auto"/>
      </w:pPr>
      <w:r>
        <w:rPr>
          <w:b/>
          <w:i w:val="0"/>
          <w:sz w:val="21"/>
        </w:rPr>
        <w:t xml:space="preserve">Bez rekompensaty. </w:t>
      </w:r>
      <w:r>
        <w:rPr>
          <w:b w:val="0"/>
          <w:i w:val="0"/>
          <w:sz w:val="21"/>
        </w:rPr>
        <w:t>Rekompensata 40, 70 albo 100 euro przysługuje tylko w transakcjach handlowych, więc w piśmie do konsumenta jej nie doliczaj.</w:t>
      </w:r>
    </w:p>
    <w:p>
      <w:pPr>
        <w:pStyle w:val="ListBullet"/>
        <w:spacing w:after="80" w:line="264" w:lineRule="auto"/>
      </w:pPr>
      <w:r>
        <w:rPr>
          <w:b/>
          <w:i w:val="0"/>
          <w:sz w:val="21"/>
        </w:rPr>
        <w:t xml:space="preserve">Przedawnienie. </w:t>
      </w:r>
      <w:r>
        <w:rPr>
          <w:b w:val="0"/>
          <w:i w:val="0"/>
          <w:sz w:val="21"/>
        </w:rPr>
        <w:t>Po upływie terminu przedawnienia nie można domagać się zaspokojenia roszczenia od konsumenta (art. 117 § 2¹ KC). Roszczenia związane z twoją działalnością gospodarczą przedawniają się po 3 latach, z końcem roku kalendarzowego.</w:t>
      </w:r>
    </w:p>
    <w:p>
      <w:pPr>
        <w:pStyle w:val="ListBullet"/>
        <w:spacing w:after="80" w:line="264" w:lineRule="auto"/>
      </w:pPr>
      <w:r>
        <w:rPr>
          <w:b/>
          <w:i w:val="0"/>
          <w:sz w:val="21"/>
        </w:rPr>
        <w:t xml:space="preserve">Firma i adres biura. </w:t>
      </w:r>
      <w:r>
        <w:rPr>
          <w:b w:val="0"/>
          <w:i w:val="0"/>
          <w:sz w:val="21"/>
        </w:rPr>
        <w:t>Wpisz pełną firmę biura i adres jego siedziby. Biura z wykazu ministra właściwego do spraw gospodarki (stan na 19 czerwca 2026 r.) to BIG InfoMonitor S.A., ul. Z. Modzelewskiego 77a, 02-679 Warszawa, Krajowe Biuro Informacji Gospodarczej S.A., ul. Lublańska 34, 31-476 Kraków, Krajowy Rejestr Długów Biuro Informacji Gospodarczej S.A., ul. Danuty Siedzikówny 12, 51-214 Wrocław, oraz ERIF Biuro Informacji Gospodarczej S.A., Aleje Jerozolimskie 100, 00-807 Warszawa. Przed wysyłką porównaj adres z umową z biurem.</w:t>
      </w:r>
    </w:p>
    <w:p>
      <w:pPr>
        <w:pStyle w:val="ListBullet"/>
        <w:spacing w:after="80" w:line="264" w:lineRule="auto"/>
      </w:pPr>
      <w:r>
        <w:rPr>
          <w:b/>
          <w:i w:val="0"/>
          <w:sz w:val="21"/>
        </w:rPr>
        <w:t xml:space="preserve">Sprzeciw dłużnika. </w:t>
      </w:r>
      <w:r>
        <w:rPr>
          <w:b w:val="0"/>
          <w:i w:val="0"/>
          <w:sz w:val="21"/>
        </w:rPr>
        <w:t>Jeśli dłużnik zgłosi sprzeciw, w którym kwestionuje dług albo podnosi przedawnienie, a ty mimo to przekażesz dane, musisz zaznaczyć ten sprzeciw w informacji przekazywanej do biura (art. 15a ust. 3).</w:t>
      </w:r>
    </w:p>
    <w:p>
      <w:pPr>
        <w:pStyle w:val="ListBullet"/>
        <w:spacing w:after="80" w:line="264" w:lineRule="auto"/>
      </w:pPr>
      <w:r>
        <w:rPr>
          <w:b/>
          <w:i w:val="0"/>
          <w:sz w:val="21"/>
        </w:rPr>
        <w:t xml:space="preserve">Po zapłacie. </w:t>
      </w:r>
      <w:r>
        <w:rPr>
          <w:b w:val="0"/>
          <w:i w:val="0"/>
          <w:sz w:val="21"/>
        </w:rPr>
        <w:t>Gdy dane są już w biurze, po zapłacie musisz niezwłocznie, najpóźniej w 14 dni, zażądać ich aktualizacji (art. 29 ust. 1). Za brak takiego żądania przy całkowitej zapłacie grozi grzywna do 30 000 zł (art. 47).</w:t>
      </w:r>
    </w:p>
    <w:p>
      <w:pPr>
        <w:spacing w:after="0" w:before="280"/>
      </w:pPr>
      <w:r>
        <w:rPr>
          <w:b w:val="0"/>
          <w:i w:val="0"/>
          <w:color w:val="5F6B67"/>
          <w:sz w:val="18"/>
        </w:rPr>
        <w:t xml:space="preserve">Wzór przygotował Sunbay. Odsetki z podziałem na okresy i gotową notę odsetkową policzysz w kalkulatorze na </w:t>
      </w:r>
      <w:hyperlink r:id="rId9">
        <w:r>
          <w:rPr>
            <w:color w:val="5F6B67"/>
            <w:u w:val="single"/>
            <w:sz w:val="18"/>
          </w:rPr>
          <w:t xml:space="preserve">sunbay.io/pl/kalkulator-odsetek</w:t>
        </w:r>
      </w:hyperlink>
    </w:p>
    <w:sectPr w:rsidR="00FC693F" w:rsidRPr="0006063C" w:rsidSect="00034616">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76" w:lineRule="auto"/>
    </w:pPr>
    <w:rPr>
      <w:rFonts w:ascii="Calibri" w:hAnsi="Calibri" w:eastAsia="Calibri" w:cs="Calibri"/>
      <w:color w:val="1E2422"/>
      <w:sz w:val="22"/>
      <w:lang w:val="pl-PL" w:eastAsia="pl-PL"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unbay.io/pl/kalkulator-odse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Przedsądowe wezwanie do zapłaty, wzór dla konsumenta</dc:title>
  <dc:subject>Wzór pisma do pobrania z sunbay.io</dc:subject>
  <dc:creator>Sunbay</dc:creator>
  <cp:keywords>wzór, Sunbay</cp:keywords>
  <dc:description>Wzór przygotował Sunbay, sunbay.io/pl</dc:description>
  <cp:lastModifiedBy/>
  <cp:revision>1</cp:revision>
  <dcterms:created xsi:type="dcterms:W3CDTF">2013-12-23T23:15:00Z</dcterms:created>
  <dcterms:modified xsi:type="dcterms:W3CDTF">2013-12-23T23:15:00Z</dcterms:modified>
  <cp:category/>
  <dc:language>pl-PL</dc:language>
</cp:coreProperties>
</file>