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right"/>
      </w:pPr>
      <w:r>
        <w:rPr>
          <w:b w:val="0"/>
          <w:i w:val="0"/>
          <w:highlight w:val="yellow"/>
        </w:rPr>
        <w:t>[Miejscowość]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[data]</w:t>
      </w:r>
      <w:r>
        <w:rPr>
          <w:b w:val="0"/>
          <w:i w:val="0"/>
        </w:rPr>
        <w:t xml:space="preserve"> r.</w:t>
      </w:r>
    </w:p>
    <w:p>
      <w:pPr>
        <w:spacing w:after="200" w:before="0"/>
      </w:pPr>
      <w:r>
        <w:rPr>
          <w:b w:val="0"/>
          <w:i w:val="0"/>
          <w:color w:val="5F6B67"/>
          <w:sz w:val="19"/>
          <w:highlight w:val="yellow"/>
        </w:rPr>
        <w:t>[List polecony za potwierdzeniem odbioru / Doręczenie do rąk własnych / Przesyłka przez e-Doręczenia]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0"/>
            </w:pPr>
            <w:r>
              <w:rPr>
                <w:b/>
                <w:i w:val="0"/>
                <w:color w:val="5F6B67"/>
                <w:sz w:val="19"/>
              </w:rPr>
              <w:t>Wierzyciel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[Pełna nazwa firmy]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[Adres siedziby]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NIP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KRS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 albo wpis do CEIDG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Tel.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, e-mail </w:t>
            </w:r>
            <w:r>
              <w:rPr>
                <w:b w:val="0"/>
                <w:i w:val="0"/>
                <w:sz w:val="21"/>
                <w:highlight w:val="yellow"/>
              </w:rPr>
              <w:t>[adres]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/>
                <w:i w:val="0"/>
                <w:color w:val="5F6B67"/>
                <w:sz w:val="19"/>
              </w:rPr>
              <w:t>Dłużnik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[Pełna nazwa firmy]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[Adres do doręczeń wskazany przez dłużnika, a jeśli go nie wskazał, adres siedziby albo miejsca prowadzenia działalności]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NIP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KRS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 albo wpis do CEIDG</w:t>
            </w:r>
          </w:p>
        </w:tc>
      </w:tr>
    </w:tbl>
    <w:p>
      <w:pPr>
        <w:keepNext/>
        <w:spacing w:after="240" w:before="280"/>
        <w:jc w:val="center"/>
      </w:pPr>
      <w:r>
        <w:rPr>
          <w:b/>
          <w:i w:val="0"/>
          <w:color w:val="0A1F1A"/>
          <w:sz w:val="30"/>
        </w:rPr>
        <w:t>OSTATECZNE PRZEDSĄDOWE WEZWANIE DO ZAPŁATY</w:t>
      </w:r>
    </w:p>
    <w:p>
      <w:pPr>
        <w:spacing w:after="120" w:before="0"/>
      </w:pPr>
      <w:r>
        <w:rPr>
          <w:b w:val="0"/>
          <w:i w:val="0"/>
        </w:rPr>
        <w:t xml:space="preserve">Nawiązując do wezwania do zapłaty z dnia </w:t>
      </w:r>
      <w:r>
        <w:rPr>
          <w:b w:val="0"/>
          <w:i w:val="0"/>
          <w:highlight w:val="yellow"/>
        </w:rPr>
        <w:t>[data]</w:t>
      </w:r>
      <w:r>
        <w:rPr>
          <w:b w:val="0"/>
          <w:i w:val="0"/>
        </w:rPr>
        <w:t xml:space="preserve">, które pozostało bez odpowiedzi, ostatecznie wzywamy do zapłaty kwoty </w:t>
      </w:r>
      <w:r>
        <w:rPr>
          <w:b w:val="0"/>
          <w:i w:val="0"/>
          <w:highlight w:val="yellow"/>
        </w:rPr>
        <w:t>[suma]</w:t>
      </w:r>
      <w:r>
        <w:rPr>
          <w:b w:val="0"/>
          <w:i w:val="0"/>
        </w:rPr>
        <w:t xml:space="preserve"> zł (słownie </w:t>
      </w:r>
      <w:r>
        <w:rPr>
          <w:b w:val="0"/>
          <w:i w:val="0"/>
          <w:highlight w:val="yellow"/>
        </w:rPr>
        <w:t>[kwota słownie]</w:t>
      </w:r>
      <w:r>
        <w:rPr>
          <w:b w:val="0"/>
          <w:i w:val="0"/>
        </w:rPr>
        <w:t xml:space="preserve">) w terminie </w:t>
      </w:r>
      <w:r>
        <w:rPr>
          <w:b w:val="0"/>
          <w:i w:val="0"/>
          <w:highlight w:val="yellow"/>
        </w:rPr>
        <w:t>[3 / 7]</w:t>
      </w:r>
      <w:r>
        <w:rPr>
          <w:b w:val="0"/>
          <w:i w:val="0"/>
        </w:rPr>
        <w:t xml:space="preserve"> dni od dnia doręczenia tego pisma.</w:t>
      </w:r>
    </w:p>
    <w:p>
      <w:pPr>
        <w:keepNext/>
        <w:spacing w:after="60" w:before="80"/>
      </w:pPr>
      <w:r>
        <w:rPr>
          <w:b/>
          <w:i w:val="0"/>
          <w:color w:val="0A1F1A"/>
          <w:sz w:val="23"/>
        </w:rPr>
        <w:t xml:space="preserve">Zadłużenie na dzień </w:t>
      </w:r>
      <w:r>
        <w:rPr>
          <w:b/>
          <w:i w:val="0"/>
          <w:color w:val="0A1F1A"/>
          <w:sz w:val="23"/>
          <w:highlight w:val="yellow"/>
        </w:rPr>
        <w:t>[data]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C5C3"/>
          <w:left w:val="single" w:sz="4" w:space="0" w:color="BFC5C3"/>
          <w:bottom w:val="single" w:sz="4" w:space="0" w:color="BFC5C3"/>
          <w:right w:val="single" w:sz="4" w:space="0" w:color="BFC5C3"/>
          <w:insideH w:val="single" w:sz="4" w:space="0" w:color="BFC5C3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917"/>
        <w:gridCol w:w="2154"/>
      </w:tblGrid>
      <w:tr>
        <w:tc>
          <w:tcPr>
            <w:tcW w:type="dxa" w:w="6917"/>
            <w:vAlign w:val="center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1"/>
              </w:rPr>
              <w:t xml:space="preserve">Należność główna z faktury nr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 z </w:t>
            </w:r>
            <w:r>
              <w:rPr>
                <w:b w:val="0"/>
                <w:i w:val="0"/>
                <w:sz w:val="21"/>
                <w:highlight w:val="yellow"/>
              </w:rPr>
              <w:t>[data wystawienia]</w:t>
            </w:r>
            <w:r>
              <w:rPr>
                <w:b w:val="0"/>
                <w:i w:val="0"/>
                <w:sz w:val="21"/>
              </w:rPr>
              <w:t xml:space="preserve">, termin płatności 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</w:p>
        </w:tc>
        <w:tc>
          <w:tcPr>
            <w:tcW w:type="dxa" w:w="2154"/>
            <w:vAlign w:val="center"/>
          </w:tcPr>
          <w:p>
            <w:pPr>
              <w:spacing w:after="0" w:line="252" w:lineRule="auto"/>
              <w:jc w:val="right"/>
            </w:pPr>
            <w:r>
              <w:rPr>
                <w:b w:val="0"/>
                <w:i w:val="0"/>
                <w:sz w:val="21"/>
                <w:highlight w:val="yellow"/>
              </w:rPr>
              <w:t>[kwota]</w:t>
            </w:r>
            <w:r>
              <w:rPr>
                <w:b w:val="0"/>
                <w:i w:val="0"/>
                <w:sz w:val="21"/>
              </w:rPr>
              <w:t xml:space="preserve"> zł</w:t>
            </w:r>
          </w:p>
        </w:tc>
      </w:tr>
      <w:tr>
        <w:tc>
          <w:tcPr>
            <w:tcW w:type="dxa" w:w="6917"/>
            <w:vAlign w:val="center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1"/>
              </w:rPr>
              <w:t xml:space="preserve">Odsetki ustawowe za opóźnienie w transakcjach handlowych od 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  <w:r>
              <w:rPr>
                <w:b w:val="0"/>
                <w:i w:val="0"/>
                <w:sz w:val="21"/>
              </w:rPr>
              <w:t xml:space="preserve"> do 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</w:p>
        </w:tc>
        <w:tc>
          <w:tcPr>
            <w:tcW w:type="dxa" w:w="2154"/>
            <w:vAlign w:val="center"/>
          </w:tcPr>
          <w:p>
            <w:pPr>
              <w:spacing w:after="0" w:line="252" w:lineRule="auto"/>
              <w:jc w:val="right"/>
            </w:pPr>
            <w:r>
              <w:rPr>
                <w:b w:val="0"/>
                <w:i w:val="0"/>
                <w:sz w:val="21"/>
                <w:highlight w:val="yellow"/>
              </w:rPr>
              <w:t>[kwota]</w:t>
            </w:r>
            <w:r>
              <w:rPr>
                <w:b w:val="0"/>
                <w:i w:val="0"/>
                <w:sz w:val="21"/>
              </w:rPr>
              <w:t xml:space="preserve"> zł</w:t>
            </w:r>
          </w:p>
        </w:tc>
      </w:tr>
      <w:tr>
        <w:tc>
          <w:tcPr>
            <w:tcW w:type="dxa" w:w="6917"/>
            <w:vAlign w:val="center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1"/>
              </w:rPr>
              <w:t xml:space="preserve">Rekompensata za koszty odzyskiwania należności, równowartość </w:t>
            </w:r>
            <w:r>
              <w:rPr>
                <w:b w:val="0"/>
                <w:i w:val="0"/>
                <w:sz w:val="21"/>
                <w:highlight w:val="yellow"/>
              </w:rPr>
              <w:t>[40 / 70 / 100]</w:t>
            </w:r>
            <w:r>
              <w:rPr>
                <w:b w:val="0"/>
                <w:i w:val="0"/>
                <w:sz w:val="21"/>
              </w:rPr>
              <w:t xml:space="preserve"> euro</w:t>
            </w:r>
          </w:p>
        </w:tc>
        <w:tc>
          <w:tcPr>
            <w:tcW w:type="dxa" w:w="2154"/>
            <w:vAlign w:val="center"/>
          </w:tcPr>
          <w:p>
            <w:pPr>
              <w:spacing w:after="0" w:line="252" w:lineRule="auto"/>
              <w:jc w:val="right"/>
            </w:pPr>
            <w:r>
              <w:rPr>
                <w:b w:val="0"/>
                <w:i w:val="0"/>
                <w:sz w:val="21"/>
                <w:highlight w:val="yellow"/>
              </w:rPr>
              <w:t>[kwota]</w:t>
            </w:r>
            <w:r>
              <w:rPr>
                <w:b w:val="0"/>
                <w:i w:val="0"/>
                <w:sz w:val="21"/>
              </w:rPr>
              <w:t xml:space="preserve"> zł</w:t>
            </w:r>
          </w:p>
        </w:tc>
      </w:tr>
      <w:tr>
        <w:tc>
          <w:tcPr>
            <w:tcW w:type="dxa" w:w="6917"/>
            <w:vAlign w:val="center"/>
            <w:shd w:val="clear" w:color="auto" w:fill="EEF0EF"/>
          </w:tcPr>
          <w:p>
            <w:pPr>
              <w:spacing w:after="0" w:line="252" w:lineRule="auto"/>
            </w:pPr>
            <w:r>
              <w:rPr>
                <w:b/>
                <w:i w:val="0"/>
                <w:sz w:val="21"/>
              </w:rPr>
              <w:t>Razem do zapłaty</w:t>
            </w:r>
          </w:p>
        </w:tc>
        <w:tc>
          <w:tcPr>
            <w:tcW w:type="dxa" w:w="2154"/>
            <w:vAlign w:val="center"/>
            <w:shd w:val="clear" w:color="auto" w:fill="EEF0EF"/>
          </w:tcPr>
          <w:p>
            <w:pPr>
              <w:spacing w:after="0" w:line="252" w:lineRule="auto"/>
              <w:jc w:val="right"/>
            </w:pPr>
            <w:r>
              <w:rPr>
                <w:b/>
                <w:i w:val="0"/>
                <w:sz w:val="21"/>
                <w:highlight w:val="yellow"/>
              </w:rPr>
              <w:t>[suma]</w:t>
            </w:r>
            <w:r>
              <w:rPr>
                <w:b/>
                <w:i w:val="0"/>
                <w:sz w:val="21"/>
              </w:rPr>
              <w:t xml:space="preserve"> zł</w:t>
            </w:r>
          </w:p>
        </w:tc>
      </w:tr>
    </w:tbl>
    <w:p>
      <w:pPr>
        <w:spacing w:after="40" w:before="0"/>
      </w:pP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Podstawa żądania</w:t>
      </w:r>
    </w:p>
    <w:p>
      <w:pPr>
        <w:spacing w:after="120" w:before="0"/>
      </w:pPr>
      <w:r>
        <w:rPr>
          <w:b w:val="0"/>
          <w:i w:val="0"/>
        </w:rPr>
        <w:t xml:space="preserve">Należność wynika z transakcji handlowej w rozumieniu ustawy z dnia 8 marca 2013 r. o przeciwdziałaniu nadmiernym opóźnieniom w transakcjach handlowych. Odsetki ustawowe za opóźnienie w transakcjach handlowych przysługują nam na podstawie art. 7 ust. 1 ustawy i w okresie od 1 lipca do 31 grudnia 2026 r. wynoszą </w:t>
      </w:r>
      <w:r>
        <w:rPr>
          <w:b w:val="0"/>
          <w:i w:val="0"/>
          <w:highlight w:val="yellow"/>
        </w:rPr>
        <w:t>[13,75% / 11,75%]</w:t>
      </w:r>
      <w:r>
        <w:rPr>
          <w:b w:val="0"/>
          <w:i w:val="0"/>
        </w:rPr>
        <w:t xml:space="preserve"> w skali roku. Rekompensata za koszty odzyskiwania należności przysługuje na podstawie art. 10 ust. 1 ustawy i wynosi równowartość 40 euro, gdy wartość świadczenia pieniężnego nie przekracza 5 000 zł, 70 euro, gdy jest wyższa niż 5 000 zł, ale niższa niż 50 000 zł, oraz 100 euro, gdy jest równa lub wyższa od 50 000 zł, według średniego kursu euro NBP z ostatniego dnia roboczego miesiąca poprzedzającego miesiąc, w którym świadczenie stało się wymagalne.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Sposób zapłaty</w:t>
      </w:r>
    </w:p>
    <w:p>
      <w:pPr>
        <w:spacing w:after="120"/>
      </w:pPr>
      <w:r>
        <w:rPr>
          <w:b w:val="0"/>
          <w:i w:val="0"/>
        </w:rPr>
        <w:t>Prosimy o wpłatę całej kwoty na rachunek bankowy</w:t>
      </w:r>
      <w:r>
        <w:br/>
      </w:r>
      <w:r>
        <w:rPr>
          <w:b w:val="0"/>
          <w:i w:val="0"/>
          <w:highlight w:val="yellow"/>
        </w:rPr>
        <w:t>[Nazwa banku]</w:t>
      </w:r>
      <w:r>
        <w:br/>
      </w:r>
      <w:r>
        <w:rPr>
          <w:b w:val="0"/>
          <w:i w:val="0"/>
          <w:highlight w:val="yellow"/>
        </w:rPr>
        <w:t>[Numer rachunku]</w:t>
      </w:r>
      <w:r>
        <w:br/>
      </w:r>
      <w:r>
        <w:rPr>
          <w:b w:val="0"/>
          <w:i w:val="0"/>
        </w:rPr>
        <w:t xml:space="preserve">W tytule przelewu prosimy podać numer faktury </w:t>
      </w:r>
      <w:r>
        <w:rPr>
          <w:b w:val="0"/>
          <w:i w:val="0"/>
          <w:highlight w:val="yellow"/>
        </w:rPr>
        <w:t>[numer]</w:t>
      </w:r>
      <w:r>
        <w:rPr>
          <w:b w:val="0"/>
          <w:i w:val="0"/>
        </w:rPr>
        <w:t>.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Skutki braku zapłaty</w:t>
      </w:r>
    </w:p>
    <w:p>
      <w:pPr>
        <w:spacing w:after="120" w:before="0"/>
      </w:pPr>
      <w:r>
        <w:rPr>
          <w:b w:val="0"/>
          <w:i w:val="0"/>
        </w:rPr>
        <w:t xml:space="preserve">To ostatnie wezwanie przed skierowaniem sprawy do sądu. Jeżeli w wyznaczonym terminie nie otrzymamy zapłaty, bez kolejnego wezwania złożymy pozew o zapłatę </w:t>
      </w:r>
      <w:r>
        <w:rPr>
          <w:b w:val="0"/>
          <w:i w:val="0"/>
          <w:highlight w:val="yellow"/>
        </w:rPr>
        <w:t>[w elektronicznym postępowaniu upominawczym / w postępowaniu nakazowym]</w:t>
      </w:r>
      <w:r>
        <w:rPr>
          <w:b w:val="0"/>
          <w:i w:val="0"/>
        </w:rPr>
        <w:t>. Strona przegrywająca sprawę zwraca przeciwnikowi koszty procesu (art. 98 Kodeksu postępowania cywilnego). Po uzyskaniu tytułu wykonawczego złożymy wniosek o wszczęcie egzekucji komorniczej.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Ostrzeżenie o zamiarze przekazania danych do biura informacji gospodarczej</w:t>
      </w:r>
    </w:p>
    <w:p>
      <w:pPr>
        <w:spacing w:after="120" w:before="0"/>
      </w:pPr>
      <w:r>
        <w:rPr>
          <w:b w:val="0"/>
          <w:i w:val="0"/>
        </w:rPr>
        <w:t xml:space="preserve">Uprzedzamy, że w razie braku zapłaty zamierzamy przekazać informacje gospodarcze o zobowiązaniu </w:t>
      </w:r>
      <w:r>
        <w:rPr>
          <w:b w:val="0"/>
          <w:i w:val="0"/>
          <w:highlight w:val="yellow"/>
        </w:rPr>
        <w:t>[nazwa dłużnika]</w:t>
      </w:r>
      <w:r>
        <w:rPr>
          <w:b w:val="0"/>
          <w:i w:val="0"/>
        </w:rPr>
        <w:t xml:space="preserve"> do biura informacji gospodarczej </w:t>
      </w:r>
      <w:r>
        <w:rPr>
          <w:b w:val="0"/>
          <w:i w:val="0"/>
          <w:highlight w:val="yellow"/>
        </w:rPr>
        <w:t>[firma biura]</w:t>
      </w:r>
      <w:r>
        <w:rPr>
          <w:b w:val="0"/>
          <w:i w:val="0"/>
        </w:rPr>
        <w:t xml:space="preserve"> z siedzibą w </w:t>
      </w:r>
      <w:r>
        <w:rPr>
          <w:b w:val="0"/>
          <w:i w:val="0"/>
          <w:highlight w:val="yellow"/>
        </w:rPr>
        <w:t>[miejscowość]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[adres siedziby biura]</w:t>
      </w:r>
      <w:r>
        <w:rPr>
          <w:b w:val="0"/>
          <w:i w:val="0"/>
        </w:rPr>
        <w:t xml:space="preserve">, na podstawie art. 15 ustawy z dnia 9 kwietnia 2010 r. o udostępnianiu informacji gospodarczych i wymianie danych gospodarczych. Przekazanie nastąpi nie wcześniej niż po upływie miesiąca od dnia </w:t>
      </w:r>
      <w:r>
        <w:rPr>
          <w:b w:val="0"/>
          <w:i w:val="0"/>
          <w:highlight w:val="yellow"/>
        </w:rPr>
        <w:t>[wysłania tego wezwania listem poleconym / doręczenia tego wezwania do rąk własnych / doręczenia tego wezwania na adres do doręczeń elektronicznych / wysłania tego wezwania na adres e-mail wskazany w umowie / wysłania wezwania z dnia [data], które zawierało takie samo ostrzeżenie]</w:t>
      </w:r>
      <w:r>
        <w:rPr>
          <w:b w:val="0"/>
          <w:i w:val="0"/>
        </w:rPr>
        <w:t>.</w:t>
      </w:r>
    </w:p>
    <w:p>
      <w:pPr>
        <w:spacing w:after="120" w:before="0"/>
      </w:pPr>
      <w:r>
        <w:rPr>
          <w:b w:val="0"/>
          <w:i w:val="0"/>
        </w:rPr>
        <w:t xml:space="preserve">Zgodnie z art. 15a tej ustawy mają Państwo prawo zgłosić nam sprzeciw wobec zamiaru przekazania danych do biura. Sprzeciw można przesłać pisemnie na adres </w:t>
      </w:r>
      <w:r>
        <w:rPr>
          <w:b w:val="0"/>
          <w:i w:val="0"/>
          <w:highlight w:val="yellow"/>
        </w:rPr>
        <w:t>[adres wierzyciela]</w:t>
      </w:r>
      <w:r>
        <w:rPr>
          <w:b w:val="0"/>
          <w:i w:val="0"/>
        </w:rPr>
        <w:t xml:space="preserve"> albo e-mailem na adres </w:t>
      </w:r>
      <w:r>
        <w:rPr>
          <w:b w:val="0"/>
          <w:i w:val="0"/>
          <w:highlight w:val="yellow"/>
        </w:rPr>
        <w:t>[adres e-mail]</w:t>
      </w:r>
      <w:r>
        <w:rPr>
          <w:b w:val="0"/>
          <w:i w:val="0"/>
        </w:rPr>
        <w:t>.</w:t>
      </w:r>
    </w:p>
    <w:p>
      <w:pPr>
        <w:spacing w:after="120" w:before="0"/>
      </w:pPr>
      <w:r>
        <w:rPr>
          <w:b w:val="0"/>
          <w:i w:val="0"/>
        </w:rPr>
        <w:t xml:space="preserve">Jeżeli należność została już zapłacona, prosimy o przesłanie potwierdzenia przelewu na adres </w:t>
      </w:r>
      <w:r>
        <w:rPr>
          <w:b w:val="0"/>
          <w:i w:val="0"/>
          <w:highlight w:val="yellow"/>
        </w:rPr>
        <w:t>[adres e-mail]</w:t>
      </w:r>
      <w:r>
        <w:rPr>
          <w:b w:val="0"/>
          <w:i w:val="0"/>
        </w:rPr>
        <w:t>.</w:t>
      </w:r>
    </w:p>
    <w:p>
      <w:pPr>
        <w:keepNext/>
        <w:spacing w:after="520" w:before="200"/>
      </w:pPr>
      <w:r>
        <w:rPr>
          <w:b w:val="0"/>
          <w:i w:val="0"/>
        </w:rPr>
        <w:t>Z poważaniem</w:t>
      </w:r>
    </w:p>
    <w:p>
      <w:pPr>
        <w:spacing w:after="200"/>
      </w:pPr>
      <w:r>
        <w:rPr>
          <w:b w:val="0"/>
          <w:i w:val="0"/>
          <w:sz w:val="21"/>
          <w:highlight w:val="yellow"/>
        </w:rPr>
        <w:t>[podpis]</w:t>
      </w:r>
      <w:r>
        <w:br/>
      </w:r>
      <w:r>
        <w:rPr>
          <w:b w:val="0"/>
          <w:i w:val="0"/>
          <w:sz w:val="21"/>
          <w:highlight w:val="yellow"/>
        </w:rPr>
        <w:t>[Imię i nazwisko, stanowisko]</w:t>
      </w:r>
      <w:r>
        <w:br/>
      </w:r>
      <w:r>
        <w:rPr>
          <w:b w:val="0"/>
          <w:i w:val="0"/>
          <w:sz w:val="21"/>
          <w:highlight w:val="yellow"/>
        </w:rPr>
        <w:t>[osoba uprawniona do reprezentacji wierzyciela]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Załączniki</w:t>
      </w:r>
    </w:p>
    <w:p>
      <w:pPr>
        <w:spacing w:after="120"/>
      </w:pPr>
      <w:r>
        <w:rPr>
          <w:b w:val="0"/>
          <w:i w:val="0"/>
          <w:sz w:val="21"/>
        </w:rPr>
        <w:t xml:space="preserve">1. Kopia faktury nr </w:t>
      </w:r>
      <w:r>
        <w:rPr>
          <w:b w:val="0"/>
          <w:i w:val="0"/>
          <w:sz w:val="21"/>
          <w:highlight w:val="yellow"/>
        </w:rPr>
        <w:t>[numer]</w:t>
      </w:r>
      <w:r>
        <w:br/>
      </w:r>
      <w:r>
        <w:rPr>
          <w:b w:val="0"/>
          <w:i w:val="0"/>
          <w:sz w:val="21"/>
        </w:rPr>
        <w:t xml:space="preserve">2. Kopia wezwania do zapłaty z dnia </w:t>
      </w:r>
      <w:r>
        <w:rPr>
          <w:b w:val="0"/>
          <w:i w:val="0"/>
          <w:sz w:val="21"/>
          <w:highlight w:val="yellow"/>
        </w:rPr>
        <w:t>[data]</w:t>
      </w:r>
      <w:r>
        <w:rPr>
          <w:b w:val="0"/>
          <w:i w:val="0"/>
          <w:sz w:val="21"/>
        </w:rPr>
        <w:t xml:space="preserve"> z potwierdzeniem nadania</w:t>
      </w:r>
      <w:r>
        <w:br/>
      </w:r>
      <w:r>
        <w:rPr>
          <w:b w:val="0"/>
          <w:i w:val="0"/>
          <w:sz w:val="21"/>
        </w:rPr>
        <w:t xml:space="preserve">3. </w:t>
      </w:r>
      <w:r>
        <w:rPr>
          <w:b w:val="0"/>
          <w:i w:val="0"/>
          <w:sz w:val="21"/>
          <w:highlight w:val="yellow"/>
        </w:rPr>
        <w:t>[Nota odsetkowa nr [numer], jeśli została wystawiona]</w:t>
      </w:r>
    </w:p>
    <w:p>
      <w:pPr>
        <w:spacing w:after="0"/>
      </w:pPr>
      <w:r>
        <w:br w:type="page"/>
      </w:r>
    </w:p>
    <w:p>
      <w:pPr>
        <w:spacing w:after="160" w:before="0"/>
      </w:pPr>
      <w:r>
        <w:rPr>
          <w:b/>
          <w:i w:val="0"/>
          <w:color w:val="0A1F1A"/>
          <w:sz w:val="26"/>
        </w:rPr>
        <w:t>Wskazówki do wypełnienia (nie wysyłaj tej strony dłużnikowi)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Kiedy wysłać. </w:t>
      </w:r>
      <w:r>
        <w:rPr>
          <w:b w:val="0"/>
          <w:i w:val="0"/>
          <w:sz w:val="21"/>
        </w:rPr>
        <w:t>Gdy przedsądowe wezwanie zostało bez odpowiedzi, a chcesz dać dłużnikowi ostatnią, krótką szansę. Prawo tego pisma nie wymaga. Wysyłaj je tylko wtedy, gdy po upływie terminu naprawdę złożysz pozew.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Tryb pozwu. </w:t>
      </w:r>
      <w:r>
        <w:rPr>
          <w:b w:val="0"/>
          <w:i w:val="0"/>
          <w:sz w:val="21"/>
        </w:rPr>
        <w:t>W transakcji handlowej nakaz zapłaty w postępowaniu nakazowym sąd wydaje na podstawie umowy, dowodu wykonania świadczenia i dowodu doręczenia faktury (art. 485 § 2¹ KPC). Elektroniczne postępowanie upominawcze (e-sad.gov.pl) obejmuje roszczenia pieniężne wymagalne w ciągu 3 lat przed wniesieniem pozwu, bez doręczeń za granicę.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Miesiąc do wpisu. </w:t>
      </w:r>
      <w:r>
        <w:rPr>
          <w:b w:val="0"/>
          <w:i w:val="0"/>
          <w:sz w:val="21"/>
        </w:rPr>
        <w:t>Jeśli przedsądowe wezwanie zawierało już poprawne ostrzeżenie o tym samym biurze, miesiąc liczysz od jego wysłania (wybierz ostatni wariant w nawiasie). Jeśli nie zawierało, miesiąc liczysz od wysłania tego pisma.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Stawka odsetek. </w:t>
      </w:r>
      <w:r>
        <w:rPr>
          <w:b w:val="0"/>
          <w:i w:val="0"/>
          <w:sz w:val="21"/>
        </w:rPr>
        <w:t>13,75% w skali roku obowiązuje od 1 lipca do 31 grudnia 2026 r., gdy dłużnik nie jest publicznym podmiotem leczniczym. Gdy jest, stawka wynosi 11,75%. W I półroczu 2026 r. było to 14% i 12%. Jeśli opóźnienie obejmuje oba półrocza, policz odsetki osobno dla każdego okresu i zsumuj (kwota × stawka roczna × liczba dni ÷ 365). Stawka na I półrocze 2027 r. będzie wynikać ze stopy referencyjnej NBP obowiązującej 1 stycznia 2027 r.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Rekompensata. </w:t>
      </w:r>
      <w:r>
        <w:rPr>
          <w:b w:val="0"/>
          <w:i w:val="0"/>
          <w:sz w:val="21"/>
        </w:rPr>
        <w:t>Wybierz 40 euro przy świadczeniu do 5 000 zł, 70 euro przy kwocie powyżej 5 000 zł i poniżej 50 000 zł albo 100 euro przy 50 000 zł i więcej. Kurs euro bierzesz z tabeli średnich kursów NBP z ostatniego dnia roboczego miesiąca poprzedzającego miesiąc, w którym faktura stała się wymagalna. Rekompensata należy się od transakcji, a gdy umowa przewiduje płatność w częściach, od każdej niezapłaconej części.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Firma i adres biura. </w:t>
      </w:r>
      <w:r>
        <w:rPr>
          <w:b w:val="0"/>
          <w:i w:val="0"/>
          <w:sz w:val="21"/>
        </w:rPr>
        <w:t>Wpisz pełną firmę biura i adres jego siedziby. Biura z wykazu ministra właściwego do spraw gospodarki (stan na 19 czerwca 2026 r.) to BIG InfoMonitor S.A., ul. Z. Modzelewskiego 77a, 02-679 Warszawa, Krajowe Biuro Informacji Gospodarczej S.A., ul. Lublańska 34, 31-476 Kraków, Krajowy Rejestr Długów Biuro Informacji Gospodarczej S.A., ul. Danuty Siedzikówny 12, 51-214 Wrocław, oraz ERIF Biuro Informacji Gospodarczej S.A., Aleje Jerozolimskie 100, 00-807 Warszawa. Przed wysyłką porównaj adres z umową z biurem.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Sprzeciw dłużnika. </w:t>
      </w:r>
      <w:r>
        <w:rPr>
          <w:b w:val="0"/>
          <w:i w:val="0"/>
          <w:sz w:val="21"/>
        </w:rPr>
        <w:t>Jeśli dłużnik zgłosi sprzeciw, w którym kwestionuje dług albo podnosi przedawnienie, a ty mimo to przekażesz dane, musisz zaznaczyć ten sprzeciw w informacji przekazywanej do biura (art. 15a ust. 3).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Po zapłacie. </w:t>
      </w:r>
      <w:r>
        <w:rPr>
          <w:b w:val="0"/>
          <w:i w:val="0"/>
          <w:sz w:val="21"/>
        </w:rPr>
        <w:t>Gdy dane są już w biurze, po zapłacie musisz niezwłocznie, najpóźniej w 14 dni, zażądać ich aktualizacji (art. 29 ust. 1). Za brak takiego żądania przy całkowitej zapłacie grozi grzywna do 30 000 zł (art. 47).</w:t>
      </w:r>
    </w:p>
    <w:p>
      <w:pPr>
        <w:spacing w:after="0" w:before="280"/>
      </w:pPr>
      <w:r>
        <w:rPr>
          <w:b w:val="0"/>
          <w:i w:val="0"/>
          <w:color w:val="5F6B67"/>
          <w:sz w:val="18"/>
        </w:rPr>
        <w:t xml:space="preserve">Wzór przygotował Sunbay. Odsetki z podziałem na okresy i gotową notę odsetkową policzysz w kalkulatorze na </w:t>
      </w:r>
      <w:hyperlink r:id="rId9">
        <w:r>
          <w:rPr>
            <w:color w:val="5F6B67"/>
            <w:u w:val="single"/>
            <w:sz w:val="18"/>
          </w:rPr>
          <w:t xml:space="preserve">sunbay.io/pl/kalkulator-odsetek</w:t>
        </w:r>
      </w:hyperlink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Calibri" w:hAnsi="Calibri" w:eastAsia="Calibri" w:cs="Calibri"/>
      <w:color w:val="1E2422"/>
      <w:sz w:val="22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unbay.io/pl/kalkulator-ods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Ostateczne wezwanie do zapłaty, wzór dla firmy</dc:title>
  <dc:subject>Wzór pisma do pobrania z sunbay.io</dc:subject>
  <dc:creator>Sunbay</dc:creator>
  <cp:keywords>wzór, Sunbay</cp:keywords>
  <dc:description>Wzór przygotował Sunbay, sunbay.io/pl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