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right"/>
      </w:pPr>
      <w:r>
        <w:rPr>
          <w:b w:val="0"/>
          <w:i w:val="0"/>
          <w:highlight w:val="yellow"/>
        </w:rPr>
        <w:t>[Miejscowość]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[data wystawienia]</w:t>
      </w:r>
      <w:r>
        <w:rPr>
          <w:b w:val="0"/>
          <w:i w:val="0"/>
        </w:rPr>
        <w:t xml:space="preserve"> r.</w:t>
      </w:r>
    </w:p>
    <w:p>
      <w:pPr>
        <w:keepNext/>
        <w:spacing w:after="240" w:before="280"/>
        <w:jc w:val="center"/>
      </w:pPr>
      <w:r>
        <w:rPr>
          <w:b/>
          <w:i w:val="0"/>
          <w:color w:val="0A1F1A"/>
          <w:sz w:val="32"/>
        </w:rPr>
        <w:t xml:space="preserve">NOTA ODSETKOWA nr </w:t>
      </w:r>
      <w:r>
        <w:rPr>
          <w:b/>
          <w:i w:val="0"/>
          <w:color w:val="0A1F1A"/>
          <w:sz w:val="32"/>
          <w:highlight w:val="yellow"/>
        </w:rPr>
        <w:t>[numer]</w:t>
      </w:r>
      <w:r>
        <w:rPr>
          <w:b/>
          <w:i w:val="0"/>
          <w:color w:val="0A1F1A"/>
          <w:sz w:val="32"/>
        </w:rPr>
        <w:t>/</w:t>
      </w:r>
      <w:r>
        <w:rPr>
          <w:b/>
          <w:i w:val="0"/>
          <w:color w:val="0A1F1A"/>
          <w:sz w:val="32"/>
          <w:highlight w:val="yellow"/>
        </w:rPr>
        <w:t>[rok]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6"/>
        <w:gridCol w:w="4536"/>
      </w:tblGrid>
      <w:tr>
        <w:tc>
          <w:tcPr>
            <w:tcW w:type="dxa" w:w="4535"/>
          </w:tcPr>
          <w:p>
            <w:pPr>
              <w:spacing w:after="0"/>
            </w:pPr>
            <w:r>
              <w:rPr>
                <w:b/>
                <w:i w:val="0"/>
                <w:color w:val="5F6B67"/>
                <w:sz w:val="19"/>
              </w:rPr>
              <w:t>Wystawca (wierzyciel)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[Pełna nazwa firmy]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[Adres siedziby]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NIP </w:t>
            </w:r>
            <w:r>
              <w:rPr>
                <w:b w:val="0"/>
                <w:i w:val="0"/>
                <w:sz w:val="21"/>
                <w:highlight w:val="yellow"/>
              </w:rPr>
              <w:t>[numer]</w:t>
            </w:r>
          </w:p>
        </w:tc>
        <w:tc>
          <w:tcPr>
            <w:tcW w:type="dxa" w:w="4535"/>
          </w:tcPr>
          <w:p>
            <w:pPr>
              <w:spacing w:after="0"/>
            </w:pPr>
            <w:r>
              <w:rPr>
                <w:b/>
                <w:i w:val="0"/>
                <w:color w:val="5F6B67"/>
                <w:sz w:val="19"/>
              </w:rPr>
              <w:t>Odbiorca (dłużnik)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[Pełna nazwa firmy albo imię i nazwisko]</w:t>
            </w:r>
            <w:r>
              <w:br/>
            </w:r>
            <w:r>
              <w:rPr>
                <w:b w:val="0"/>
                <w:i w:val="0"/>
                <w:sz w:val="21"/>
                <w:highlight w:val="yellow"/>
              </w:rPr>
              <w:t>[Adres]</w:t>
            </w:r>
            <w:r>
              <w:br/>
            </w:r>
            <w:r>
              <w:rPr>
                <w:b w:val="0"/>
                <w:i w:val="0"/>
                <w:sz w:val="21"/>
              </w:rPr>
              <w:t xml:space="preserve">NIP </w:t>
            </w:r>
            <w:r>
              <w:rPr>
                <w:b w:val="0"/>
                <w:i w:val="0"/>
                <w:sz w:val="21"/>
                <w:highlight w:val="yellow"/>
              </w:rPr>
              <w:t>[numer, jeśli dłużnik jest firmą]</w:t>
            </w:r>
          </w:p>
        </w:tc>
      </w:tr>
    </w:tbl>
    <w:p>
      <w:pPr>
        <w:spacing w:after="80" w:before="0"/>
      </w:pPr>
    </w:p>
    <w:p>
      <w:pPr>
        <w:spacing w:after="160" w:before="0"/>
      </w:pPr>
      <w:r>
        <w:rPr>
          <w:b w:val="0"/>
          <w:i w:val="0"/>
        </w:rPr>
        <w:t xml:space="preserve">Na podstawie </w:t>
      </w:r>
      <w:r>
        <w:rPr>
          <w:b w:val="0"/>
          <w:i w:val="0"/>
          <w:highlight w:val="yellow"/>
        </w:rPr>
        <w:t>[art. 7 ust. 1 i art. 10 ust. 1 ustawy z dnia 8 marca 2013 r. o przeciwdziałaniu nadmiernym opóźnieniom w transakcjach handlowych / art. 481 § 1 i 2 Kodeksu cywilnego]</w:t>
      </w:r>
      <w:r>
        <w:rPr>
          <w:b w:val="0"/>
          <w:i w:val="0"/>
        </w:rPr>
        <w:t xml:space="preserve"> obciążamy </w:t>
      </w:r>
      <w:r>
        <w:rPr>
          <w:b w:val="0"/>
          <w:i w:val="0"/>
          <w:highlight w:val="yellow"/>
        </w:rPr>
        <w:t>[nazwa dłużnika]</w:t>
      </w:r>
      <w:r>
        <w:rPr>
          <w:b w:val="0"/>
          <w:i w:val="0"/>
        </w:rPr>
        <w:t xml:space="preserve"> odsetkami za opóźnienie w zapłacie niżej wymienionych faktur </w:t>
      </w:r>
      <w:r>
        <w:rPr>
          <w:b w:val="0"/>
          <w:i w:val="0"/>
          <w:highlight w:val="yellow"/>
        </w:rPr>
        <w:t>[oraz rekompensatą za koszty odzyskiwania należności]</w:t>
      </w:r>
      <w:r>
        <w:rPr>
          <w:b w:val="0"/>
          <w:i w:val="0"/>
        </w:rPr>
        <w:t>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C5C3"/>
          <w:left w:val="single" w:sz="4" w:space="0" w:color="BFC5C3"/>
          <w:bottom w:val="single" w:sz="4" w:space="0" w:color="BFC5C3"/>
          <w:right w:val="single" w:sz="4" w:space="0" w:color="BFC5C3"/>
          <w:insideH w:val="single" w:sz="4" w:space="0" w:color="BFC5C3"/>
          <w:insideV w:val="nil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</w:tblPr>
      <w:tblGrid>
        <w:gridCol w:w="1247"/>
        <w:gridCol w:w="1077"/>
        <w:gridCol w:w="1134"/>
        <w:gridCol w:w="1247"/>
        <w:gridCol w:w="1644"/>
        <w:gridCol w:w="623"/>
        <w:gridCol w:w="850"/>
        <w:gridCol w:w="1247"/>
      </w:tblGrid>
      <w:tr>
        <w:tc>
          <w:tcPr>
            <w:tcW w:type="dxa" w:w="1247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Faktura nr</w:t>
            </w:r>
          </w:p>
        </w:tc>
        <w:tc>
          <w:tcPr>
            <w:tcW w:type="dxa" w:w="1077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Kwota (zł)</w:t>
            </w:r>
          </w:p>
        </w:tc>
        <w:tc>
          <w:tcPr>
            <w:tcW w:type="dxa" w:w="1134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Termin płatności</w:t>
            </w:r>
          </w:p>
        </w:tc>
        <w:tc>
          <w:tcPr>
            <w:tcW w:type="dxa" w:w="1247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Data zapłaty</w:t>
            </w:r>
          </w:p>
        </w:tc>
        <w:tc>
          <w:tcPr>
            <w:tcW w:type="dxa" w:w="1644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Okres opóźnienia</w:t>
            </w:r>
          </w:p>
        </w:tc>
        <w:tc>
          <w:tcPr>
            <w:tcW w:type="dxa" w:w="624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Dni</w:t>
            </w:r>
          </w:p>
        </w:tc>
        <w:tc>
          <w:tcPr>
            <w:tcW w:type="dxa" w:w="850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Stawka</w:t>
            </w:r>
          </w:p>
        </w:tc>
        <w:tc>
          <w:tcPr>
            <w:tcW w:type="dxa" w:w="1247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Odsetki (zł)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[numer]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[kwota]</w:t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[data]</w:t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[data albo niezapłacona]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[od]</w:t>
            </w:r>
            <w:r>
              <w:rPr>
                <w:b w:val="0"/>
                <w:i w:val="0"/>
                <w:sz w:val="17"/>
              </w:rPr>
              <w:t xml:space="preserve"> do </w:t>
            </w:r>
            <w:r>
              <w:rPr>
                <w:b w:val="0"/>
                <w:i w:val="0"/>
                <w:sz w:val="17"/>
                <w:highlight w:val="yellow"/>
              </w:rPr>
              <w:t>[do]</w:t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[dni]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[stawka]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[kwota]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[numer]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[kwota]</w:t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[data]</w:t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[data albo niezapłacona]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[od]</w:t>
            </w:r>
            <w:r>
              <w:rPr>
                <w:b w:val="0"/>
                <w:i w:val="0"/>
                <w:sz w:val="17"/>
              </w:rPr>
              <w:t xml:space="preserve"> do </w:t>
            </w:r>
            <w:r>
              <w:rPr>
                <w:b w:val="0"/>
                <w:i w:val="0"/>
                <w:sz w:val="17"/>
                <w:highlight w:val="yellow"/>
              </w:rPr>
              <w:t>[do]</w:t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[dni]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[stawka]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[kwota]</w:t>
            </w:r>
          </w:p>
        </w:tc>
      </w:tr>
      <w:tr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[numer]</w:t>
            </w:r>
          </w:p>
        </w:tc>
        <w:tc>
          <w:tcPr>
            <w:tcW w:type="dxa" w:w="1077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[kwota]</w:t>
            </w:r>
          </w:p>
        </w:tc>
        <w:tc>
          <w:tcPr>
            <w:tcW w:type="dxa" w:w="1134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[data]</w:t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[data albo niezapłacona]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[od]</w:t>
            </w:r>
            <w:r>
              <w:rPr>
                <w:b w:val="0"/>
                <w:i w:val="0"/>
                <w:sz w:val="17"/>
              </w:rPr>
              <w:t xml:space="preserve"> do </w:t>
            </w:r>
            <w:r>
              <w:rPr>
                <w:b w:val="0"/>
                <w:i w:val="0"/>
                <w:sz w:val="17"/>
                <w:highlight w:val="yellow"/>
              </w:rPr>
              <w:t>[do]</w:t>
            </w:r>
          </w:p>
        </w:tc>
        <w:tc>
          <w:tcPr>
            <w:tcW w:type="dxa" w:w="62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[dni]</w:t>
            </w:r>
          </w:p>
        </w:tc>
        <w:tc>
          <w:tcPr>
            <w:tcW w:type="dxa" w:w="850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[stawka]</w:t>
            </w:r>
          </w:p>
        </w:tc>
        <w:tc>
          <w:tcPr>
            <w:tcW w:type="dxa" w:w="1247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[kwota]</w:t>
            </w:r>
          </w:p>
        </w:tc>
      </w:tr>
    </w:tbl>
    <w:p>
      <w:pPr>
        <w:spacing w:after="160" w:before="60"/>
      </w:pPr>
      <w:r>
        <w:rPr>
          <w:b w:val="0"/>
          <w:i/>
          <w:color w:val="5F6B67"/>
          <w:sz w:val="17"/>
        </w:rPr>
        <w:t>Przy zmianie stawki w trakcie opóźnienia każdy okres wpisz w osobnym wierszu.</w:t>
      </w:r>
    </w:p>
    <w:p>
      <w:pPr>
        <w:keepNext/>
        <w:spacing w:after="60" w:before="0"/>
      </w:pPr>
      <w:r>
        <w:rPr>
          <w:b/>
          <w:i w:val="0"/>
          <w:color w:val="0A1F1A"/>
          <w:sz w:val="20"/>
        </w:rPr>
        <w:t>Rekompensata za koszty odzyskiwania należności (tylko w transakcjach handlowych)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C5C3"/>
          <w:left w:val="single" w:sz="4" w:space="0" w:color="BFC5C3"/>
          <w:bottom w:val="single" w:sz="4" w:space="0" w:color="BFC5C3"/>
          <w:right w:val="single" w:sz="4" w:space="0" w:color="BFC5C3"/>
          <w:insideH w:val="single" w:sz="4" w:space="0" w:color="BFC5C3"/>
          <w:insideV w:val="nil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</w:tblPr>
      <w:tblGrid>
        <w:gridCol w:w="1984"/>
        <w:gridCol w:w="1984"/>
        <w:gridCol w:w="3118"/>
        <w:gridCol w:w="1984"/>
      </w:tblGrid>
      <w:tr>
        <w:tc>
          <w:tcPr>
            <w:tcW w:type="dxa" w:w="1984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Faktura nr</w:t>
            </w:r>
          </w:p>
        </w:tc>
        <w:tc>
          <w:tcPr>
            <w:tcW w:type="dxa" w:w="1984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Rekompensata (euro)</w:t>
            </w:r>
          </w:p>
        </w:tc>
        <w:tc>
          <w:tcPr>
            <w:tcW w:type="dxa" w:w="3118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Kurs średni NBP z dnia</w:t>
            </w:r>
          </w:p>
        </w:tc>
        <w:tc>
          <w:tcPr>
            <w:tcW w:type="dxa" w:w="1984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color w:val="0A1F1A"/>
                <w:sz w:val="17"/>
              </w:rPr>
              <w:t>Kwota (zł)</w:t>
            </w:r>
          </w:p>
        </w:tc>
      </w:tr>
      <w:tr>
        <w:tc>
          <w:tcPr>
            <w:tcW w:type="dxa" w:w="1984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[numer]</w:t>
            </w:r>
          </w:p>
        </w:tc>
        <w:tc>
          <w:tcPr>
            <w:tcW w:type="dxa" w:w="198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[40 / 70 / 100]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 w:val="0"/>
                <w:sz w:val="17"/>
                <w:highlight w:val="yellow"/>
              </w:rPr>
              <w:t>[kurs]</w:t>
            </w:r>
            <w:r>
              <w:rPr>
                <w:b w:val="0"/>
                <w:i w:val="0"/>
                <w:sz w:val="17"/>
              </w:rPr>
              <w:t xml:space="preserve"> zł z </w:t>
            </w:r>
            <w:r>
              <w:rPr>
                <w:b w:val="0"/>
                <w:i w:val="0"/>
                <w:sz w:val="17"/>
                <w:highlight w:val="yellow"/>
              </w:rPr>
              <w:t>[data]</w:t>
            </w:r>
          </w:p>
        </w:tc>
        <w:tc>
          <w:tcPr>
            <w:tcW w:type="dxa" w:w="198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7"/>
                <w:highlight w:val="yellow"/>
              </w:rPr>
              <w:t>[kwota]</w:t>
            </w:r>
          </w:p>
        </w:tc>
      </w:tr>
    </w:tbl>
    <w:p>
      <w:pPr>
        <w:spacing w:after="80" w:before="0"/>
      </w:pPr>
    </w:p>
    <w:p>
      <w:pPr>
        <w:spacing w:after="40" w:before="0"/>
        <w:jc w:val="right"/>
      </w:pPr>
      <w:r>
        <w:rPr>
          <w:b w:val="0"/>
          <w:i w:val="0"/>
          <w:sz w:val="21"/>
        </w:rPr>
        <w:t xml:space="preserve">Odsetki razem </w:t>
      </w:r>
      <w:r>
        <w:rPr>
          <w:b w:val="0"/>
          <w:i w:val="0"/>
          <w:sz w:val="21"/>
          <w:highlight w:val="yellow"/>
        </w:rPr>
        <w:t>[kwota]</w:t>
      </w:r>
      <w:r>
        <w:rPr>
          <w:b w:val="0"/>
          <w:i w:val="0"/>
          <w:sz w:val="21"/>
        </w:rPr>
        <w:t xml:space="preserve"> zł</w:t>
      </w:r>
    </w:p>
    <w:p>
      <w:pPr>
        <w:spacing w:after="40" w:before="0"/>
        <w:jc w:val="right"/>
      </w:pPr>
      <w:r>
        <w:rPr>
          <w:b w:val="0"/>
          <w:i w:val="0"/>
          <w:sz w:val="21"/>
        </w:rPr>
        <w:t xml:space="preserve">Rekompensata razem </w:t>
      </w:r>
      <w:r>
        <w:rPr>
          <w:b w:val="0"/>
          <w:i w:val="0"/>
          <w:sz w:val="21"/>
          <w:highlight w:val="yellow"/>
        </w:rPr>
        <w:t>[kwota]</w:t>
      </w:r>
      <w:r>
        <w:rPr>
          <w:b w:val="0"/>
          <w:i w:val="0"/>
          <w:sz w:val="21"/>
        </w:rPr>
        <w:t xml:space="preserve"> zł</w:t>
      </w:r>
    </w:p>
    <w:p>
      <w:pPr>
        <w:spacing w:after="40" w:before="0"/>
        <w:jc w:val="right"/>
      </w:pPr>
      <w:r>
        <w:rPr>
          <w:b/>
          <w:i w:val="0"/>
          <w:sz w:val="23"/>
        </w:rPr>
        <w:t xml:space="preserve">Razem do zapłaty </w:t>
      </w:r>
      <w:r>
        <w:rPr>
          <w:b/>
          <w:i w:val="0"/>
          <w:sz w:val="23"/>
          <w:highlight w:val="yellow"/>
        </w:rPr>
        <w:t>[kwota]</w:t>
      </w:r>
      <w:r>
        <w:rPr>
          <w:b/>
          <w:i w:val="0"/>
          <w:sz w:val="23"/>
        </w:rPr>
        <w:t xml:space="preserve"> zł</w:t>
      </w:r>
    </w:p>
    <w:p>
      <w:pPr>
        <w:spacing w:after="200" w:before="0"/>
        <w:jc w:val="right"/>
      </w:pPr>
      <w:r>
        <w:rPr>
          <w:b w:val="0"/>
          <w:i w:val="0"/>
          <w:color w:val="5F6B67"/>
          <w:sz w:val="20"/>
        </w:rPr>
        <w:t xml:space="preserve">Słownie </w:t>
      </w:r>
      <w:r>
        <w:rPr>
          <w:b w:val="0"/>
          <w:i w:val="0"/>
          <w:color w:val="5F6B67"/>
          <w:sz w:val="20"/>
          <w:highlight w:val="yellow"/>
        </w:rPr>
        <w:t>[kwota słownie]</w:t>
      </w:r>
    </w:p>
    <w:p>
      <w:pPr>
        <w:spacing w:after="160" w:before="0"/>
      </w:pPr>
      <w:r>
        <w:rPr>
          <w:b w:val="0"/>
          <w:i w:val="0"/>
        </w:rPr>
        <w:t xml:space="preserve">Prosimy o zapłatę w terminie </w:t>
      </w:r>
      <w:r>
        <w:rPr>
          <w:b w:val="0"/>
          <w:i w:val="0"/>
          <w:highlight w:val="yellow"/>
        </w:rPr>
        <w:t>[7 / 14]</w:t>
      </w:r>
      <w:r>
        <w:rPr>
          <w:b w:val="0"/>
          <w:i w:val="0"/>
        </w:rPr>
        <w:t xml:space="preserve"> dni od otrzymania noty na rachunek </w:t>
      </w:r>
      <w:r>
        <w:rPr>
          <w:b w:val="0"/>
          <w:i w:val="0"/>
          <w:highlight w:val="yellow"/>
        </w:rPr>
        <w:t>[nazwa banku]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[numer rachunku]</w:t>
      </w:r>
      <w:r>
        <w:rPr>
          <w:b w:val="0"/>
          <w:i w:val="0"/>
        </w:rPr>
        <w:t>, z numerem noty w tytule przelewu.</w:t>
      </w:r>
    </w:p>
    <w:p>
      <w:pPr>
        <w:spacing w:after="480" w:before="0"/>
      </w:pPr>
      <w:r>
        <w:rPr>
          <w:b w:val="0"/>
          <w:i/>
          <w:color w:val="5F6B67"/>
          <w:sz w:val="19"/>
        </w:rPr>
        <w:t>Odsetki za opóźnienie i rekompensata za koszty odzyskiwania należności nie podlegają opodatkowaniu podatkiem od towarów i usług. Nota nie jest fakturą.</w:t>
      </w:r>
    </w:p>
    <w:p>
      <w:pPr>
        <w:spacing w:after="0"/>
        <w:jc w:val="right"/>
      </w:pPr>
      <w:r>
        <w:rPr>
          <w:b w:val="0"/>
          <w:i w:val="0"/>
          <w:sz w:val="21"/>
          <w:highlight w:val="yellow"/>
        </w:rPr>
        <w:t>[Imię i nazwisko, stanowisko]</w:t>
      </w:r>
      <w:r>
        <w:br/>
      </w:r>
      <w:r>
        <w:rPr>
          <w:b w:val="0"/>
          <w:i w:val="0"/>
          <w:sz w:val="21"/>
          <w:highlight w:val="yellow"/>
        </w:rPr>
        <w:t>[podpis albo oznaczenie wystawcy]</w:t>
      </w:r>
    </w:p>
    <w:p>
      <w:pPr>
        <w:spacing w:after="0"/>
      </w:pPr>
      <w:r>
        <w:br w:type="page"/>
      </w:r>
    </w:p>
    <w:p>
      <w:pPr>
        <w:spacing w:after="160" w:before="0"/>
      </w:pPr>
      <w:r>
        <w:rPr>
          <w:b/>
          <w:i w:val="0"/>
          <w:color w:val="0A1F1A"/>
          <w:sz w:val="26"/>
        </w:rPr>
        <w:t>Wskazówki do wypełnienia (nie wysyłaj tej strony dłużnikowi)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Kiedy wystawić. </w:t>
      </w:r>
      <w:r>
        <w:rPr>
          <w:b w:val="0"/>
          <w:i w:val="0"/>
          <w:sz w:val="21"/>
        </w:rPr>
        <w:t>Gdy klient zapłacił fakturę po terminie albo nie zapłacił jej wcale. W drugim przypadku liczysz odsetki do dnia wystawienia noty i wysyłasz ją zwykle razem z wezwaniem do zapłaty.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Jaka stawka. </w:t>
      </w:r>
      <w:r>
        <w:rPr>
          <w:b w:val="0"/>
          <w:i w:val="0"/>
          <w:sz w:val="21"/>
        </w:rPr>
        <w:t>Stan na 2 października 2026 r. podaje tabela niżej. Odsetki w transakcjach handlowych na II półrocze 2026 r. obowiązują do 31 grudnia 2026 r. Odsetki ustawowe za opóźnienie zmieniają się w dniu zmiany stopy referencyjnej NBP, więc po posiedzeniu RPP 6 i 7 października 2026 r. sprawdź, czy 9,25% jest nadal aktualne.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BFC5C3"/>
          <w:left w:val="single" w:sz="4" w:space="0" w:color="BFC5C3"/>
          <w:bottom w:val="single" w:sz="4" w:space="0" w:color="BFC5C3"/>
          <w:right w:val="single" w:sz="4" w:space="0" w:color="BFC5C3"/>
          <w:insideH w:val="single" w:sz="4" w:space="0" w:color="BFC5C3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3515"/>
        <w:gridCol w:w="3742"/>
        <w:gridCol w:w="1474"/>
      </w:tblGrid>
      <w:tr>
        <w:tc>
          <w:tcPr>
            <w:tcW w:type="dxa" w:w="3515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Dłużnik</w:t>
            </w:r>
          </w:p>
        </w:tc>
        <w:tc>
          <w:tcPr>
            <w:tcW w:type="dxa" w:w="3742"/>
            <w:shd w:val="clear" w:color="auto" w:fill="EEF0EF"/>
          </w:tcPr>
          <w:p>
            <w:pPr>
              <w:spacing w:after="0"/>
            </w:pPr>
            <w:r>
              <w:rPr>
                <w:b/>
                <w:i w:val="0"/>
                <w:sz w:val="18"/>
              </w:rPr>
              <w:t>Rodzaj odsetek</w:t>
            </w:r>
          </w:p>
        </w:tc>
        <w:tc>
          <w:tcPr>
            <w:tcW w:type="dxa" w:w="1474"/>
            <w:shd w:val="clear" w:color="auto" w:fill="EEF0EF"/>
          </w:tcPr>
          <w:p>
            <w:pPr>
              <w:spacing w:after="0"/>
              <w:jc w:val="right"/>
            </w:pPr>
            <w:r>
              <w:rPr>
                <w:b/>
                <w:i w:val="0"/>
                <w:sz w:val="18"/>
              </w:rPr>
              <w:t>Stawka</w:t>
            </w:r>
          </w:p>
        </w:tc>
      </w:tr>
      <w:tr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Firma albo podmiot publiczny</w:t>
            </w:r>
          </w:p>
        </w:tc>
        <w:tc>
          <w:tcPr>
            <w:tcW w:type="dxa" w:w="3742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odsetki w transakcjach handlowych</w:t>
            </w:r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13,75%</w:t>
            </w:r>
          </w:p>
        </w:tc>
      </w:tr>
      <w:tr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Publiczny podmiot leczniczy</w:t>
            </w:r>
          </w:p>
        </w:tc>
        <w:tc>
          <w:tcPr>
            <w:tcW w:type="dxa" w:w="3742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odsetki w transakcjach handlowych</w:t>
            </w:r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11,75%</w:t>
            </w:r>
          </w:p>
        </w:tc>
      </w:tr>
      <w:tr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Konsument</w:t>
            </w:r>
          </w:p>
        </w:tc>
        <w:tc>
          <w:tcPr>
            <w:tcW w:type="dxa" w:w="3742"/>
          </w:tcPr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odsetki ustawowe za opóźnienie</w:t>
            </w:r>
          </w:p>
        </w:tc>
        <w:tc>
          <w:tcPr>
            <w:tcW w:type="dxa" w:w="1474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9,25%</w:t>
            </w:r>
          </w:p>
        </w:tc>
      </w:tr>
    </w:tbl>
    <w:p>
      <w:pPr>
        <w:spacing w:after="40" w:before="0"/>
      </w:pP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Jak liczyć. </w:t>
      </w:r>
      <w:r>
        <w:rPr>
          <w:b w:val="0"/>
          <w:i w:val="0"/>
          <w:sz w:val="21"/>
        </w:rPr>
        <w:t>Odsetki = kwota × stawka roczna × liczba dni ÷ 365. Dni liczysz od dnia po terminie płatności do dnia zapłaty (albo do dnia wystawienia noty). Gdy stawka zmieniła się w trakcie opóźnienia, każdy okres liczysz osobno i zaokrąglasz do grosza.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Przykład. </w:t>
      </w:r>
      <w:r>
        <w:rPr>
          <w:b w:val="0"/>
          <w:i w:val="0"/>
          <w:sz w:val="21"/>
        </w:rPr>
        <w:t>Faktura na 24 600,00 zł z terminem 15 czerwca 2026 r. zapłacona 14 sierpnia 2026 r. Od 16 do 30 czerwca 15 dni po 14,00% daje 141,53 zł, od 1 lipca do 14 sierpnia 45 dni po 13,75% daje 417,02 zł. Rekompensata 70 euro po kursie 4,2322 zł z 29 maja 2026 r. to 296,25 zł. Razem 854,80 zł.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Rekompensata. </w:t>
      </w:r>
      <w:r>
        <w:rPr>
          <w:b w:val="0"/>
          <w:i w:val="0"/>
          <w:sz w:val="21"/>
        </w:rPr>
        <w:t>W transakcjach handlowych 40 euro przy kwocie do 5 000 zł, 70 euro powyżej 5 000 zł i poniżej 50 000 zł, 100 euro od 50 000 zł. Euro przeliczasz po średnim kursie NBP z ostatniego dnia roboczego miesiąca poprzedzającego miesiąc, w którym płatność stała się wymagalna. Przy płatności w częściach należy się od każdej niezapłaconej części. Konsumentowi rekompensaty nie doliczasz.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VAT i KSeF. </w:t>
      </w:r>
      <w:r>
        <w:rPr>
          <w:b w:val="0"/>
          <w:i w:val="0"/>
          <w:sz w:val="21"/>
        </w:rPr>
        <w:t>Odsetki i rekompensata są poza zakresem VAT, więc nie wystawiasz na nie faktury. Noty nie wystawia się w KSeF, wysyłasz ją e-mailem albo pocztą i zachowujesz dowód wysłania.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Numeracja i podpis. </w:t>
      </w:r>
      <w:r>
        <w:rPr>
          <w:b w:val="0"/>
          <w:i w:val="0"/>
          <w:sz w:val="21"/>
        </w:rPr>
        <w:t>Noty numeruj w osobnej serii. Przy nocie wysyłanej jako PDF podpis można zastąpić oznaczeniem, które pozwala ustalić wystawcę (art. 21 ust. 4 ustawy o rachunkowości).</w:t>
      </w:r>
    </w:p>
    <w:p>
      <w:pPr>
        <w:pStyle w:val="ListBullet"/>
        <w:spacing w:after="80" w:line="264" w:lineRule="auto"/>
      </w:pPr>
      <w:r>
        <w:rPr>
          <w:b/>
          <w:i w:val="0"/>
          <w:sz w:val="21"/>
        </w:rPr>
        <w:t xml:space="preserve">Korekta. </w:t>
      </w:r>
      <w:r>
        <w:rPr>
          <w:b w:val="0"/>
          <w:i w:val="0"/>
          <w:sz w:val="21"/>
        </w:rPr>
        <w:t>Błąd poprawiasz notą korygującą z numerem i datą noty pierwotnej, kwotami przed korektą i po niej oraz przyczyną zmiany (art. 22 ust. 2 ustawy o rachunkowości).</w:t>
      </w:r>
    </w:p>
    <w:p>
      <w:pPr>
        <w:spacing w:after="0" w:before="280"/>
      </w:pPr>
      <w:r>
        <w:rPr>
          <w:b w:val="0"/>
          <w:i w:val="0"/>
          <w:color w:val="5F6B67"/>
          <w:sz w:val="18"/>
        </w:rPr>
        <w:t xml:space="preserve">Wzór przygotował Sunbay. Odsetki z podziałem na okresy i gotową notę w PDF policzysz w kalkulatorze na </w:t>
      </w:r>
      <w:hyperlink r:id="rId9">
        <w:r>
          <w:rPr>
            <w:color w:val="5F6B67"/>
            <w:u w:val="single"/>
            <w:sz w:val="18"/>
          </w:rPr>
          <w:t xml:space="preserve">sunbay.io/pl/kalkulator-odsetek</w:t>
        </w:r>
      </w:hyperlink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 w:line="276" w:lineRule="auto"/>
    </w:pPr>
    <w:rPr>
      <w:rFonts w:ascii="Calibri" w:hAnsi="Calibri" w:eastAsia="Calibri" w:cs="Calibri"/>
      <w:color w:val="1E2422"/>
      <w:sz w:val="22"/>
      <w:lang w:val="pl-PL" w:eastAsia="pl-PL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unbay.io/pl/kalkulator-ods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odsetkowa, wzór</dc:title>
  <dc:subject>Wzór noty odsetkowej do pobrania z sunbay.io</dc:subject>
  <dc:creator>Sunbay</dc:creator>
  <cp:keywords>wzór, Sunbay</cp:keywords>
  <dc:description>Wzór przygotował Sunbay, sunbay.io/pl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