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DFB6" w14:textId="6B43E42D" w:rsidR="009C17C8" w:rsidRPr="00472BA8" w:rsidRDefault="009C17C8">
      <w:pPr>
        <w:pBdr>
          <w:top w:val="nil"/>
          <w:left w:val="nil"/>
          <w:bottom w:val="nil"/>
          <w:right w:val="nil"/>
          <w:between w:val="nil"/>
        </w:pBdr>
        <w:jc w:val="center"/>
        <w:rPr>
          <w:rFonts w:ascii="Times New Roman" w:eastAsia="Times New Roman" w:hAnsi="Times New Roman" w:cs="Times New Roman"/>
          <w:b/>
          <w:color w:val="000000"/>
          <w:sz w:val="22"/>
          <w:szCs w:val="22"/>
        </w:rPr>
      </w:pPr>
    </w:p>
    <w:p w14:paraId="24D46555" w14:textId="67975EB9" w:rsidR="00CC582C" w:rsidRPr="00472BA8" w:rsidRDefault="00000000">
      <w:pPr>
        <w:pBdr>
          <w:top w:val="nil"/>
          <w:left w:val="nil"/>
          <w:bottom w:val="nil"/>
          <w:right w:val="nil"/>
          <w:between w:val="nil"/>
        </w:pBdr>
        <w:jc w:val="center"/>
        <w:rPr>
          <w:rFonts w:ascii="Times New Roman" w:eastAsia="Times New Roman" w:hAnsi="Times New Roman" w:cs="Times New Roman"/>
          <w:b/>
          <w:color w:val="000000"/>
          <w:sz w:val="22"/>
          <w:szCs w:val="22"/>
        </w:rPr>
      </w:pPr>
      <w:r w:rsidRPr="00472BA8">
        <w:rPr>
          <w:rFonts w:ascii="Times New Roman" w:eastAsia="Times New Roman" w:hAnsi="Times New Roman" w:cs="Times New Roman"/>
          <w:b/>
          <w:color w:val="000000"/>
          <w:sz w:val="22"/>
          <w:szCs w:val="22"/>
        </w:rPr>
        <w:t>Business Associate Addendum</w:t>
      </w:r>
    </w:p>
    <w:p w14:paraId="034046AC" w14:textId="77777777" w:rsidR="00CC582C" w:rsidRPr="00472BA8" w:rsidRDefault="00CC582C">
      <w:pPr>
        <w:pBdr>
          <w:top w:val="nil"/>
          <w:left w:val="nil"/>
          <w:bottom w:val="nil"/>
          <w:right w:val="nil"/>
          <w:between w:val="nil"/>
        </w:pBdr>
        <w:rPr>
          <w:rFonts w:ascii="Times New Roman" w:eastAsia="Times New Roman" w:hAnsi="Times New Roman" w:cs="Times New Roman"/>
          <w:b/>
          <w:color w:val="000000"/>
          <w:sz w:val="22"/>
          <w:szCs w:val="22"/>
        </w:rPr>
      </w:pPr>
    </w:p>
    <w:p w14:paraId="53E3F153" w14:textId="6C7FDE48" w:rsidR="00CC582C" w:rsidRPr="00472BA8" w:rsidRDefault="00000000">
      <w:pPr>
        <w:pBdr>
          <w:top w:val="nil"/>
          <w:left w:val="nil"/>
          <w:bottom w:val="nil"/>
          <w:right w:val="nil"/>
          <w:between w:val="nil"/>
        </w:pBdr>
        <w:rPr>
          <w:rFonts w:ascii="Times New Roman" w:eastAsia="Times New Roman" w:hAnsi="Times New Roman" w:cs="Times New Roman"/>
          <w:color w:val="000000"/>
          <w:sz w:val="22"/>
          <w:szCs w:val="22"/>
        </w:rPr>
      </w:pPr>
      <w:r w:rsidRPr="00472BA8">
        <w:rPr>
          <w:rFonts w:ascii="Times New Roman" w:eastAsia="Times New Roman" w:hAnsi="Times New Roman" w:cs="Times New Roman"/>
          <w:color w:val="000000"/>
          <w:sz w:val="22"/>
          <w:szCs w:val="22"/>
        </w:rPr>
        <w:t>This Business Associate Addendum ("</w:t>
      </w:r>
      <w:r w:rsidRPr="00472BA8">
        <w:rPr>
          <w:rFonts w:ascii="Times New Roman" w:eastAsia="Times New Roman" w:hAnsi="Times New Roman" w:cs="Times New Roman"/>
          <w:color w:val="000000"/>
          <w:sz w:val="22"/>
          <w:szCs w:val="22"/>
          <w:u w:val="single"/>
        </w:rPr>
        <w:t>BAA</w:t>
      </w:r>
      <w:r w:rsidRPr="00472BA8">
        <w:rPr>
          <w:rFonts w:ascii="Times New Roman" w:eastAsia="Times New Roman" w:hAnsi="Times New Roman" w:cs="Times New Roman"/>
          <w:color w:val="000000"/>
          <w:sz w:val="22"/>
          <w:szCs w:val="22"/>
        </w:rPr>
        <w:t xml:space="preserve">") is made and entered into between </w:t>
      </w:r>
      <w:r w:rsidR="009C17C8" w:rsidRPr="00472BA8">
        <w:rPr>
          <w:rFonts w:ascii="Times New Roman" w:eastAsia="Times New Roman" w:hAnsi="Times New Roman" w:cs="Times New Roman"/>
          <w:b/>
          <w:bCs/>
          <w:color w:val="000000"/>
          <w:sz w:val="22"/>
          <w:szCs w:val="22"/>
          <w:highlight w:val="yellow"/>
        </w:rPr>
        <w:t xml:space="preserve">[LEGAL NAME OF </w:t>
      </w:r>
      <w:r w:rsidR="00B85B62" w:rsidRPr="00472BA8">
        <w:rPr>
          <w:rFonts w:ascii="Times New Roman" w:eastAsia="Times New Roman" w:hAnsi="Times New Roman" w:cs="Times New Roman"/>
          <w:b/>
          <w:bCs/>
          <w:color w:val="000000"/>
          <w:sz w:val="22"/>
          <w:szCs w:val="22"/>
          <w:highlight w:val="yellow"/>
        </w:rPr>
        <w:t>COMPANY</w:t>
      </w:r>
      <w:r w:rsidR="009C17C8" w:rsidRPr="00472BA8">
        <w:rPr>
          <w:rFonts w:ascii="Times New Roman" w:eastAsia="Times New Roman" w:hAnsi="Times New Roman" w:cs="Times New Roman"/>
          <w:b/>
          <w:bCs/>
          <w:color w:val="000000"/>
          <w:sz w:val="22"/>
          <w:szCs w:val="22"/>
          <w:highlight w:val="yellow"/>
        </w:rPr>
        <w:t>]</w:t>
      </w:r>
      <w:r w:rsidR="009C17C8" w:rsidRPr="00472BA8">
        <w:rPr>
          <w:rFonts w:ascii="Times New Roman" w:eastAsia="Times New Roman" w:hAnsi="Times New Roman" w:cs="Times New Roman"/>
          <w:b/>
          <w:bCs/>
          <w:color w:val="000000"/>
          <w:sz w:val="22"/>
          <w:szCs w:val="22"/>
        </w:rPr>
        <w:t>,</w:t>
      </w:r>
      <w:r w:rsidR="009C17C8" w:rsidRPr="00472BA8">
        <w:rPr>
          <w:rFonts w:ascii="Times New Roman" w:eastAsia="Times New Roman" w:hAnsi="Times New Roman" w:cs="Times New Roman"/>
          <w:color w:val="000000"/>
          <w:sz w:val="22"/>
          <w:szCs w:val="22"/>
        </w:rPr>
        <w:t xml:space="preserve"> a </w:t>
      </w:r>
      <w:r w:rsidR="009C17C8" w:rsidRPr="00472BA8">
        <w:rPr>
          <w:rFonts w:ascii="Times New Roman" w:eastAsia="Times New Roman" w:hAnsi="Times New Roman" w:cs="Times New Roman"/>
          <w:b/>
          <w:bCs/>
          <w:color w:val="000000"/>
          <w:sz w:val="22"/>
          <w:szCs w:val="22"/>
          <w:highlight w:val="yellow"/>
        </w:rPr>
        <w:t>[STATE OF INCORPORATION OF COMPANY]</w:t>
      </w:r>
      <w:r w:rsidR="009C17C8" w:rsidRPr="00472BA8">
        <w:rPr>
          <w:rFonts w:ascii="Times New Roman" w:eastAsia="Times New Roman" w:hAnsi="Times New Roman" w:cs="Times New Roman"/>
          <w:color w:val="000000"/>
          <w:sz w:val="22"/>
          <w:szCs w:val="22"/>
        </w:rPr>
        <w:t xml:space="preserve"> company </w:t>
      </w:r>
      <w:r w:rsidRPr="00472BA8">
        <w:rPr>
          <w:rFonts w:ascii="Times New Roman" w:eastAsia="Times New Roman" w:hAnsi="Times New Roman" w:cs="Times New Roman"/>
          <w:color w:val="000000"/>
          <w:sz w:val="22"/>
          <w:szCs w:val="22"/>
        </w:rPr>
        <w:t>(“</w:t>
      </w:r>
      <w:r w:rsidRPr="00472BA8">
        <w:rPr>
          <w:rFonts w:ascii="Times New Roman" w:eastAsia="Times New Roman" w:hAnsi="Times New Roman" w:cs="Times New Roman"/>
          <w:color w:val="000000"/>
          <w:sz w:val="22"/>
          <w:szCs w:val="22"/>
          <w:u w:val="single"/>
        </w:rPr>
        <w:t>Company</w:t>
      </w:r>
      <w:r w:rsidRPr="00472BA8">
        <w:rPr>
          <w:rFonts w:ascii="Times New Roman" w:eastAsia="Times New Roman" w:hAnsi="Times New Roman" w:cs="Times New Roman"/>
          <w:color w:val="000000"/>
          <w:sz w:val="22"/>
          <w:szCs w:val="22"/>
        </w:rPr>
        <w:t>”) and the entity listed in the signature block (“</w:t>
      </w:r>
      <w:r w:rsidRPr="00472BA8">
        <w:rPr>
          <w:rFonts w:ascii="Times New Roman" w:eastAsia="Times New Roman" w:hAnsi="Times New Roman" w:cs="Times New Roman"/>
          <w:color w:val="000000"/>
          <w:sz w:val="22"/>
          <w:szCs w:val="22"/>
          <w:u w:val="single"/>
        </w:rPr>
        <w:t>Customer</w:t>
      </w:r>
      <w:r w:rsidRPr="00472BA8">
        <w:rPr>
          <w:rFonts w:ascii="Times New Roman" w:eastAsia="Times New Roman" w:hAnsi="Times New Roman" w:cs="Times New Roman"/>
          <w:color w:val="000000"/>
          <w:sz w:val="22"/>
          <w:szCs w:val="22"/>
        </w:rPr>
        <w:t xml:space="preserve">”) as an addendum to the existing services agreement in place between Customer and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(the “</w:t>
      </w:r>
      <w:r w:rsidRPr="00472BA8">
        <w:rPr>
          <w:rFonts w:ascii="Times New Roman" w:eastAsia="Times New Roman" w:hAnsi="Times New Roman" w:cs="Times New Roman"/>
          <w:color w:val="000000"/>
          <w:sz w:val="22"/>
          <w:szCs w:val="22"/>
          <w:u w:val="single"/>
        </w:rPr>
        <w:t>Services Agreement</w:t>
      </w:r>
      <w:r w:rsidRPr="00472BA8">
        <w:rPr>
          <w:rFonts w:ascii="Times New Roman" w:eastAsia="Times New Roman" w:hAnsi="Times New Roman" w:cs="Times New Roman"/>
          <w:color w:val="000000"/>
          <w:sz w:val="22"/>
          <w:szCs w:val="22"/>
        </w:rPr>
        <w:t xml:space="preserve">”). The Services Agreement governs Customer’s use of the </w:t>
      </w:r>
      <w:r w:rsidR="003D36A3" w:rsidRPr="00472BA8">
        <w:rPr>
          <w:rFonts w:ascii="Times New Roman" w:eastAsia="Times New Roman" w:hAnsi="Times New Roman" w:cs="Times New Roman"/>
          <w:b/>
          <w:bCs/>
          <w:color w:val="000000"/>
          <w:sz w:val="22"/>
          <w:szCs w:val="22"/>
          <w:highlight w:val="yellow"/>
        </w:rPr>
        <w:t>[</w:t>
      </w:r>
      <w:r w:rsidRPr="00472BA8">
        <w:rPr>
          <w:rFonts w:ascii="Times New Roman" w:eastAsia="Times New Roman" w:hAnsi="Times New Roman" w:cs="Times New Roman"/>
          <w:b/>
          <w:bCs/>
          <w:color w:val="000000"/>
          <w:sz w:val="22"/>
          <w:szCs w:val="22"/>
          <w:highlight w:val="yellow"/>
        </w:rPr>
        <w:t>cloud-based software services</w:t>
      </w:r>
      <w:r w:rsidR="003D36A3" w:rsidRPr="00472BA8">
        <w:rPr>
          <w:rFonts w:ascii="Times New Roman" w:eastAsia="Times New Roman" w:hAnsi="Times New Roman" w:cs="Times New Roman"/>
          <w:b/>
          <w:bCs/>
          <w:color w:val="000000"/>
          <w:sz w:val="22"/>
          <w:szCs w:val="22"/>
          <w:highlight w:val="yellow"/>
        </w:rPr>
        <w:t>]</w:t>
      </w:r>
      <w:r w:rsidRPr="00472BA8">
        <w:rPr>
          <w:rFonts w:ascii="Times New Roman" w:eastAsia="Times New Roman" w:hAnsi="Times New Roman" w:cs="Times New Roman"/>
          <w:color w:val="000000"/>
          <w:sz w:val="22"/>
          <w:szCs w:val="22"/>
        </w:rPr>
        <w:t xml:space="preserve"> made available by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(the “</w:t>
      </w:r>
      <w:r w:rsidRPr="00472BA8">
        <w:rPr>
          <w:rFonts w:ascii="Times New Roman" w:eastAsia="Times New Roman" w:hAnsi="Times New Roman" w:cs="Times New Roman"/>
          <w:color w:val="000000"/>
          <w:sz w:val="22"/>
          <w:szCs w:val="22"/>
          <w:u w:val="single"/>
        </w:rPr>
        <w:t>Services</w:t>
      </w:r>
      <w:r w:rsidRPr="00472BA8">
        <w:rPr>
          <w:rFonts w:ascii="Times New Roman" w:eastAsia="Times New Roman" w:hAnsi="Times New Roman" w:cs="Times New Roman"/>
          <w:color w:val="000000"/>
          <w:sz w:val="22"/>
          <w:szCs w:val="22"/>
        </w:rPr>
        <w:t xml:space="preserve">”) and prohibits Customer from utilizing the Services in a manner that would result in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Processing any Protected Health Information without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’s prior written consent. </w:t>
      </w:r>
    </w:p>
    <w:p w14:paraId="6AADE9E0" w14:textId="77777777" w:rsidR="00CC582C" w:rsidRPr="00472BA8" w:rsidRDefault="00CC582C">
      <w:pPr>
        <w:pBdr>
          <w:top w:val="nil"/>
          <w:left w:val="nil"/>
          <w:bottom w:val="nil"/>
          <w:right w:val="nil"/>
          <w:between w:val="nil"/>
        </w:pBdr>
        <w:rPr>
          <w:rFonts w:ascii="Times New Roman" w:eastAsia="Times New Roman" w:hAnsi="Times New Roman" w:cs="Times New Roman"/>
          <w:color w:val="000000"/>
          <w:sz w:val="22"/>
          <w:szCs w:val="22"/>
        </w:rPr>
      </w:pPr>
    </w:p>
    <w:p w14:paraId="2CF2165C" w14:textId="6910147F" w:rsidR="00CC582C" w:rsidRPr="00472BA8" w:rsidRDefault="00000000">
      <w:pPr>
        <w:pBdr>
          <w:top w:val="nil"/>
          <w:left w:val="nil"/>
          <w:bottom w:val="nil"/>
          <w:right w:val="nil"/>
          <w:between w:val="nil"/>
        </w:pBdr>
        <w:rPr>
          <w:rFonts w:ascii="Times New Roman" w:eastAsia="Times New Roman" w:hAnsi="Times New Roman" w:cs="Times New Roman"/>
          <w:color w:val="000000"/>
          <w:sz w:val="22"/>
          <w:szCs w:val="22"/>
        </w:rPr>
      </w:pPr>
      <w:r w:rsidRPr="00472BA8">
        <w:rPr>
          <w:rFonts w:ascii="Times New Roman" w:eastAsia="Times New Roman" w:hAnsi="Times New Roman" w:cs="Times New Roman"/>
          <w:color w:val="000000"/>
          <w:sz w:val="22"/>
          <w:szCs w:val="22"/>
        </w:rPr>
        <w:t>Customer, as a Covered Entity or Business Associate under the Health Insurance Portability and Accountability Act (HIP</w:t>
      </w:r>
      <w:r w:rsidRPr="00472BA8">
        <w:rPr>
          <w:rFonts w:ascii="Times New Roman" w:eastAsia="Times New Roman" w:hAnsi="Times New Roman" w:cs="Times New Roman"/>
          <w:sz w:val="22"/>
          <w:szCs w:val="22"/>
        </w:rPr>
        <w:t>A</w:t>
      </w:r>
      <w:r w:rsidRPr="00472BA8">
        <w:rPr>
          <w:rFonts w:ascii="Times New Roman" w:eastAsia="Times New Roman" w:hAnsi="Times New Roman" w:cs="Times New Roman"/>
          <w:color w:val="000000"/>
          <w:sz w:val="22"/>
          <w:szCs w:val="22"/>
        </w:rPr>
        <w:t xml:space="preserve">A), now desires to utilize certain </w:t>
      </w:r>
      <w:r w:rsidRPr="00472BA8">
        <w:rPr>
          <w:rFonts w:ascii="Times New Roman" w:eastAsia="Times New Roman" w:hAnsi="Times New Roman" w:cs="Times New Roman"/>
          <w:sz w:val="22"/>
          <w:szCs w:val="22"/>
        </w:rPr>
        <w:t>HIPAA-Eligible</w:t>
      </w:r>
      <w:r w:rsidRPr="00472BA8">
        <w:rPr>
          <w:rFonts w:ascii="Times New Roman" w:eastAsia="Times New Roman" w:hAnsi="Times New Roman" w:cs="Times New Roman"/>
          <w:color w:val="000000"/>
          <w:sz w:val="22"/>
          <w:szCs w:val="22"/>
        </w:rPr>
        <w:t xml:space="preserve"> Services that can be configured by Customer to Process Protected Health Information. Subject to Customer’s purchase of HIPAA</w:t>
      </w:r>
      <w:r w:rsidRPr="00472BA8">
        <w:rPr>
          <w:rFonts w:ascii="Times New Roman" w:eastAsia="Times New Roman" w:hAnsi="Times New Roman" w:cs="Times New Roman"/>
          <w:sz w:val="22"/>
          <w:szCs w:val="22"/>
        </w:rPr>
        <w:t>-</w:t>
      </w:r>
      <w:r w:rsidRPr="00472BA8">
        <w:rPr>
          <w:rFonts w:ascii="Times New Roman" w:eastAsia="Times New Roman" w:hAnsi="Times New Roman" w:cs="Times New Roman"/>
          <w:color w:val="000000"/>
          <w:sz w:val="22"/>
          <w:szCs w:val="22"/>
        </w:rPr>
        <w:t xml:space="preserve">Eligible Services under the Services Agreement and application of required security configurations,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hereby consents to Customer’s use of the HIPAA</w:t>
      </w:r>
      <w:r w:rsidRPr="00472BA8">
        <w:rPr>
          <w:rFonts w:ascii="Times New Roman" w:eastAsia="Times New Roman" w:hAnsi="Times New Roman" w:cs="Times New Roman"/>
          <w:sz w:val="22"/>
          <w:szCs w:val="22"/>
        </w:rPr>
        <w:t>-</w:t>
      </w:r>
      <w:r w:rsidRPr="00472BA8">
        <w:rPr>
          <w:rFonts w:ascii="Times New Roman" w:eastAsia="Times New Roman" w:hAnsi="Times New Roman" w:cs="Times New Roman"/>
          <w:color w:val="000000"/>
          <w:sz w:val="22"/>
          <w:szCs w:val="22"/>
        </w:rPr>
        <w:t>Eligible Services for the Processing of Protected Health Information. Customer acknowledges that this BAA does not apply to any Services that are not designated as HIPAA</w:t>
      </w:r>
      <w:r w:rsidRPr="00472BA8">
        <w:rPr>
          <w:rFonts w:ascii="Times New Roman" w:eastAsia="Times New Roman" w:hAnsi="Times New Roman" w:cs="Times New Roman"/>
          <w:sz w:val="22"/>
          <w:szCs w:val="22"/>
        </w:rPr>
        <w:t>-</w:t>
      </w:r>
      <w:r w:rsidRPr="00472BA8">
        <w:rPr>
          <w:rFonts w:ascii="Times New Roman" w:eastAsia="Times New Roman" w:hAnsi="Times New Roman" w:cs="Times New Roman"/>
          <w:color w:val="000000"/>
          <w:sz w:val="22"/>
          <w:szCs w:val="22"/>
        </w:rPr>
        <w:t xml:space="preserve">Eligible Services or to any accounts Customer, or its personnel, may create with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now or in the future, that are outside the scope of the Services Agreement. </w:t>
      </w:r>
    </w:p>
    <w:p w14:paraId="5E50950C" w14:textId="77777777" w:rsidR="00CC582C" w:rsidRPr="00472BA8" w:rsidRDefault="00CC582C">
      <w:pPr>
        <w:pBdr>
          <w:top w:val="nil"/>
          <w:left w:val="nil"/>
          <w:bottom w:val="nil"/>
          <w:right w:val="nil"/>
          <w:between w:val="nil"/>
        </w:pBdr>
        <w:rPr>
          <w:rFonts w:ascii="Times New Roman" w:eastAsia="Times New Roman" w:hAnsi="Times New Roman" w:cs="Times New Roman"/>
          <w:color w:val="000000"/>
          <w:sz w:val="22"/>
          <w:szCs w:val="22"/>
        </w:rPr>
      </w:pPr>
    </w:p>
    <w:p w14:paraId="5472CE17" w14:textId="64E64FA9" w:rsidR="00CC582C" w:rsidRPr="00472BA8" w:rsidRDefault="00000000">
      <w:pPr>
        <w:pBdr>
          <w:top w:val="nil"/>
          <w:left w:val="nil"/>
          <w:bottom w:val="nil"/>
          <w:right w:val="nil"/>
          <w:between w:val="nil"/>
        </w:pBdr>
        <w:rPr>
          <w:rFonts w:ascii="Times New Roman" w:eastAsia="Times New Roman" w:hAnsi="Times New Roman" w:cs="Times New Roman"/>
          <w:color w:val="000000"/>
          <w:sz w:val="22"/>
          <w:szCs w:val="22"/>
        </w:rPr>
      </w:pPr>
      <w:r w:rsidRPr="00472BA8">
        <w:rPr>
          <w:rFonts w:ascii="Times New Roman" w:eastAsia="Times New Roman" w:hAnsi="Times New Roman" w:cs="Times New Roman"/>
          <w:color w:val="000000"/>
          <w:sz w:val="22"/>
          <w:szCs w:val="22"/>
        </w:rPr>
        <w:t xml:space="preserve">This BAA will </w:t>
      </w:r>
      <w:r w:rsidR="00FD0EA4" w:rsidRPr="00472BA8">
        <w:rPr>
          <w:rFonts w:ascii="Times New Roman" w:eastAsia="Times New Roman" w:hAnsi="Times New Roman" w:cs="Times New Roman"/>
          <w:color w:val="000000"/>
          <w:sz w:val="22"/>
          <w:szCs w:val="22"/>
        </w:rPr>
        <w:t>take</w:t>
      </w:r>
      <w:r w:rsidRPr="00472BA8">
        <w:rPr>
          <w:rFonts w:ascii="Times New Roman" w:eastAsia="Times New Roman" w:hAnsi="Times New Roman" w:cs="Times New Roman"/>
          <w:color w:val="000000"/>
          <w:sz w:val="22"/>
          <w:szCs w:val="22"/>
        </w:rPr>
        <w:t xml:space="preserve"> effect from the effective date of the first executed ordering document for HIPAA</w:t>
      </w:r>
      <w:r w:rsidRPr="00472BA8">
        <w:rPr>
          <w:rFonts w:ascii="Times New Roman" w:eastAsia="Times New Roman" w:hAnsi="Times New Roman" w:cs="Times New Roman"/>
          <w:sz w:val="22"/>
          <w:szCs w:val="22"/>
        </w:rPr>
        <w:t>-</w:t>
      </w:r>
      <w:r w:rsidRPr="00472BA8">
        <w:rPr>
          <w:rFonts w:ascii="Times New Roman" w:eastAsia="Times New Roman" w:hAnsi="Times New Roman" w:cs="Times New Roman"/>
          <w:color w:val="000000"/>
          <w:sz w:val="22"/>
          <w:szCs w:val="22"/>
        </w:rPr>
        <w:t xml:space="preserve">Eligible Services between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and Customer.</w:t>
      </w:r>
    </w:p>
    <w:p w14:paraId="5359354D" w14:textId="77777777" w:rsidR="00CC582C" w:rsidRPr="00472BA8" w:rsidRDefault="00CC582C">
      <w:pPr>
        <w:pBdr>
          <w:top w:val="nil"/>
          <w:left w:val="nil"/>
          <w:bottom w:val="nil"/>
          <w:right w:val="nil"/>
          <w:between w:val="nil"/>
        </w:pBdr>
        <w:rPr>
          <w:rFonts w:ascii="Times New Roman" w:eastAsia="Times New Roman" w:hAnsi="Times New Roman" w:cs="Times New Roman"/>
          <w:color w:val="000000"/>
          <w:sz w:val="22"/>
          <w:szCs w:val="22"/>
        </w:rPr>
      </w:pPr>
      <w:bookmarkStart w:id="0" w:name="_gjdgxs" w:colFirst="0" w:colLast="0"/>
      <w:bookmarkEnd w:id="0"/>
    </w:p>
    <w:p w14:paraId="205EA8DC" w14:textId="77777777" w:rsidR="00CC582C" w:rsidRPr="00472BA8" w:rsidRDefault="00000000">
      <w:pPr>
        <w:pStyle w:val="Heading1"/>
        <w:numPr>
          <w:ilvl w:val="1"/>
          <w:numId w:val="2"/>
        </w:numPr>
        <w:spacing w:before="0"/>
        <w:rPr>
          <w:rFonts w:ascii="Times New Roman" w:eastAsia="Times New Roman" w:hAnsi="Times New Roman" w:cs="Times New Roman"/>
          <w:b w:val="0"/>
          <w:color w:val="000000"/>
          <w:sz w:val="22"/>
          <w:szCs w:val="22"/>
        </w:rPr>
      </w:pPr>
      <w:bookmarkStart w:id="1" w:name="_30j0zll" w:colFirst="0" w:colLast="0"/>
      <w:bookmarkEnd w:id="1"/>
      <w:r w:rsidRPr="00472BA8">
        <w:rPr>
          <w:rFonts w:ascii="Times New Roman" w:eastAsia="Times New Roman" w:hAnsi="Times New Roman" w:cs="Times New Roman"/>
          <w:sz w:val="22"/>
          <w:szCs w:val="22"/>
        </w:rPr>
        <w:t xml:space="preserve">Definitions. </w:t>
      </w:r>
      <w:r w:rsidRPr="00472BA8">
        <w:rPr>
          <w:rFonts w:ascii="Times New Roman" w:eastAsia="Times New Roman" w:hAnsi="Times New Roman" w:cs="Times New Roman"/>
          <w:b w:val="0"/>
          <w:color w:val="000000"/>
          <w:sz w:val="22"/>
          <w:szCs w:val="22"/>
        </w:rPr>
        <w:t>For the purposes of this BAA, capitalized terms shall have the meanings ascribed to them in Appendix A. Any capitalized terms used herein but not defined in Appendix A will have the meanings ascribed to them under HIPAA or the Services Agreement, respectively.</w:t>
      </w:r>
    </w:p>
    <w:p w14:paraId="6A80CA40" w14:textId="77777777" w:rsidR="00CC582C" w:rsidRPr="00472BA8" w:rsidRDefault="00000000">
      <w:pPr>
        <w:pStyle w:val="Heading1"/>
        <w:numPr>
          <w:ilvl w:val="1"/>
          <w:numId w:val="2"/>
        </w:numPr>
        <w:spacing w:before="0" w:after="0"/>
        <w:rPr>
          <w:rFonts w:ascii="Times New Roman" w:eastAsia="Times New Roman" w:hAnsi="Times New Roman" w:cs="Times New Roman"/>
          <w:b w:val="0"/>
          <w:sz w:val="22"/>
          <w:szCs w:val="22"/>
        </w:rPr>
      </w:pPr>
      <w:bookmarkStart w:id="2" w:name="_1fob9te" w:colFirst="0" w:colLast="0"/>
      <w:bookmarkEnd w:id="2"/>
      <w:r w:rsidRPr="00472BA8">
        <w:rPr>
          <w:rFonts w:ascii="Times New Roman" w:eastAsia="Times New Roman" w:hAnsi="Times New Roman" w:cs="Times New Roman"/>
          <w:sz w:val="22"/>
          <w:szCs w:val="22"/>
        </w:rPr>
        <w:t xml:space="preserve">Application. </w:t>
      </w:r>
      <w:r w:rsidRPr="00472BA8">
        <w:rPr>
          <w:rFonts w:ascii="Times New Roman" w:eastAsia="Times New Roman" w:hAnsi="Times New Roman" w:cs="Times New Roman"/>
          <w:b w:val="0"/>
          <w:sz w:val="22"/>
          <w:szCs w:val="22"/>
        </w:rPr>
        <w:t>This BAA shall only apply to HIPAA-Eligible Services purchased under the Services Agreement in an ordering document that expressly references and applies this BAA, and only to the extent that Customer is a Covered Entity or Business Associate.</w:t>
      </w:r>
    </w:p>
    <w:p w14:paraId="69DBDA48" w14:textId="77777777" w:rsidR="00CC582C" w:rsidRPr="00472BA8" w:rsidRDefault="00CC582C">
      <w:pPr>
        <w:pStyle w:val="Heading1"/>
        <w:spacing w:before="0" w:after="0"/>
        <w:rPr>
          <w:rFonts w:ascii="Times New Roman" w:eastAsia="Times New Roman" w:hAnsi="Times New Roman" w:cs="Times New Roman"/>
          <w:sz w:val="22"/>
          <w:szCs w:val="22"/>
        </w:rPr>
      </w:pPr>
    </w:p>
    <w:p w14:paraId="3251DE9D" w14:textId="56C69965" w:rsidR="00CC582C" w:rsidRPr="00472BA8" w:rsidRDefault="00000000">
      <w:pPr>
        <w:pStyle w:val="Heading1"/>
        <w:numPr>
          <w:ilvl w:val="1"/>
          <w:numId w:val="2"/>
        </w:numPr>
        <w:spacing w:before="0" w:after="0"/>
        <w:rPr>
          <w:rFonts w:ascii="Times New Roman" w:eastAsia="Times New Roman" w:hAnsi="Times New Roman" w:cs="Times New Roman"/>
          <w:b w:val="0"/>
          <w:sz w:val="22"/>
          <w:szCs w:val="22"/>
        </w:rPr>
      </w:pPr>
      <w:r w:rsidRPr="00472BA8">
        <w:rPr>
          <w:rFonts w:ascii="Times New Roman" w:eastAsia="Times New Roman" w:hAnsi="Times New Roman" w:cs="Times New Roman"/>
          <w:sz w:val="22"/>
          <w:szCs w:val="22"/>
        </w:rPr>
        <w:t xml:space="preserve">Required Uses and Disclosures. </w:t>
      </w:r>
      <w:r w:rsidR="009C17C8" w:rsidRPr="00472BA8">
        <w:rPr>
          <w:rFonts w:ascii="Times New Roman" w:eastAsia="Times New Roman" w:hAnsi="Times New Roman" w:cs="Times New Roman"/>
          <w:b w:val="0"/>
          <w:sz w:val="22"/>
          <w:szCs w:val="22"/>
        </w:rPr>
        <w:t>Company</w:t>
      </w:r>
      <w:r w:rsidRPr="00472BA8">
        <w:rPr>
          <w:rFonts w:ascii="Times New Roman" w:eastAsia="Times New Roman" w:hAnsi="Times New Roman" w:cs="Times New Roman"/>
          <w:b w:val="0"/>
          <w:sz w:val="22"/>
          <w:szCs w:val="22"/>
        </w:rPr>
        <w:t xml:space="preserve"> may Process PHI: (a) for or on behalf of Customer to provide the HIPAA-Eligible Services as specified in the Services Agreement; and (b)</w:t>
      </w:r>
      <w:r w:rsidRPr="00472BA8">
        <w:rPr>
          <w:rFonts w:ascii="Times New Roman" w:hAnsi="Times New Roman" w:cs="Times New Roman"/>
          <w:b w:val="0"/>
          <w:sz w:val="22"/>
          <w:szCs w:val="22"/>
        </w:rPr>
        <w:t xml:space="preserve"> </w:t>
      </w:r>
      <w:r w:rsidRPr="00472BA8">
        <w:rPr>
          <w:rFonts w:ascii="Times New Roman" w:eastAsia="Times New Roman" w:hAnsi="Times New Roman" w:cs="Times New Roman"/>
          <w:b w:val="0"/>
          <w:sz w:val="22"/>
          <w:szCs w:val="22"/>
        </w:rPr>
        <w:t xml:space="preserve">as necessary for the proper management and administration of its business, provided that any disclosures of PHI by </w:t>
      </w:r>
      <w:r w:rsidR="009C17C8" w:rsidRPr="00472BA8">
        <w:rPr>
          <w:rFonts w:ascii="Times New Roman" w:eastAsia="Times New Roman" w:hAnsi="Times New Roman" w:cs="Times New Roman"/>
          <w:b w:val="0"/>
          <w:sz w:val="22"/>
          <w:szCs w:val="22"/>
        </w:rPr>
        <w:t>Company</w:t>
      </w:r>
      <w:r w:rsidRPr="00472BA8">
        <w:rPr>
          <w:rFonts w:ascii="Times New Roman" w:eastAsia="Times New Roman" w:hAnsi="Times New Roman" w:cs="Times New Roman"/>
          <w:b w:val="0"/>
          <w:sz w:val="22"/>
          <w:szCs w:val="22"/>
        </w:rPr>
        <w:t xml:space="preserve"> for this purpose are subject to reasonable assurances from the recipient that all such PHI will be held in confidence, only be used in accordance with Applicable Law and for the purpose for which it was disclosed to the recipient, and that recipient will notify </w:t>
      </w:r>
      <w:r w:rsidR="009C17C8" w:rsidRPr="00472BA8">
        <w:rPr>
          <w:rFonts w:ascii="Times New Roman" w:eastAsia="Times New Roman" w:hAnsi="Times New Roman" w:cs="Times New Roman"/>
          <w:b w:val="0"/>
          <w:sz w:val="22"/>
          <w:szCs w:val="22"/>
        </w:rPr>
        <w:t>Company</w:t>
      </w:r>
      <w:r w:rsidRPr="00472BA8">
        <w:rPr>
          <w:rFonts w:ascii="Times New Roman" w:eastAsia="Times New Roman" w:hAnsi="Times New Roman" w:cs="Times New Roman"/>
          <w:b w:val="0"/>
          <w:sz w:val="22"/>
          <w:szCs w:val="22"/>
        </w:rPr>
        <w:t xml:space="preserve"> of any instances in which the confidentiality of the PHI has been breached.</w:t>
      </w:r>
    </w:p>
    <w:p w14:paraId="09D5FA71" w14:textId="07C9EFB7" w:rsidR="00CC582C" w:rsidRPr="00472BA8" w:rsidRDefault="00000000">
      <w:pPr>
        <w:pStyle w:val="Heading1"/>
        <w:numPr>
          <w:ilvl w:val="1"/>
          <w:numId w:val="2"/>
        </w:numPr>
        <w:rPr>
          <w:rFonts w:ascii="Times New Roman" w:eastAsia="Times New Roman" w:hAnsi="Times New Roman" w:cs="Times New Roman"/>
          <w:color w:val="000000"/>
          <w:sz w:val="22"/>
          <w:szCs w:val="22"/>
        </w:rPr>
      </w:pPr>
      <w:bookmarkStart w:id="3" w:name="_3znysh7" w:colFirst="0" w:colLast="0"/>
      <w:bookmarkEnd w:id="3"/>
      <w:r w:rsidRPr="00472BA8">
        <w:rPr>
          <w:rFonts w:ascii="Times New Roman" w:eastAsia="Times New Roman" w:hAnsi="Times New Roman" w:cs="Times New Roman"/>
          <w:color w:val="000000"/>
          <w:sz w:val="22"/>
          <w:szCs w:val="22"/>
        </w:rPr>
        <w:t xml:space="preserve">Obligations of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w:t>
      </w:r>
    </w:p>
    <w:p w14:paraId="70F56683" w14:textId="77777777" w:rsidR="00CC582C" w:rsidRPr="00472BA8" w:rsidRDefault="00000000">
      <w:pPr>
        <w:numPr>
          <w:ilvl w:val="2"/>
          <w:numId w:val="2"/>
        </w:numPr>
        <w:pBdr>
          <w:top w:val="nil"/>
          <w:left w:val="nil"/>
          <w:bottom w:val="nil"/>
          <w:right w:val="nil"/>
          <w:between w:val="nil"/>
        </w:pBdr>
        <w:spacing w:after="120"/>
        <w:rPr>
          <w:rFonts w:ascii="Times New Roman" w:hAnsi="Times New Roman" w:cs="Times New Roman"/>
          <w:color w:val="000000"/>
          <w:sz w:val="22"/>
          <w:szCs w:val="22"/>
        </w:rPr>
      </w:pPr>
      <w:r w:rsidRPr="00472BA8">
        <w:rPr>
          <w:rFonts w:ascii="Times New Roman" w:eastAsia="Times New Roman" w:hAnsi="Times New Roman" w:cs="Times New Roman"/>
          <w:color w:val="000000"/>
          <w:sz w:val="22"/>
          <w:szCs w:val="22"/>
          <w:u w:val="single"/>
        </w:rPr>
        <w:t>Limitations on Use and Disclosure</w:t>
      </w:r>
      <w:r w:rsidRPr="00472BA8">
        <w:rPr>
          <w:rFonts w:ascii="Times New Roman" w:eastAsia="Times New Roman" w:hAnsi="Times New Roman" w:cs="Times New Roman"/>
          <w:color w:val="000000"/>
          <w:sz w:val="22"/>
          <w:szCs w:val="22"/>
        </w:rPr>
        <w:t>.</w:t>
      </w:r>
    </w:p>
    <w:p w14:paraId="116AA8E7" w14:textId="48434EFF" w:rsidR="00CC582C" w:rsidRPr="00472BA8" w:rsidRDefault="009C17C8">
      <w:pPr>
        <w:numPr>
          <w:ilvl w:val="3"/>
          <w:numId w:val="2"/>
        </w:numPr>
        <w:pBdr>
          <w:top w:val="nil"/>
          <w:left w:val="nil"/>
          <w:bottom w:val="nil"/>
          <w:right w:val="nil"/>
          <w:between w:val="nil"/>
        </w:pBdr>
        <w:spacing w:after="120"/>
        <w:rPr>
          <w:rFonts w:ascii="Times New Roman" w:eastAsia="Times New Roman" w:hAnsi="Times New Roman" w:cs="Times New Roman"/>
          <w:color w:val="000000"/>
          <w:sz w:val="22"/>
          <w:szCs w:val="22"/>
        </w:rPr>
      </w:pPr>
      <w:bookmarkStart w:id="4" w:name="_2et92p0" w:colFirst="0" w:colLast="0"/>
      <w:bookmarkEnd w:id="4"/>
      <w:r w:rsidRPr="00472BA8">
        <w:rPr>
          <w:rFonts w:ascii="Times New Roman" w:eastAsia="Times New Roman" w:hAnsi="Times New Roman" w:cs="Times New Roman"/>
          <w:color w:val="000000"/>
          <w:sz w:val="22"/>
          <w:szCs w:val="22"/>
        </w:rPr>
        <w:t>Company</w:t>
      </w:r>
      <w:r w:rsidR="00AF2A40" w:rsidRPr="00472BA8">
        <w:rPr>
          <w:rFonts w:ascii="Times New Roman" w:eastAsia="Times New Roman" w:hAnsi="Times New Roman" w:cs="Times New Roman"/>
          <w:sz w:val="22"/>
          <w:szCs w:val="22"/>
        </w:rPr>
        <w:t xml:space="preserve">, </w:t>
      </w:r>
      <w:r w:rsidR="00AF2A40" w:rsidRPr="00472BA8">
        <w:rPr>
          <w:rFonts w:ascii="Times New Roman" w:eastAsia="Times New Roman" w:hAnsi="Times New Roman" w:cs="Times New Roman"/>
          <w:color w:val="000000"/>
          <w:sz w:val="22"/>
          <w:szCs w:val="22"/>
        </w:rPr>
        <w:t>its agents and its subcontractors shall: (</w:t>
      </w:r>
      <w:proofErr w:type="spellStart"/>
      <w:r w:rsidR="00AF2A40" w:rsidRPr="00472BA8">
        <w:rPr>
          <w:rFonts w:ascii="Times New Roman" w:eastAsia="Times New Roman" w:hAnsi="Times New Roman" w:cs="Times New Roman"/>
          <w:color w:val="000000"/>
          <w:sz w:val="22"/>
          <w:szCs w:val="22"/>
        </w:rPr>
        <w:t>i</w:t>
      </w:r>
      <w:proofErr w:type="spellEnd"/>
      <w:r w:rsidR="00AF2A40" w:rsidRPr="00472BA8">
        <w:rPr>
          <w:rFonts w:ascii="Times New Roman" w:eastAsia="Times New Roman" w:hAnsi="Times New Roman" w:cs="Times New Roman"/>
          <w:color w:val="000000"/>
          <w:sz w:val="22"/>
          <w:szCs w:val="22"/>
        </w:rPr>
        <w:t>) not use or disclose PHI other than as permitted or required by this BAA</w:t>
      </w:r>
      <w:r w:rsidR="00AF2A40" w:rsidRPr="00472BA8">
        <w:rPr>
          <w:rFonts w:ascii="Times New Roman" w:eastAsia="Times New Roman" w:hAnsi="Times New Roman" w:cs="Times New Roman"/>
          <w:sz w:val="22"/>
          <w:szCs w:val="22"/>
        </w:rPr>
        <w:t xml:space="preserve"> </w:t>
      </w:r>
      <w:r w:rsidR="00AF2A40" w:rsidRPr="00472BA8">
        <w:rPr>
          <w:rFonts w:ascii="Times New Roman" w:eastAsia="Times New Roman" w:hAnsi="Times New Roman" w:cs="Times New Roman"/>
          <w:color w:val="000000"/>
          <w:sz w:val="22"/>
          <w:szCs w:val="22"/>
        </w:rPr>
        <w:t xml:space="preserve">or </w:t>
      </w:r>
      <w:r w:rsidR="00AF2A40" w:rsidRPr="00472BA8">
        <w:rPr>
          <w:rFonts w:ascii="Times New Roman" w:eastAsia="Times New Roman" w:hAnsi="Times New Roman" w:cs="Times New Roman"/>
          <w:sz w:val="22"/>
          <w:szCs w:val="22"/>
        </w:rPr>
        <w:t>Applicable</w:t>
      </w:r>
      <w:r w:rsidR="00AF2A40" w:rsidRPr="00472BA8">
        <w:rPr>
          <w:rFonts w:ascii="Times New Roman" w:eastAsia="Times New Roman" w:hAnsi="Times New Roman" w:cs="Times New Roman"/>
          <w:color w:val="000000"/>
          <w:sz w:val="22"/>
          <w:szCs w:val="22"/>
        </w:rPr>
        <w:t xml:space="preserve"> Law; (ii) not use or disclose PHI in any manner that violates Applicable Law; and (i</w:t>
      </w:r>
      <w:r w:rsidR="00AF2A40" w:rsidRPr="00472BA8">
        <w:rPr>
          <w:rFonts w:ascii="Times New Roman" w:eastAsia="Times New Roman" w:hAnsi="Times New Roman" w:cs="Times New Roman"/>
          <w:sz w:val="22"/>
          <w:szCs w:val="22"/>
        </w:rPr>
        <w:t>ii</w:t>
      </w:r>
      <w:r w:rsidR="00AF2A40" w:rsidRPr="00472BA8">
        <w:rPr>
          <w:rFonts w:ascii="Times New Roman" w:eastAsia="Times New Roman" w:hAnsi="Times New Roman" w:cs="Times New Roman"/>
          <w:color w:val="000000"/>
          <w:sz w:val="22"/>
          <w:szCs w:val="22"/>
        </w:rPr>
        <w:t>) only use or disclose the minimum amount of PHI necessary to provide the HIPAA</w:t>
      </w:r>
      <w:r w:rsidR="00AF2A40" w:rsidRPr="00472BA8">
        <w:rPr>
          <w:rFonts w:ascii="Times New Roman" w:eastAsia="Times New Roman" w:hAnsi="Times New Roman" w:cs="Times New Roman"/>
          <w:sz w:val="22"/>
          <w:szCs w:val="22"/>
        </w:rPr>
        <w:t>-</w:t>
      </w:r>
      <w:r w:rsidR="00AF2A40" w:rsidRPr="00472BA8">
        <w:rPr>
          <w:rFonts w:ascii="Times New Roman" w:eastAsia="Times New Roman" w:hAnsi="Times New Roman" w:cs="Times New Roman"/>
          <w:color w:val="000000"/>
          <w:sz w:val="22"/>
          <w:szCs w:val="22"/>
        </w:rPr>
        <w:t xml:space="preserve">Eligible Services or to carry out </w:t>
      </w:r>
      <w:r w:rsidRPr="00472BA8">
        <w:rPr>
          <w:rFonts w:ascii="Times New Roman" w:eastAsia="Times New Roman" w:hAnsi="Times New Roman" w:cs="Times New Roman"/>
          <w:color w:val="000000"/>
          <w:sz w:val="22"/>
          <w:szCs w:val="22"/>
        </w:rPr>
        <w:t>Company</w:t>
      </w:r>
      <w:r w:rsidR="00AF2A40" w:rsidRPr="00472BA8">
        <w:rPr>
          <w:rFonts w:ascii="Times New Roman" w:eastAsia="Times New Roman" w:hAnsi="Times New Roman" w:cs="Times New Roman"/>
          <w:color w:val="000000"/>
          <w:sz w:val="22"/>
          <w:szCs w:val="22"/>
        </w:rPr>
        <w:t xml:space="preserve">’s legal responsibilities. </w:t>
      </w:r>
    </w:p>
    <w:p w14:paraId="43DE5C64" w14:textId="3F95DB28" w:rsidR="00CC582C" w:rsidRPr="00472BA8" w:rsidRDefault="009C17C8">
      <w:pPr>
        <w:numPr>
          <w:ilvl w:val="3"/>
          <w:numId w:val="2"/>
        </w:numPr>
        <w:pBdr>
          <w:top w:val="nil"/>
          <w:left w:val="nil"/>
          <w:bottom w:val="nil"/>
          <w:right w:val="nil"/>
          <w:between w:val="nil"/>
        </w:pBdr>
        <w:spacing w:after="120"/>
        <w:rPr>
          <w:rFonts w:ascii="Times New Roman" w:eastAsia="Times New Roman" w:hAnsi="Times New Roman" w:cs="Times New Roman"/>
          <w:color w:val="000000"/>
          <w:sz w:val="22"/>
          <w:szCs w:val="22"/>
        </w:rPr>
      </w:pPr>
      <w:bookmarkStart w:id="5" w:name="_tyjcwt" w:colFirst="0" w:colLast="0"/>
      <w:bookmarkEnd w:id="5"/>
      <w:r w:rsidRPr="00472BA8">
        <w:rPr>
          <w:rFonts w:ascii="Times New Roman" w:eastAsia="Times New Roman" w:hAnsi="Times New Roman" w:cs="Times New Roman"/>
          <w:color w:val="000000"/>
          <w:sz w:val="22"/>
          <w:szCs w:val="22"/>
        </w:rPr>
        <w:t>Company</w:t>
      </w:r>
      <w:r w:rsidR="00AF2A40" w:rsidRPr="00472BA8">
        <w:rPr>
          <w:rFonts w:ascii="Times New Roman" w:eastAsia="Times New Roman" w:hAnsi="Times New Roman" w:cs="Times New Roman"/>
          <w:color w:val="000000"/>
          <w:sz w:val="22"/>
          <w:szCs w:val="22"/>
        </w:rPr>
        <w:t xml:space="preserve"> is permitted, for Data Aggregation purposes to the extent permitted under HIPAA, to use, disclose, and combine PHI received from, or on behalf of, Customer by </w:t>
      </w:r>
      <w:r w:rsidRPr="00472BA8">
        <w:rPr>
          <w:rFonts w:ascii="Times New Roman" w:eastAsia="Times New Roman" w:hAnsi="Times New Roman" w:cs="Times New Roman"/>
          <w:color w:val="000000"/>
          <w:sz w:val="22"/>
          <w:szCs w:val="22"/>
        </w:rPr>
        <w:t>Company</w:t>
      </w:r>
      <w:r w:rsidR="00AF2A40" w:rsidRPr="00472BA8">
        <w:rPr>
          <w:rFonts w:ascii="Times New Roman" w:eastAsia="Times New Roman" w:hAnsi="Times New Roman" w:cs="Times New Roman"/>
          <w:color w:val="000000"/>
          <w:sz w:val="22"/>
          <w:szCs w:val="22"/>
        </w:rPr>
        <w:t xml:space="preserve"> pursuant to this BAA</w:t>
      </w:r>
      <w:r w:rsidR="00AF2A40" w:rsidRPr="00472BA8">
        <w:rPr>
          <w:rFonts w:ascii="Times New Roman" w:eastAsia="Times New Roman" w:hAnsi="Times New Roman" w:cs="Times New Roman"/>
          <w:sz w:val="22"/>
          <w:szCs w:val="22"/>
        </w:rPr>
        <w:t xml:space="preserve"> </w:t>
      </w:r>
      <w:r w:rsidR="00AF2A40" w:rsidRPr="00472BA8">
        <w:rPr>
          <w:rFonts w:ascii="Times New Roman" w:eastAsia="Times New Roman" w:hAnsi="Times New Roman" w:cs="Times New Roman"/>
          <w:color w:val="000000"/>
          <w:sz w:val="22"/>
          <w:szCs w:val="22"/>
        </w:rPr>
        <w:t xml:space="preserve">with PHI, as defined by 45 C.F.R. 160.103, received by </w:t>
      </w:r>
      <w:r w:rsidRPr="00472BA8">
        <w:rPr>
          <w:rFonts w:ascii="Times New Roman" w:eastAsia="Times New Roman" w:hAnsi="Times New Roman" w:cs="Times New Roman"/>
          <w:color w:val="000000"/>
          <w:sz w:val="22"/>
          <w:szCs w:val="22"/>
        </w:rPr>
        <w:t>Company</w:t>
      </w:r>
      <w:r w:rsidR="00AF2A40" w:rsidRPr="00472BA8">
        <w:rPr>
          <w:rFonts w:ascii="Times New Roman" w:eastAsia="Times New Roman" w:hAnsi="Times New Roman" w:cs="Times New Roman"/>
          <w:color w:val="000000"/>
          <w:sz w:val="22"/>
          <w:szCs w:val="22"/>
        </w:rPr>
        <w:t xml:space="preserve"> in its capacity as a </w:t>
      </w:r>
      <w:r w:rsidR="00AF2A40" w:rsidRPr="00472BA8">
        <w:rPr>
          <w:rFonts w:ascii="Times New Roman" w:eastAsia="Times New Roman" w:hAnsi="Times New Roman" w:cs="Times New Roman"/>
          <w:sz w:val="22"/>
          <w:szCs w:val="22"/>
        </w:rPr>
        <w:t>B</w:t>
      </w:r>
      <w:r w:rsidR="00AF2A40" w:rsidRPr="00472BA8">
        <w:rPr>
          <w:rFonts w:ascii="Times New Roman" w:eastAsia="Times New Roman" w:hAnsi="Times New Roman" w:cs="Times New Roman"/>
          <w:color w:val="000000"/>
          <w:sz w:val="22"/>
          <w:szCs w:val="22"/>
        </w:rPr>
        <w:t xml:space="preserve">usiness </w:t>
      </w:r>
      <w:r w:rsidR="00AF2A40" w:rsidRPr="00472BA8">
        <w:rPr>
          <w:rFonts w:ascii="Times New Roman" w:eastAsia="Times New Roman" w:hAnsi="Times New Roman" w:cs="Times New Roman"/>
          <w:sz w:val="22"/>
          <w:szCs w:val="22"/>
        </w:rPr>
        <w:t>A</w:t>
      </w:r>
      <w:r w:rsidR="00AF2A40" w:rsidRPr="00472BA8">
        <w:rPr>
          <w:rFonts w:ascii="Times New Roman" w:eastAsia="Times New Roman" w:hAnsi="Times New Roman" w:cs="Times New Roman"/>
          <w:color w:val="000000"/>
          <w:sz w:val="22"/>
          <w:szCs w:val="22"/>
        </w:rPr>
        <w:t xml:space="preserve">ssociate of other </w:t>
      </w:r>
      <w:r w:rsidR="00AF2A40" w:rsidRPr="00472BA8">
        <w:rPr>
          <w:rFonts w:ascii="Times New Roman" w:eastAsia="Times New Roman" w:hAnsi="Times New Roman" w:cs="Times New Roman"/>
          <w:sz w:val="22"/>
          <w:szCs w:val="22"/>
        </w:rPr>
        <w:t>C</w:t>
      </w:r>
      <w:r w:rsidR="00AF2A40" w:rsidRPr="00472BA8">
        <w:rPr>
          <w:rFonts w:ascii="Times New Roman" w:eastAsia="Times New Roman" w:hAnsi="Times New Roman" w:cs="Times New Roman"/>
          <w:color w:val="000000"/>
          <w:sz w:val="22"/>
          <w:szCs w:val="22"/>
        </w:rPr>
        <w:t xml:space="preserve">overed </w:t>
      </w:r>
      <w:r w:rsidR="00AF2A40" w:rsidRPr="00472BA8">
        <w:rPr>
          <w:rFonts w:ascii="Times New Roman" w:eastAsia="Times New Roman" w:hAnsi="Times New Roman" w:cs="Times New Roman"/>
          <w:sz w:val="22"/>
          <w:szCs w:val="22"/>
        </w:rPr>
        <w:t>E</w:t>
      </w:r>
      <w:r w:rsidR="00AF2A40" w:rsidRPr="00472BA8">
        <w:rPr>
          <w:rFonts w:ascii="Times New Roman" w:eastAsia="Times New Roman" w:hAnsi="Times New Roman" w:cs="Times New Roman"/>
          <w:color w:val="000000"/>
          <w:sz w:val="22"/>
          <w:szCs w:val="22"/>
        </w:rPr>
        <w:t xml:space="preserve">ntities, to perform data analyses relating to the health care operations of the respective </w:t>
      </w:r>
      <w:r w:rsidR="00AF2A40" w:rsidRPr="00472BA8">
        <w:rPr>
          <w:rFonts w:ascii="Times New Roman" w:eastAsia="Times New Roman" w:hAnsi="Times New Roman" w:cs="Times New Roman"/>
          <w:sz w:val="22"/>
          <w:szCs w:val="22"/>
        </w:rPr>
        <w:t>C</w:t>
      </w:r>
      <w:r w:rsidR="00AF2A40" w:rsidRPr="00472BA8">
        <w:rPr>
          <w:rFonts w:ascii="Times New Roman" w:eastAsia="Times New Roman" w:hAnsi="Times New Roman" w:cs="Times New Roman"/>
          <w:color w:val="000000"/>
          <w:sz w:val="22"/>
          <w:szCs w:val="22"/>
        </w:rPr>
        <w:t xml:space="preserve">overed </w:t>
      </w:r>
      <w:r w:rsidR="00AF2A40" w:rsidRPr="00472BA8">
        <w:rPr>
          <w:rFonts w:ascii="Times New Roman" w:eastAsia="Times New Roman" w:hAnsi="Times New Roman" w:cs="Times New Roman"/>
          <w:sz w:val="22"/>
          <w:szCs w:val="22"/>
        </w:rPr>
        <w:t>E</w:t>
      </w:r>
      <w:r w:rsidR="00AF2A40" w:rsidRPr="00472BA8">
        <w:rPr>
          <w:rFonts w:ascii="Times New Roman" w:eastAsia="Times New Roman" w:hAnsi="Times New Roman" w:cs="Times New Roman"/>
          <w:color w:val="000000"/>
          <w:sz w:val="22"/>
          <w:szCs w:val="22"/>
        </w:rPr>
        <w:t>ntities and/or Customer</w:t>
      </w:r>
      <w:r w:rsidR="005D7902">
        <w:rPr>
          <w:rFonts w:ascii="Times New Roman" w:eastAsia="Times New Roman" w:hAnsi="Times New Roman" w:cs="Times New Roman"/>
          <w:color w:val="000000"/>
          <w:sz w:val="22"/>
          <w:szCs w:val="22"/>
        </w:rPr>
        <w:t>.</w:t>
      </w:r>
    </w:p>
    <w:p w14:paraId="448B4431" w14:textId="2ACD2D4C" w:rsidR="00CC582C" w:rsidRPr="00472BA8" w:rsidRDefault="009C17C8">
      <w:pPr>
        <w:numPr>
          <w:ilvl w:val="3"/>
          <w:numId w:val="2"/>
        </w:numPr>
        <w:pBdr>
          <w:top w:val="nil"/>
          <w:left w:val="nil"/>
          <w:bottom w:val="nil"/>
          <w:right w:val="nil"/>
          <w:between w:val="nil"/>
        </w:pBdr>
        <w:spacing w:after="120"/>
        <w:rPr>
          <w:rFonts w:ascii="Times New Roman" w:eastAsia="Times New Roman" w:hAnsi="Times New Roman" w:cs="Times New Roman"/>
          <w:color w:val="000000"/>
          <w:sz w:val="22"/>
          <w:szCs w:val="22"/>
        </w:rPr>
      </w:pPr>
      <w:bookmarkStart w:id="6" w:name="_3dy6vkm" w:colFirst="0" w:colLast="0"/>
      <w:bookmarkEnd w:id="6"/>
      <w:r w:rsidRPr="00472BA8">
        <w:rPr>
          <w:rFonts w:ascii="Times New Roman" w:eastAsia="Times New Roman" w:hAnsi="Times New Roman" w:cs="Times New Roman"/>
          <w:color w:val="000000"/>
          <w:sz w:val="22"/>
          <w:szCs w:val="22"/>
        </w:rPr>
        <w:t>Company</w:t>
      </w:r>
      <w:r w:rsidR="00AF2A40" w:rsidRPr="00472BA8">
        <w:rPr>
          <w:rFonts w:ascii="Times New Roman" w:eastAsia="Times New Roman" w:hAnsi="Times New Roman" w:cs="Times New Roman"/>
          <w:color w:val="000000"/>
          <w:sz w:val="22"/>
          <w:szCs w:val="22"/>
        </w:rPr>
        <w:t xml:space="preserve"> may delete, de-identify PHI, or further Secure PHI rendering it unusable and not easily recoverable, when it is no longer useful or necessary to accomplish the purpose for which it was collected, or in accordance with the retention schedule agreed by the parties.</w:t>
      </w:r>
    </w:p>
    <w:p w14:paraId="540C2F52" w14:textId="52CE6530" w:rsidR="00295EFB" w:rsidRPr="00472BA8" w:rsidRDefault="00295EFB" w:rsidP="00295EFB">
      <w:pPr>
        <w:numPr>
          <w:ilvl w:val="2"/>
          <w:numId w:val="2"/>
        </w:numPr>
        <w:pBdr>
          <w:top w:val="nil"/>
          <w:left w:val="nil"/>
          <w:bottom w:val="nil"/>
          <w:right w:val="nil"/>
          <w:between w:val="nil"/>
        </w:pBdr>
        <w:spacing w:after="120"/>
        <w:rPr>
          <w:rFonts w:ascii="Times New Roman" w:eastAsia="Times New Roman" w:hAnsi="Times New Roman" w:cs="Times New Roman"/>
          <w:color w:val="000000"/>
          <w:sz w:val="22"/>
          <w:szCs w:val="22"/>
        </w:rPr>
      </w:pPr>
      <w:r w:rsidRPr="00472BA8">
        <w:rPr>
          <w:rFonts w:ascii="Times New Roman" w:eastAsia="Times New Roman" w:hAnsi="Times New Roman" w:cs="Times New Roman"/>
          <w:color w:val="000000"/>
          <w:sz w:val="22"/>
          <w:szCs w:val="22"/>
          <w:u w:val="single"/>
        </w:rPr>
        <w:t>Specific Use and Disclosures</w:t>
      </w:r>
      <w:r w:rsidRPr="00472BA8">
        <w:rPr>
          <w:rFonts w:ascii="Times New Roman" w:eastAsia="Times New Roman" w:hAnsi="Times New Roman" w:cs="Times New Roman"/>
          <w:color w:val="000000"/>
          <w:sz w:val="22"/>
          <w:szCs w:val="22"/>
        </w:rPr>
        <w:t xml:space="preserve">.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may use PHI for the proper management and administration of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’s services or to carry out the legal responsibilities of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may use PHI to create de-identified health information in accordance with 45 C.F.R. 164.514(a)-(c) for the purpose of improving its AI services;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shall ensure that its AI services do not store or retain PHI beyond what is necessary for the immediate interaction, unless explicitly authorized by the Covered Entity.</w:t>
      </w:r>
    </w:p>
    <w:p w14:paraId="2DC3D9CD" w14:textId="77777777" w:rsidR="00CC582C" w:rsidRPr="00472BA8" w:rsidRDefault="00CC582C">
      <w:pPr>
        <w:pBdr>
          <w:top w:val="nil"/>
          <w:left w:val="nil"/>
          <w:bottom w:val="nil"/>
          <w:right w:val="nil"/>
          <w:between w:val="nil"/>
        </w:pBdr>
        <w:ind w:left="720" w:hanging="720"/>
        <w:rPr>
          <w:rFonts w:ascii="Times New Roman" w:eastAsia="Times New Roman" w:hAnsi="Times New Roman" w:cs="Times New Roman"/>
          <w:color w:val="000000"/>
          <w:sz w:val="22"/>
          <w:szCs w:val="22"/>
        </w:rPr>
      </w:pPr>
      <w:bookmarkStart w:id="7" w:name="_1t3h5sf" w:colFirst="0" w:colLast="0"/>
      <w:bookmarkEnd w:id="7"/>
    </w:p>
    <w:p w14:paraId="4D876AAF" w14:textId="7C678960" w:rsidR="00CC582C" w:rsidRPr="00472BA8" w:rsidRDefault="00000000">
      <w:pPr>
        <w:numPr>
          <w:ilvl w:val="2"/>
          <w:numId w:val="2"/>
        </w:numPr>
        <w:pBdr>
          <w:top w:val="nil"/>
          <w:left w:val="nil"/>
          <w:bottom w:val="nil"/>
          <w:right w:val="nil"/>
          <w:between w:val="nil"/>
        </w:pBdr>
        <w:rPr>
          <w:rFonts w:ascii="Times New Roman" w:hAnsi="Times New Roman" w:cs="Times New Roman"/>
          <w:color w:val="000000"/>
          <w:sz w:val="22"/>
          <w:szCs w:val="22"/>
        </w:rPr>
      </w:pPr>
      <w:r w:rsidRPr="00472BA8">
        <w:rPr>
          <w:rFonts w:ascii="Times New Roman" w:eastAsia="Times New Roman" w:hAnsi="Times New Roman" w:cs="Times New Roman"/>
          <w:color w:val="000000"/>
          <w:sz w:val="22"/>
          <w:szCs w:val="22"/>
          <w:u w:val="single"/>
        </w:rPr>
        <w:t>Safeguards</w:t>
      </w:r>
      <w:r w:rsidRPr="00472BA8">
        <w:rPr>
          <w:rFonts w:ascii="Times New Roman" w:eastAsia="Times New Roman" w:hAnsi="Times New Roman" w:cs="Times New Roman"/>
          <w:color w:val="000000"/>
          <w:sz w:val="22"/>
          <w:szCs w:val="22"/>
        </w:rPr>
        <w:t xml:space="preserve">.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shall employ appropriate administrative, technical, and physical safeguards designed to protect the confidentiality, integrity, and availability of PHI and prevent the use or disclosure of PHI in any manner inconsistent with the terms of this BAA or the Services Agreement.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shall further comply with its obligations under the HIPAA Rules relating to the treatment of electronic PHI, including Subpart C of 45</w:t>
      </w:r>
      <w:r w:rsidR="003F2897" w:rsidRPr="00472BA8">
        <w:rPr>
          <w:rFonts w:ascii="Times New Roman" w:eastAsia="Times New Roman" w:hAnsi="Times New Roman" w:cs="Times New Roman"/>
          <w:color w:val="000000"/>
          <w:sz w:val="22"/>
          <w:szCs w:val="22"/>
        </w:rPr>
        <w:t xml:space="preserve"> </w:t>
      </w:r>
      <w:r w:rsidRPr="00472BA8">
        <w:rPr>
          <w:rFonts w:ascii="Times New Roman" w:eastAsia="Times New Roman" w:hAnsi="Times New Roman" w:cs="Times New Roman"/>
          <w:color w:val="000000"/>
          <w:sz w:val="22"/>
          <w:szCs w:val="22"/>
        </w:rPr>
        <w:t>C.F.R. Part 164.</w:t>
      </w:r>
    </w:p>
    <w:p w14:paraId="5F1493EA" w14:textId="77777777" w:rsidR="00CC582C" w:rsidRPr="00472BA8" w:rsidRDefault="00CC582C">
      <w:pPr>
        <w:pBdr>
          <w:top w:val="nil"/>
          <w:left w:val="nil"/>
          <w:bottom w:val="nil"/>
          <w:right w:val="nil"/>
          <w:between w:val="nil"/>
        </w:pBdr>
        <w:ind w:left="720"/>
        <w:rPr>
          <w:rFonts w:ascii="Times New Roman" w:eastAsia="Times New Roman" w:hAnsi="Times New Roman" w:cs="Times New Roman"/>
          <w:color w:val="000000"/>
          <w:sz w:val="22"/>
          <w:szCs w:val="22"/>
          <w:u w:val="single"/>
        </w:rPr>
      </w:pPr>
    </w:p>
    <w:p w14:paraId="337B57C4" w14:textId="49F9B4CD" w:rsidR="00CC582C" w:rsidRPr="00472BA8" w:rsidRDefault="00000000">
      <w:pPr>
        <w:numPr>
          <w:ilvl w:val="2"/>
          <w:numId w:val="2"/>
        </w:numPr>
        <w:pBdr>
          <w:top w:val="nil"/>
          <w:left w:val="nil"/>
          <w:bottom w:val="nil"/>
          <w:right w:val="nil"/>
          <w:between w:val="nil"/>
        </w:pBdr>
        <w:rPr>
          <w:rFonts w:ascii="Times New Roman" w:hAnsi="Times New Roman" w:cs="Times New Roman"/>
          <w:color w:val="000000"/>
          <w:sz w:val="22"/>
          <w:szCs w:val="22"/>
        </w:rPr>
      </w:pPr>
      <w:r w:rsidRPr="00472BA8">
        <w:rPr>
          <w:rFonts w:ascii="Times New Roman" w:eastAsia="Times New Roman" w:hAnsi="Times New Roman" w:cs="Times New Roman"/>
          <w:color w:val="000000"/>
          <w:sz w:val="22"/>
          <w:szCs w:val="22"/>
          <w:u w:val="single"/>
        </w:rPr>
        <w:t>Secretary Audits</w:t>
      </w:r>
      <w:r w:rsidRPr="00472BA8">
        <w:rPr>
          <w:rFonts w:ascii="Times New Roman" w:eastAsia="Times New Roman" w:hAnsi="Times New Roman" w:cs="Times New Roman"/>
          <w:color w:val="000000"/>
          <w:sz w:val="22"/>
          <w:szCs w:val="22"/>
        </w:rPr>
        <w:t xml:space="preserve">.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shall, in accordance with HIPAA, make available to Customer and the Secretary </w:t>
      </w:r>
      <w:r w:rsidRPr="00472BA8">
        <w:rPr>
          <w:rFonts w:ascii="Times New Roman" w:eastAsia="Times New Roman" w:hAnsi="Times New Roman" w:cs="Times New Roman"/>
          <w:sz w:val="22"/>
          <w:szCs w:val="22"/>
        </w:rPr>
        <w:t>its documented</w:t>
      </w:r>
      <w:r w:rsidRPr="00472BA8">
        <w:rPr>
          <w:rFonts w:ascii="Times New Roman" w:eastAsia="Times New Roman" w:hAnsi="Times New Roman" w:cs="Times New Roman"/>
          <w:color w:val="000000"/>
          <w:sz w:val="22"/>
          <w:szCs w:val="22"/>
        </w:rPr>
        <w:t xml:space="preserve"> internal practices and records relating to the Processing of PHI on behalf of Customer under this BAA to the extent necessary for Customer to satisfy its reporting and audit obligations to the Secretary.</w:t>
      </w:r>
    </w:p>
    <w:p w14:paraId="1DE2D94A" w14:textId="77777777" w:rsidR="00CC582C" w:rsidRPr="00472BA8" w:rsidRDefault="00CC582C">
      <w:pPr>
        <w:pBdr>
          <w:top w:val="nil"/>
          <w:left w:val="nil"/>
          <w:bottom w:val="nil"/>
          <w:right w:val="nil"/>
          <w:between w:val="nil"/>
        </w:pBdr>
        <w:ind w:left="720"/>
        <w:rPr>
          <w:rFonts w:ascii="Times New Roman" w:eastAsia="Times New Roman" w:hAnsi="Times New Roman" w:cs="Times New Roman"/>
          <w:color w:val="000000"/>
          <w:sz w:val="22"/>
          <w:szCs w:val="22"/>
        </w:rPr>
      </w:pPr>
    </w:p>
    <w:p w14:paraId="22B6B29E" w14:textId="028C9D0B" w:rsidR="00CC582C" w:rsidRPr="00472BA8" w:rsidRDefault="00000000">
      <w:pPr>
        <w:numPr>
          <w:ilvl w:val="2"/>
          <w:numId w:val="2"/>
        </w:numPr>
        <w:pBdr>
          <w:top w:val="nil"/>
          <w:left w:val="nil"/>
          <w:bottom w:val="nil"/>
          <w:right w:val="nil"/>
          <w:between w:val="nil"/>
        </w:pBdr>
        <w:rPr>
          <w:rFonts w:ascii="Times New Roman" w:hAnsi="Times New Roman" w:cs="Times New Roman"/>
          <w:color w:val="000000"/>
          <w:sz w:val="22"/>
          <w:szCs w:val="22"/>
        </w:rPr>
      </w:pPr>
      <w:r w:rsidRPr="00472BA8">
        <w:rPr>
          <w:rFonts w:ascii="Times New Roman" w:eastAsia="Times New Roman" w:hAnsi="Times New Roman" w:cs="Times New Roman"/>
          <w:color w:val="000000"/>
          <w:sz w:val="22"/>
          <w:szCs w:val="22"/>
          <w:u w:val="single"/>
        </w:rPr>
        <w:t>Reporting</w:t>
      </w:r>
      <w:r w:rsidRPr="00472BA8">
        <w:rPr>
          <w:rFonts w:ascii="Times New Roman" w:eastAsia="Times New Roman" w:hAnsi="Times New Roman" w:cs="Times New Roman"/>
          <w:color w:val="000000"/>
          <w:sz w:val="22"/>
          <w:szCs w:val="22"/>
        </w:rPr>
        <w:t xml:space="preserve">. Customer acknowledges that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will not Process any directly identifying information about the identities of Individuals other than certain limited device identifiers like IP address and that it may not be possible for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to provide this information after it has been deleted, de-identified, or further Secured in accordance with Section 4.1(c). As such, and in relation to all reporting obligations under this BAA,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will only be obligated to provide the limited device identifiers it Processes </w:t>
      </w:r>
      <w:proofErr w:type="gramStart"/>
      <w:r w:rsidRPr="00472BA8">
        <w:rPr>
          <w:rFonts w:ascii="Times New Roman" w:eastAsia="Times New Roman" w:hAnsi="Times New Roman" w:cs="Times New Roman"/>
          <w:color w:val="000000"/>
          <w:sz w:val="22"/>
          <w:szCs w:val="22"/>
        </w:rPr>
        <w:t>in the course of</w:t>
      </w:r>
      <w:proofErr w:type="gramEnd"/>
      <w:r w:rsidRPr="00472BA8">
        <w:rPr>
          <w:rFonts w:ascii="Times New Roman" w:eastAsia="Times New Roman" w:hAnsi="Times New Roman" w:cs="Times New Roman"/>
          <w:color w:val="000000"/>
          <w:sz w:val="22"/>
          <w:szCs w:val="22"/>
        </w:rPr>
        <w:t xml:space="preserve"> providing the HIPAA</w:t>
      </w:r>
      <w:r w:rsidRPr="00472BA8">
        <w:rPr>
          <w:rFonts w:ascii="Times New Roman" w:eastAsia="Times New Roman" w:hAnsi="Times New Roman" w:cs="Times New Roman"/>
          <w:sz w:val="22"/>
          <w:szCs w:val="22"/>
        </w:rPr>
        <w:t>-</w:t>
      </w:r>
      <w:r w:rsidRPr="00472BA8">
        <w:rPr>
          <w:rFonts w:ascii="Times New Roman" w:eastAsia="Times New Roman" w:hAnsi="Times New Roman" w:cs="Times New Roman"/>
          <w:color w:val="000000"/>
          <w:sz w:val="22"/>
          <w:szCs w:val="22"/>
        </w:rPr>
        <w:t xml:space="preserve">Eligible Services when reporting on the identities of any Individuals who may have been affected by a Security Incident or Breach. </w:t>
      </w:r>
    </w:p>
    <w:p w14:paraId="55EF1CDB" w14:textId="77777777" w:rsidR="00CC582C" w:rsidRPr="00472BA8" w:rsidRDefault="00CC582C">
      <w:pPr>
        <w:pBdr>
          <w:top w:val="nil"/>
          <w:left w:val="nil"/>
          <w:bottom w:val="nil"/>
          <w:right w:val="nil"/>
          <w:between w:val="nil"/>
        </w:pBdr>
        <w:ind w:left="720"/>
        <w:rPr>
          <w:rFonts w:ascii="Times New Roman" w:eastAsia="Times New Roman" w:hAnsi="Times New Roman" w:cs="Times New Roman"/>
          <w:color w:val="000000"/>
          <w:sz w:val="22"/>
          <w:szCs w:val="22"/>
        </w:rPr>
      </w:pPr>
    </w:p>
    <w:p w14:paraId="5132E602" w14:textId="02408021" w:rsidR="00CC582C" w:rsidRPr="00472BA8" w:rsidRDefault="00000000">
      <w:pPr>
        <w:numPr>
          <w:ilvl w:val="2"/>
          <w:numId w:val="2"/>
        </w:numPr>
        <w:pBdr>
          <w:top w:val="nil"/>
          <w:left w:val="nil"/>
          <w:bottom w:val="nil"/>
          <w:right w:val="nil"/>
          <w:between w:val="nil"/>
        </w:pBdr>
        <w:rPr>
          <w:rFonts w:ascii="Times New Roman" w:hAnsi="Times New Roman" w:cs="Times New Roman"/>
          <w:color w:val="000000"/>
          <w:sz w:val="22"/>
          <w:szCs w:val="22"/>
        </w:rPr>
      </w:pPr>
      <w:r w:rsidRPr="00472BA8">
        <w:rPr>
          <w:rFonts w:ascii="Times New Roman" w:eastAsia="Times New Roman" w:hAnsi="Times New Roman" w:cs="Times New Roman"/>
          <w:color w:val="000000"/>
          <w:sz w:val="22"/>
          <w:szCs w:val="22"/>
          <w:u w:val="single"/>
        </w:rPr>
        <w:t>Designated Record Set.</w:t>
      </w:r>
      <w:r w:rsidRPr="00472BA8">
        <w:rPr>
          <w:rFonts w:ascii="Times New Roman" w:eastAsia="Times New Roman" w:hAnsi="Times New Roman" w:cs="Times New Roman"/>
          <w:color w:val="000000"/>
          <w:sz w:val="22"/>
          <w:szCs w:val="22"/>
        </w:rPr>
        <w:t xml:space="preserve"> Notwithstanding anything to the contrary contained herein, Customer acknowledges that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does not create or maintain a Designated Record Set on behalf of Customer </w:t>
      </w:r>
      <w:proofErr w:type="gramStart"/>
      <w:r w:rsidRPr="00472BA8">
        <w:rPr>
          <w:rFonts w:ascii="Times New Roman" w:eastAsia="Times New Roman" w:hAnsi="Times New Roman" w:cs="Times New Roman"/>
          <w:color w:val="000000"/>
          <w:sz w:val="22"/>
          <w:szCs w:val="22"/>
        </w:rPr>
        <w:t>in the course of</w:t>
      </w:r>
      <w:proofErr w:type="gramEnd"/>
      <w:r w:rsidRPr="00472BA8">
        <w:rPr>
          <w:rFonts w:ascii="Times New Roman" w:eastAsia="Times New Roman" w:hAnsi="Times New Roman" w:cs="Times New Roman"/>
          <w:color w:val="000000"/>
          <w:sz w:val="22"/>
          <w:szCs w:val="22"/>
        </w:rPr>
        <w:t xml:space="preserve"> providing the HIPAA</w:t>
      </w:r>
      <w:r w:rsidRPr="00472BA8">
        <w:rPr>
          <w:rFonts w:ascii="Times New Roman" w:eastAsia="Times New Roman" w:hAnsi="Times New Roman" w:cs="Times New Roman"/>
          <w:sz w:val="22"/>
          <w:szCs w:val="22"/>
        </w:rPr>
        <w:t>-</w:t>
      </w:r>
      <w:r w:rsidRPr="00472BA8">
        <w:rPr>
          <w:rFonts w:ascii="Times New Roman" w:eastAsia="Times New Roman" w:hAnsi="Times New Roman" w:cs="Times New Roman"/>
          <w:color w:val="000000"/>
          <w:sz w:val="22"/>
          <w:szCs w:val="22"/>
        </w:rPr>
        <w:t>Eligible Services.</w:t>
      </w:r>
    </w:p>
    <w:p w14:paraId="28AEBC82" w14:textId="77777777" w:rsidR="00CC582C" w:rsidRPr="00472BA8" w:rsidRDefault="00CC582C">
      <w:pPr>
        <w:pBdr>
          <w:top w:val="nil"/>
          <w:left w:val="nil"/>
          <w:bottom w:val="nil"/>
          <w:right w:val="nil"/>
          <w:between w:val="nil"/>
        </w:pBdr>
        <w:ind w:left="720" w:hanging="720"/>
        <w:rPr>
          <w:rFonts w:ascii="Times New Roman" w:eastAsia="Times New Roman" w:hAnsi="Times New Roman" w:cs="Times New Roman"/>
          <w:color w:val="000000"/>
          <w:sz w:val="22"/>
          <w:szCs w:val="22"/>
        </w:rPr>
      </w:pPr>
      <w:bookmarkStart w:id="8" w:name="_4d34og8" w:colFirst="0" w:colLast="0"/>
      <w:bookmarkEnd w:id="8"/>
    </w:p>
    <w:p w14:paraId="5282A2A3" w14:textId="77777777" w:rsidR="00CC582C" w:rsidRPr="00472BA8" w:rsidRDefault="00000000">
      <w:pPr>
        <w:numPr>
          <w:ilvl w:val="2"/>
          <w:numId w:val="2"/>
        </w:numPr>
        <w:pBdr>
          <w:top w:val="nil"/>
          <w:left w:val="nil"/>
          <w:bottom w:val="nil"/>
          <w:right w:val="nil"/>
          <w:between w:val="nil"/>
        </w:pBdr>
        <w:spacing w:after="120"/>
        <w:rPr>
          <w:rFonts w:ascii="Times New Roman" w:hAnsi="Times New Roman" w:cs="Times New Roman"/>
          <w:color w:val="000000"/>
          <w:sz w:val="22"/>
          <w:szCs w:val="22"/>
        </w:rPr>
      </w:pPr>
      <w:r w:rsidRPr="00472BA8">
        <w:rPr>
          <w:rFonts w:ascii="Times New Roman" w:eastAsia="Times New Roman" w:hAnsi="Times New Roman" w:cs="Times New Roman"/>
          <w:color w:val="000000"/>
          <w:sz w:val="22"/>
          <w:szCs w:val="22"/>
          <w:u w:val="single"/>
        </w:rPr>
        <w:t>Requests for Production or Amendment</w:t>
      </w:r>
      <w:r w:rsidRPr="00472BA8">
        <w:rPr>
          <w:rFonts w:ascii="Times New Roman" w:eastAsia="Times New Roman" w:hAnsi="Times New Roman" w:cs="Times New Roman"/>
          <w:color w:val="000000"/>
          <w:sz w:val="22"/>
          <w:szCs w:val="22"/>
        </w:rPr>
        <w:t>.</w:t>
      </w:r>
    </w:p>
    <w:p w14:paraId="78A63821" w14:textId="13B76228" w:rsidR="00CC582C" w:rsidRPr="00472BA8" w:rsidRDefault="00000000">
      <w:pPr>
        <w:numPr>
          <w:ilvl w:val="3"/>
          <w:numId w:val="2"/>
        </w:numPr>
        <w:pBdr>
          <w:top w:val="nil"/>
          <w:left w:val="nil"/>
          <w:bottom w:val="nil"/>
          <w:right w:val="nil"/>
          <w:between w:val="nil"/>
        </w:pBdr>
        <w:spacing w:after="240"/>
        <w:rPr>
          <w:rFonts w:ascii="Times New Roman" w:eastAsia="Times New Roman" w:hAnsi="Times New Roman" w:cs="Times New Roman"/>
          <w:color w:val="000000"/>
          <w:sz w:val="22"/>
          <w:szCs w:val="22"/>
        </w:rPr>
      </w:pPr>
      <w:bookmarkStart w:id="9" w:name="_2s8eyo1" w:colFirst="0" w:colLast="0"/>
      <w:bookmarkEnd w:id="9"/>
      <w:r w:rsidRPr="00472BA8">
        <w:rPr>
          <w:rFonts w:ascii="Times New Roman" w:eastAsia="Times New Roman" w:hAnsi="Times New Roman" w:cs="Times New Roman"/>
          <w:color w:val="000000"/>
          <w:sz w:val="22"/>
          <w:szCs w:val="22"/>
        </w:rPr>
        <w:t>If any Individual requests access to</w:t>
      </w:r>
      <w:r w:rsidRPr="00472BA8">
        <w:rPr>
          <w:rFonts w:ascii="Times New Roman" w:eastAsia="Times New Roman" w:hAnsi="Times New Roman" w:cs="Times New Roman"/>
          <w:sz w:val="22"/>
          <w:szCs w:val="22"/>
        </w:rPr>
        <w:t>, or amendment of</w:t>
      </w:r>
      <w:r w:rsidRPr="00472BA8">
        <w:rPr>
          <w:rFonts w:ascii="Times New Roman" w:eastAsia="Times New Roman" w:hAnsi="Times New Roman" w:cs="Times New Roman"/>
          <w:color w:val="000000"/>
          <w:sz w:val="22"/>
          <w:szCs w:val="22"/>
        </w:rPr>
        <w:t xml:space="preserve"> PHI or an accounting of disclosures directly from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will deny the request as invalid and redirect the Individual to submit its requests to Customer.</w:t>
      </w:r>
    </w:p>
    <w:p w14:paraId="1BC43FEE" w14:textId="16CB19C8" w:rsidR="00CC582C" w:rsidRPr="00472BA8" w:rsidRDefault="00000000">
      <w:pPr>
        <w:numPr>
          <w:ilvl w:val="3"/>
          <w:numId w:val="2"/>
        </w:numPr>
        <w:pBdr>
          <w:top w:val="nil"/>
          <w:left w:val="nil"/>
          <w:bottom w:val="nil"/>
          <w:right w:val="nil"/>
          <w:between w:val="nil"/>
        </w:pBdr>
        <w:spacing w:after="240"/>
        <w:rPr>
          <w:rFonts w:ascii="Times New Roman" w:eastAsia="Times New Roman" w:hAnsi="Times New Roman" w:cs="Times New Roman"/>
          <w:color w:val="000000"/>
          <w:sz w:val="22"/>
          <w:szCs w:val="22"/>
        </w:rPr>
      </w:pPr>
      <w:r w:rsidRPr="00472BA8">
        <w:rPr>
          <w:rFonts w:ascii="Times New Roman" w:eastAsia="Times New Roman" w:hAnsi="Times New Roman" w:cs="Times New Roman"/>
          <w:color w:val="000000"/>
          <w:sz w:val="22"/>
          <w:szCs w:val="22"/>
        </w:rPr>
        <w:t>Customer will be responsible for making all determinations regarding the grant or denial of an Individual’s request for access to</w:t>
      </w:r>
      <w:r w:rsidRPr="00472BA8">
        <w:rPr>
          <w:rFonts w:ascii="Times New Roman" w:eastAsia="Times New Roman" w:hAnsi="Times New Roman" w:cs="Times New Roman"/>
          <w:sz w:val="22"/>
          <w:szCs w:val="22"/>
        </w:rPr>
        <w:t xml:space="preserve">, or the amendment of </w:t>
      </w:r>
      <w:r w:rsidRPr="00472BA8">
        <w:rPr>
          <w:rFonts w:ascii="Times New Roman" w:eastAsia="Times New Roman" w:hAnsi="Times New Roman" w:cs="Times New Roman"/>
          <w:color w:val="000000"/>
          <w:sz w:val="22"/>
          <w:szCs w:val="22"/>
        </w:rPr>
        <w:t xml:space="preserve">PHI and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will make no such determinations. Except as otherwise required by law, only Customer will be responsible for releasing PHI to an Individual pursuant to a request for access </w:t>
      </w:r>
      <w:r w:rsidRPr="00472BA8">
        <w:rPr>
          <w:rFonts w:ascii="Times New Roman" w:eastAsia="Times New Roman" w:hAnsi="Times New Roman" w:cs="Times New Roman"/>
          <w:sz w:val="22"/>
          <w:szCs w:val="22"/>
        </w:rPr>
        <w:t>to PHI</w:t>
      </w:r>
      <w:r w:rsidRPr="00472BA8">
        <w:rPr>
          <w:rFonts w:ascii="Times New Roman" w:eastAsia="Times New Roman" w:hAnsi="Times New Roman" w:cs="Times New Roman"/>
          <w:color w:val="000000"/>
          <w:sz w:val="22"/>
          <w:szCs w:val="22"/>
        </w:rPr>
        <w:t xml:space="preserve">. Any denial of access to PHI determined by Customer pursuant to 45 CFR Section 164.524 or </w:t>
      </w:r>
      <w:r w:rsidRPr="00472BA8">
        <w:rPr>
          <w:rFonts w:ascii="Times New Roman" w:eastAsia="Times New Roman" w:hAnsi="Times New Roman" w:cs="Times New Roman"/>
          <w:sz w:val="22"/>
          <w:szCs w:val="22"/>
        </w:rPr>
        <w:t>45 CFR Section 164.526 (as applicable)</w:t>
      </w:r>
      <w:r w:rsidRPr="00472BA8">
        <w:rPr>
          <w:rFonts w:ascii="Times New Roman" w:eastAsia="Times New Roman" w:hAnsi="Times New Roman" w:cs="Times New Roman"/>
          <w:color w:val="000000"/>
          <w:sz w:val="22"/>
          <w:szCs w:val="22"/>
        </w:rPr>
        <w:t xml:space="preserve">, and conveyed to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by Customer, shall be the responsibility of Customer, including resolution or reporting of all appeals and/or complaints arising from such denial.</w:t>
      </w:r>
    </w:p>
    <w:p w14:paraId="52D53D30" w14:textId="4D17463F" w:rsidR="00CC582C" w:rsidRPr="00472BA8" w:rsidRDefault="009C17C8">
      <w:pPr>
        <w:numPr>
          <w:ilvl w:val="3"/>
          <w:numId w:val="2"/>
        </w:numPr>
        <w:pBdr>
          <w:top w:val="nil"/>
          <w:left w:val="nil"/>
          <w:bottom w:val="nil"/>
          <w:right w:val="nil"/>
          <w:between w:val="nil"/>
        </w:pBdr>
        <w:spacing w:after="240"/>
        <w:rPr>
          <w:rFonts w:ascii="Times New Roman" w:eastAsia="Times New Roman" w:hAnsi="Times New Roman" w:cs="Times New Roman"/>
          <w:color w:val="000000"/>
          <w:sz w:val="22"/>
          <w:szCs w:val="22"/>
        </w:rPr>
      </w:pPr>
      <w:bookmarkStart w:id="10" w:name="_17dp8vu" w:colFirst="0" w:colLast="0"/>
      <w:bookmarkEnd w:id="10"/>
      <w:r w:rsidRPr="00472BA8">
        <w:rPr>
          <w:rFonts w:ascii="Times New Roman" w:eastAsia="Times New Roman" w:hAnsi="Times New Roman" w:cs="Times New Roman"/>
          <w:color w:val="000000"/>
          <w:sz w:val="22"/>
          <w:szCs w:val="22"/>
        </w:rPr>
        <w:t>Company</w:t>
      </w:r>
      <w:r w:rsidR="00AF2A40" w:rsidRPr="00472BA8">
        <w:rPr>
          <w:rFonts w:ascii="Times New Roman" w:eastAsia="Times New Roman" w:hAnsi="Times New Roman" w:cs="Times New Roman"/>
          <w:sz w:val="22"/>
          <w:szCs w:val="22"/>
        </w:rPr>
        <w:t xml:space="preserve"> </w:t>
      </w:r>
      <w:r w:rsidR="00AF2A40" w:rsidRPr="00472BA8">
        <w:rPr>
          <w:rFonts w:ascii="Times New Roman" w:eastAsia="Times New Roman" w:hAnsi="Times New Roman" w:cs="Times New Roman"/>
          <w:color w:val="000000"/>
          <w:sz w:val="22"/>
          <w:szCs w:val="22"/>
        </w:rPr>
        <w:t xml:space="preserve">will make available to Customer the information reasonably necessary for Customer to respond to a request for an accounting of disclosures in accordance with 45 CFR Section 164.528. The requested information may include: (1) the date of the disclosure; (2) the name of the entity or person who received the PHI, and if known, the address of such entity or person; (3) a brief description of the PHI disclosed; and (4) a brief statement of the purpose of such disclosure. </w:t>
      </w:r>
    </w:p>
    <w:p w14:paraId="59994F53" w14:textId="68BF90BB" w:rsidR="00CC582C" w:rsidRPr="00472BA8" w:rsidRDefault="00000000">
      <w:pPr>
        <w:numPr>
          <w:ilvl w:val="2"/>
          <w:numId w:val="2"/>
        </w:numPr>
        <w:pBdr>
          <w:top w:val="nil"/>
          <w:left w:val="nil"/>
          <w:bottom w:val="nil"/>
          <w:right w:val="nil"/>
          <w:between w:val="nil"/>
        </w:pBdr>
        <w:spacing w:after="120"/>
        <w:rPr>
          <w:rFonts w:ascii="Times New Roman" w:hAnsi="Times New Roman" w:cs="Times New Roman"/>
          <w:color w:val="000000"/>
          <w:sz w:val="22"/>
          <w:szCs w:val="22"/>
        </w:rPr>
      </w:pPr>
      <w:bookmarkStart w:id="11" w:name="_3rdcrjn" w:colFirst="0" w:colLast="0"/>
      <w:bookmarkEnd w:id="11"/>
      <w:r w:rsidRPr="00472BA8">
        <w:rPr>
          <w:rFonts w:ascii="Times New Roman" w:eastAsia="Times New Roman" w:hAnsi="Times New Roman" w:cs="Times New Roman"/>
          <w:color w:val="000000"/>
          <w:sz w:val="22"/>
          <w:szCs w:val="22"/>
          <w:u w:val="single"/>
        </w:rPr>
        <w:t>Subcontractors</w:t>
      </w:r>
      <w:r w:rsidRPr="00472BA8">
        <w:rPr>
          <w:rFonts w:ascii="Times New Roman" w:eastAsia="Times New Roman" w:hAnsi="Times New Roman" w:cs="Times New Roman"/>
          <w:color w:val="000000"/>
          <w:sz w:val="22"/>
          <w:szCs w:val="22"/>
        </w:rPr>
        <w:t xml:space="preserve">. In accordance with 45 CFR § 164.502(e)(1)(ii) and 45 CFR § 164.308(b)(2), and to the extent that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sz w:val="22"/>
          <w:szCs w:val="22"/>
        </w:rPr>
        <w:t xml:space="preserve"> discloses PHI to a subcontractor, </w:t>
      </w:r>
      <w:r w:rsidR="009C17C8" w:rsidRPr="00472BA8">
        <w:rPr>
          <w:rFonts w:ascii="Times New Roman" w:eastAsia="Times New Roman" w:hAnsi="Times New Roman" w:cs="Times New Roman"/>
          <w:sz w:val="22"/>
          <w:szCs w:val="22"/>
        </w:rPr>
        <w:t>Company</w:t>
      </w:r>
      <w:r w:rsidRPr="00472BA8">
        <w:rPr>
          <w:rFonts w:ascii="Times New Roman" w:eastAsia="Times New Roman" w:hAnsi="Times New Roman" w:cs="Times New Roman"/>
          <w:sz w:val="22"/>
          <w:szCs w:val="22"/>
        </w:rPr>
        <w:t xml:space="preserve"> will </w:t>
      </w:r>
      <w:r w:rsidRPr="00472BA8">
        <w:rPr>
          <w:rFonts w:ascii="Times New Roman" w:eastAsia="Times New Roman" w:hAnsi="Times New Roman" w:cs="Times New Roman"/>
          <w:color w:val="000000"/>
          <w:sz w:val="22"/>
          <w:szCs w:val="22"/>
        </w:rPr>
        <w:t xml:space="preserve">obtain and maintain a written agreement with each such subcontractor that ensures the confidentiality and reasonable protection of PHI and </w:t>
      </w:r>
      <w:r w:rsidRPr="00472BA8">
        <w:rPr>
          <w:rFonts w:ascii="Times New Roman" w:eastAsia="Times New Roman" w:hAnsi="Times New Roman" w:cs="Times New Roman"/>
          <w:sz w:val="22"/>
          <w:szCs w:val="22"/>
        </w:rPr>
        <w:t xml:space="preserve">passes through </w:t>
      </w:r>
      <w:r w:rsidRPr="00472BA8">
        <w:rPr>
          <w:rFonts w:ascii="Times New Roman" w:eastAsia="Times New Roman" w:hAnsi="Times New Roman" w:cs="Times New Roman"/>
          <w:color w:val="000000"/>
          <w:sz w:val="22"/>
          <w:szCs w:val="22"/>
        </w:rPr>
        <w:t>substantially similar restrictions</w:t>
      </w:r>
      <w:r w:rsidRPr="00472BA8">
        <w:rPr>
          <w:rFonts w:ascii="Times New Roman" w:eastAsia="Times New Roman" w:hAnsi="Times New Roman" w:cs="Times New Roman"/>
          <w:sz w:val="22"/>
          <w:szCs w:val="22"/>
        </w:rPr>
        <w:t xml:space="preserve"> and obligations as those </w:t>
      </w:r>
      <w:r w:rsidRPr="00472BA8">
        <w:rPr>
          <w:rFonts w:ascii="Times New Roman" w:eastAsia="Times New Roman" w:hAnsi="Times New Roman" w:cs="Times New Roman"/>
          <w:color w:val="000000"/>
          <w:sz w:val="22"/>
          <w:szCs w:val="22"/>
        </w:rPr>
        <w:t xml:space="preserve">that apply to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under this BAA.</w:t>
      </w:r>
    </w:p>
    <w:p w14:paraId="69850AC7" w14:textId="77777777" w:rsidR="00CC582C" w:rsidRPr="00472BA8" w:rsidRDefault="00000000">
      <w:pPr>
        <w:numPr>
          <w:ilvl w:val="2"/>
          <w:numId w:val="2"/>
        </w:numPr>
        <w:pBdr>
          <w:top w:val="nil"/>
          <w:left w:val="nil"/>
          <w:bottom w:val="nil"/>
          <w:right w:val="nil"/>
          <w:between w:val="nil"/>
        </w:pBdr>
        <w:spacing w:after="120"/>
        <w:rPr>
          <w:rFonts w:ascii="Times New Roman" w:hAnsi="Times New Roman" w:cs="Times New Roman"/>
          <w:color w:val="000000"/>
          <w:sz w:val="22"/>
          <w:szCs w:val="22"/>
        </w:rPr>
      </w:pPr>
      <w:r w:rsidRPr="00472BA8">
        <w:rPr>
          <w:rFonts w:ascii="Times New Roman" w:eastAsia="Times New Roman" w:hAnsi="Times New Roman" w:cs="Times New Roman"/>
          <w:color w:val="000000"/>
          <w:sz w:val="22"/>
          <w:szCs w:val="22"/>
          <w:u w:val="single"/>
        </w:rPr>
        <w:t>Security Incidents &amp; Breaches</w:t>
      </w:r>
      <w:r w:rsidRPr="00472BA8">
        <w:rPr>
          <w:rFonts w:ascii="Times New Roman" w:eastAsia="Times New Roman" w:hAnsi="Times New Roman" w:cs="Times New Roman"/>
          <w:color w:val="000000"/>
          <w:sz w:val="22"/>
          <w:szCs w:val="22"/>
        </w:rPr>
        <w:t xml:space="preserve">. </w:t>
      </w:r>
    </w:p>
    <w:p w14:paraId="2FFB5627" w14:textId="7641D422" w:rsidR="00CC582C" w:rsidRPr="00472BA8" w:rsidRDefault="00000000">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r w:rsidRPr="00472BA8">
        <w:rPr>
          <w:rFonts w:ascii="Times New Roman" w:eastAsia="Times New Roman" w:hAnsi="Times New Roman" w:cs="Times New Roman"/>
          <w:color w:val="000000"/>
          <w:sz w:val="22"/>
          <w:szCs w:val="22"/>
        </w:rPr>
        <w:t xml:space="preserve">If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becomes aware of any use or disclosure of PHI not provided for by this BAA, then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will report such use or disclosure to Cus</w:t>
      </w:r>
      <w:r w:rsidRPr="00472BA8">
        <w:rPr>
          <w:rFonts w:ascii="Times New Roman" w:eastAsia="Times New Roman" w:hAnsi="Times New Roman" w:cs="Times New Roman"/>
          <w:sz w:val="22"/>
          <w:szCs w:val="22"/>
        </w:rPr>
        <w:t xml:space="preserve">tomer without unreasonable delay and in no case later than 30 calendar days after discovery of a Breach. </w:t>
      </w:r>
      <w:r w:rsidR="009C17C8" w:rsidRPr="00472BA8">
        <w:rPr>
          <w:rFonts w:ascii="Times New Roman" w:eastAsia="Times New Roman" w:hAnsi="Times New Roman" w:cs="Times New Roman"/>
          <w:sz w:val="22"/>
          <w:szCs w:val="22"/>
        </w:rPr>
        <w:t>Company</w:t>
      </w:r>
      <w:r w:rsidRPr="00472BA8">
        <w:rPr>
          <w:rFonts w:ascii="Times New Roman" w:eastAsia="Times New Roman" w:hAnsi="Times New Roman" w:cs="Times New Roman"/>
          <w:color w:val="000000"/>
          <w:sz w:val="22"/>
          <w:szCs w:val="22"/>
        </w:rPr>
        <w:t xml:space="preserve"> also agrees to report any successful Security Incident to Customer, within the meaning of 45 CFR 164.304, </w:t>
      </w:r>
      <w:r w:rsidRPr="00472BA8">
        <w:rPr>
          <w:rFonts w:ascii="Times New Roman" w:eastAsia="Times New Roman" w:hAnsi="Times New Roman" w:cs="Times New Roman"/>
          <w:sz w:val="22"/>
          <w:szCs w:val="22"/>
        </w:rPr>
        <w:t xml:space="preserve">no later than 30 calendar days </w:t>
      </w:r>
      <w:r w:rsidRPr="00472BA8">
        <w:rPr>
          <w:rFonts w:ascii="Times New Roman" w:eastAsia="Times New Roman" w:hAnsi="Times New Roman" w:cs="Times New Roman"/>
          <w:color w:val="000000"/>
          <w:sz w:val="22"/>
          <w:szCs w:val="22"/>
        </w:rPr>
        <w:t>of becoming aware of the Security Incident if it is not otherwise reported to C</w:t>
      </w:r>
      <w:r w:rsidRPr="00472BA8">
        <w:rPr>
          <w:rFonts w:ascii="Times New Roman" w:eastAsia="Times New Roman" w:hAnsi="Times New Roman" w:cs="Times New Roman"/>
          <w:sz w:val="22"/>
          <w:szCs w:val="22"/>
        </w:rPr>
        <w:t>ustomer</w:t>
      </w:r>
      <w:r w:rsidRPr="00472BA8">
        <w:rPr>
          <w:rFonts w:ascii="Times New Roman" w:eastAsia="Times New Roman" w:hAnsi="Times New Roman" w:cs="Times New Roman"/>
          <w:color w:val="000000"/>
          <w:sz w:val="22"/>
          <w:szCs w:val="22"/>
        </w:rPr>
        <w:t xml:space="preserve"> pursuant to 4.</w:t>
      </w:r>
      <w:r w:rsidR="00DB1411">
        <w:rPr>
          <w:rFonts w:ascii="Times New Roman" w:eastAsia="Times New Roman" w:hAnsi="Times New Roman" w:cs="Times New Roman"/>
          <w:color w:val="000000"/>
          <w:sz w:val="22"/>
          <w:szCs w:val="22"/>
        </w:rPr>
        <w:t>9</w:t>
      </w:r>
      <w:r w:rsidRPr="00472BA8">
        <w:rPr>
          <w:rFonts w:ascii="Times New Roman" w:eastAsia="Times New Roman" w:hAnsi="Times New Roman" w:cs="Times New Roman"/>
          <w:color w:val="000000"/>
          <w:sz w:val="22"/>
          <w:szCs w:val="22"/>
        </w:rPr>
        <w:t>(b) below.</w:t>
      </w:r>
    </w:p>
    <w:p w14:paraId="5824D22F" w14:textId="77777777" w:rsidR="00CC582C" w:rsidRPr="00472BA8" w:rsidRDefault="00CC582C">
      <w:pPr>
        <w:pBdr>
          <w:top w:val="nil"/>
          <w:left w:val="nil"/>
          <w:bottom w:val="nil"/>
          <w:right w:val="nil"/>
          <w:between w:val="nil"/>
        </w:pBdr>
        <w:ind w:left="1440"/>
        <w:rPr>
          <w:rFonts w:ascii="Times New Roman" w:eastAsia="Times New Roman" w:hAnsi="Times New Roman" w:cs="Times New Roman"/>
          <w:color w:val="000000"/>
          <w:sz w:val="22"/>
          <w:szCs w:val="22"/>
        </w:rPr>
      </w:pPr>
    </w:p>
    <w:p w14:paraId="17A041DF" w14:textId="49321074" w:rsidR="00CC582C" w:rsidRPr="00472BA8" w:rsidRDefault="009C17C8">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r w:rsidRPr="00472BA8">
        <w:rPr>
          <w:rFonts w:ascii="Times New Roman" w:eastAsia="Times New Roman" w:hAnsi="Times New Roman" w:cs="Times New Roman"/>
          <w:color w:val="000000"/>
          <w:sz w:val="22"/>
          <w:szCs w:val="22"/>
        </w:rPr>
        <w:t>Company</w:t>
      </w:r>
      <w:r w:rsidR="00AF2A40" w:rsidRPr="00472BA8">
        <w:rPr>
          <w:rFonts w:ascii="Times New Roman" w:eastAsia="Times New Roman" w:hAnsi="Times New Roman" w:cs="Times New Roman"/>
          <w:color w:val="000000"/>
          <w:sz w:val="22"/>
          <w:szCs w:val="22"/>
        </w:rPr>
        <w:t xml:space="preserve"> agrees to report any Breach of Customer’s Unsecured PHI in accordance with the requirements set forth in 45 CFR 164.400 et seq. as soon as is reasonably practicable, but in no event later than </w:t>
      </w:r>
      <w:r w:rsidR="005D7902">
        <w:rPr>
          <w:rFonts w:ascii="Times New Roman" w:eastAsia="Times New Roman" w:hAnsi="Times New Roman" w:cs="Times New Roman"/>
          <w:sz w:val="22"/>
          <w:szCs w:val="22"/>
        </w:rPr>
        <w:t>thirty</w:t>
      </w:r>
      <w:r w:rsidR="00AF2A40" w:rsidRPr="00472BA8">
        <w:rPr>
          <w:rFonts w:ascii="Times New Roman" w:eastAsia="Times New Roman" w:hAnsi="Times New Roman" w:cs="Times New Roman"/>
          <w:sz w:val="22"/>
          <w:szCs w:val="22"/>
        </w:rPr>
        <w:t xml:space="preserve"> (</w:t>
      </w:r>
      <w:r w:rsidR="004E565F">
        <w:rPr>
          <w:rFonts w:ascii="Times New Roman" w:eastAsia="Times New Roman" w:hAnsi="Times New Roman" w:cs="Times New Roman"/>
          <w:sz w:val="22"/>
          <w:szCs w:val="22"/>
        </w:rPr>
        <w:t>30</w:t>
      </w:r>
      <w:proofErr w:type="gramStart"/>
      <w:r w:rsidR="004E565F">
        <w:rPr>
          <w:rFonts w:ascii="Times New Roman" w:eastAsia="Times New Roman" w:hAnsi="Times New Roman" w:cs="Times New Roman"/>
          <w:sz w:val="22"/>
          <w:szCs w:val="22"/>
        </w:rPr>
        <w:t>)</w:t>
      </w:r>
      <w:r w:rsidR="00AF2A40" w:rsidRPr="00472BA8">
        <w:rPr>
          <w:rFonts w:ascii="Times New Roman" w:eastAsia="Times New Roman" w:hAnsi="Times New Roman" w:cs="Times New Roman"/>
          <w:sz w:val="22"/>
          <w:szCs w:val="22"/>
        </w:rPr>
        <w:t xml:space="preserve"> </w:t>
      </w:r>
      <w:r w:rsidR="00AF2A40" w:rsidRPr="00472BA8">
        <w:rPr>
          <w:rFonts w:ascii="Times New Roman" w:eastAsia="Times New Roman" w:hAnsi="Times New Roman" w:cs="Times New Roman"/>
          <w:color w:val="000000"/>
          <w:sz w:val="22"/>
          <w:szCs w:val="22"/>
        </w:rPr>
        <w:t xml:space="preserve"> </w:t>
      </w:r>
      <w:r w:rsidR="00CE0F30">
        <w:rPr>
          <w:rFonts w:ascii="Times New Roman" w:eastAsia="Times New Roman" w:hAnsi="Times New Roman" w:cs="Times New Roman"/>
          <w:color w:val="000000"/>
          <w:sz w:val="22"/>
          <w:szCs w:val="22"/>
        </w:rPr>
        <w:t>calendar</w:t>
      </w:r>
      <w:proofErr w:type="gramEnd"/>
      <w:r w:rsidR="00AF2A40" w:rsidRPr="00472BA8">
        <w:rPr>
          <w:rFonts w:ascii="Times New Roman" w:eastAsia="Times New Roman" w:hAnsi="Times New Roman" w:cs="Times New Roman"/>
          <w:color w:val="000000"/>
          <w:sz w:val="22"/>
          <w:szCs w:val="22"/>
        </w:rPr>
        <w:t xml:space="preserve"> days after it is discovered. A Breach report will include the following information: (</w:t>
      </w:r>
      <w:proofErr w:type="spellStart"/>
      <w:r w:rsidR="00AF2A40" w:rsidRPr="00472BA8">
        <w:rPr>
          <w:rFonts w:ascii="Times New Roman" w:eastAsia="Times New Roman" w:hAnsi="Times New Roman" w:cs="Times New Roman"/>
          <w:color w:val="000000"/>
          <w:sz w:val="22"/>
          <w:szCs w:val="22"/>
        </w:rPr>
        <w:t>i</w:t>
      </w:r>
      <w:proofErr w:type="spellEnd"/>
      <w:r w:rsidR="00AF2A40" w:rsidRPr="00472BA8">
        <w:rPr>
          <w:rFonts w:ascii="Times New Roman" w:eastAsia="Times New Roman" w:hAnsi="Times New Roman" w:cs="Times New Roman"/>
          <w:color w:val="000000"/>
          <w:sz w:val="22"/>
          <w:szCs w:val="22"/>
        </w:rPr>
        <w:t xml:space="preserve">) a brief description of what happened, including the date of the Breach (if known) and </w:t>
      </w:r>
      <w:r w:rsidR="00AF2A40" w:rsidRPr="00472BA8">
        <w:rPr>
          <w:rFonts w:ascii="Times New Roman" w:eastAsia="Times New Roman" w:hAnsi="Times New Roman" w:cs="Times New Roman"/>
          <w:color w:val="000000"/>
          <w:sz w:val="22"/>
          <w:szCs w:val="22"/>
        </w:rPr>
        <w:lastRenderedPageBreak/>
        <w:t xml:space="preserve">the date of discovery; (ii) the identities or related identifiers of the individuals affected, if known; (iii) a brief description of the data elements involved in the Breach; and (iv) a brief description of the efforts </w:t>
      </w:r>
      <w:r w:rsidRPr="00472BA8">
        <w:rPr>
          <w:rFonts w:ascii="Times New Roman" w:eastAsia="Times New Roman" w:hAnsi="Times New Roman" w:cs="Times New Roman"/>
          <w:color w:val="000000"/>
          <w:sz w:val="22"/>
          <w:szCs w:val="22"/>
        </w:rPr>
        <w:t>Company</w:t>
      </w:r>
      <w:r w:rsidR="00AF2A40" w:rsidRPr="00472BA8">
        <w:rPr>
          <w:rFonts w:ascii="Times New Roman" w:eastAsia="Times New Roman" w:hAnsi="Times New Roman" w:cs="Times New Roman"/>
          <w:color w:val="000000"/>
          <w:sz w:val="22"/>
          <w:szCs w:val="22"/>
        </w:rPr>
        <w:t xml:space="preserve"> is undertaking to investigate, mitigate, and resolve the Breach and any preventative measures being taken to prevent its </w:t>
      </w:r>
      <w:r w:rsidR="00AF2A40" w:rsidRPr="00472BA8">
        <w:rPr>
          <w:rFonts w:ascii="Times New Roman" w:eastAsia="Times New Roman" w:hAnsi="Times New Roman" w:cs="Times New Roman"/>
          <w:sz w:val="22"/>
          <w:szCs w:val="22"/>
        </w:rPr>
        <w:t>recurrence</w:t>
      </w:r>
      <w:r w:rsidR="00AF2A40" w:rsidRPr="00472BA8">
        <w:rPr>
          <w:rFonts w:ascii="Times New Roman" w:eastAsia="Times New Roman" w:hAnsi="Times New Roman" w:cs="Times New Roman"/>
          <w:color w:val="000000"/>
          <w:sz w:val="22"/>
          <w:szCs w:val="22"/>
        </w:rPr>
        <w:t xml:space="preserve">. If the necessary information is not available to </w:t>
      </w:r>
      <w:r w:rsidRPr="00472BA8">
        <w:rPr>
          <w:rFonts w:ascii="Times New Roman" w:eastAsia="Times New Roman" w:hAnsi="Times New Roman" w:cs="Times New Roman"/>
          <w:color w:val="000000"/>
          <w:sz w:val="22"/>
          <w:szCs w:val="22"/>
        </w:rPr>
        <w:t>Company</w:t>
      </w:r>
      <w:r w:rsidR="00AF2A40" w:rsidRPr="00472BA8">
        <w:rPr>
          <w:rFonts w:ascii="Times New Roman" w:eastAsia="Times New Roman" w:hAnsi="Times New Roman" w:cs="Times New Roman"/>
          <w:color w:val="000000"/>
          <w:sz w:val="22"/>
          <w:szCs w:val="22"/>
        </w:rPr>
        <w:t xml:space="preserve"> at the time of a Breach, then </w:t>
      </w:r>
      <w:r w:rsidRPr="00472BA8">
        <w:rPr>
          <w:rFonts w:ascii="Times New Roman" w:eastAsia="Times New Roman" w:hAnsi="Times New Roman" w:cs="Times New Roman"/>
          <w:color w:val="000000"/>
          <w:sz w:val="22"/>
          <w:szCs w:val="22"/>
        </w:rPr>
        <w:t>Company</w:t>
      </w:r>
      <w:r w:rsidR="00AF2A40" w:rsidRPr="00472BA8">
        <w:rPr>
          <w:rFonts w:ascii="Times New Roman" w:eastAsia="Times New Roman" w:hAnsi="Times New Roman" w:cs="Times New Roman"/>
          <w:color w:val="000000"/>
          <w:sz w:val="22"/>
          <w:szCs w:val="22"/>
        </w:rPr>
        <w:t xml:space="preserve"> will continue to work diligently to investigate the Breach and will provide the information to Customer as it becomes available. </w:t>
      </w:r>
      <w:r w:rsidRPr="00472BA8">
        <w:rPr>
          <w:rFonts w:ascii="Times New Roman" w:eastAsia="Times New Roman" w:hAnsi="Times New Roman" w:cs="Times New Roman"/>
          <w:color w:val="000000"/>
          <w:sz w:val="22"/>
          <w:szCs w:val="22"/>
        </w:rPr>
        <w:t>Company</w:t>
      </w:r>
      <w:r w:rsidR="00AF2A40" w:rsidRPr="00472BA8">
        <w:rPr>
          <w:rFonts w:ascii="Times New Roman" w:eastAsia="Times New Roman" w:hAnsi="Times New Roman" w:cs="Times New Roman"/>
          <w:color w:val="000000"/>
          <w:sz w:val="22"/>
          <w:szCs w:val="22"/>
        </w:rPr>
        <w:t xml:space="preserve"> shall maintain complete records regarding a Breach for the required period under 45 CFR 164.530(j) or such longer period as may be required under Applicable Law and will make such records available to Customer within a reasonable time upon Customer’s written request.</w:t>
      </w:r>
    </w:p>
    <w:p w14:paraId="7A0BD7F5" w14:textId="77777777" w:rsidR="00CC582C" w:rsidRPr="00472BA8" w:rsidRDefault="00CC582C">
      <w:pPr>
        <w:pBdr>
          <w:top w:val="nil"/>
          <w:left w:val="nil"/>
          <w:bottom w:val="nil"/>
          <w:right w:val="nil"/>
          <w:between w:val="nil"/>
        </w:pBdr>
        <w:ind w:left="1440"/>
        <w:rPr>
          <w:rFonts w:ascii="Times New Roman" w:eastAsia="Times New Roman" w:hAnsi="Times New Roman" w:cs="Times New Roman"/>
          <w:color w:val="000000"/>
          <w:sz w:val="22"/>
          <w:szCs w:val="22"/>
        </w:rPr>
      </w:pPr>
    </w:p>
    <w:p w14:paraId="3368CAF0" w14:textId="0F744C05" w:rsidR="00CC582C" w:rsidRPr="00472BA8" w:rsidRDefault="00000000">
      <w:pPr>
        <w:numPr>
          <w:ilvl w:val="3"/>
          <w:numId w:val="2"/>
        </w:numPr>
        <w:pBdr>
          <w:top w:val="nil"/>
          <w:left w:val="nil"/>
          <w:bottom w:val="nil"/>
          <w:right w:val="nil"/>
          <w:between w:val="nil"/>
        </w:pBdr>
        <w:rPr>
          <w:rFonts w:ascii="Times New Roman" w:eastAsia="Times New Roman" w:hAnsi="Times New Roman" w:cs="Times New Roman"/>
          <w:color w:val="000000"/>
          <w:sz w:val="22"/>
          <w:szCs w:val="22"/>
        </w:rPr>
      </w:pPr>
      <w:bookmarkStart w:id="12" w:name="_26in1rg" w:colFirst="0" w:colLast="0"/>
      <w:bookmarkEnd w:id="12"/>
      <w:r w:rsidRPr="00472BA8">
        <w:rPr>
          <w:rFonts w:ascii="Times New Roman" w:eastAsia="Times New Roman" w:hAnsi="Times New Roman" w:cs="Times New Roman"/>
          <w:color w:val="000000"/>
          <w:sz w:val="22"/>
          <w:szCs w:val="22"/>
        </w:rPr>
        <w:t xml:space="preserve">In the event of an Incident caused by, or arising from, an act or omission of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or any subcontractor of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shall, where requested by Customer, provide the required notifications under 45 CFR 164.404 and 45 CFR 164.406.</w:t>
      </w:r>
    </w:p>
    <w:p w14:paraId="563E3978" w14:textId="77777777" w:rsidR="00CC582C" w:rsidRPr="00472BA8" w:rsidRDefault="00CC582C">
      <w:pPr>
        <w:pBdr>
          <w:top w:val="nil"/>
          <w:left w:val="nil"/>
          <w:bottom w:val="nil"/>
          <w:right w:val="nil"/>
          <w:between w:val="nil"/>
        </w:pBdr>
        <w:ind w:left="720"/>
        <w:rPr>
          <w:rFonts w:ascii="Times New Roman" w:eastAsia="Times New Roman" w:hAnsi="Times New Roman" w:cs="Times New Roman"/>
          <w:color w:val="000000"/>
          <w:sz w:val="22"/>
          <w:szCs w:val="22"/>
        </w:rPr>
      </w:pPr>
    </w:p>
    <w:p w14:paraId="2C2F9A18" w14:textId="2865F232" w:rsidR="00CC582C" w:rsidRPr="00472BA8" w:rsidRDefault="00000000">
      <w:pPr>
        <w:numPr>
          <w:ilvl w:val="3"/>
          <w:numId w:val="2"/>
        </w:numPr>
        <w:pBdr>
          <w:top w:val="nil"/>
          <w:left w:val="nil"/>
          <w:bottom w:val="nil"/>
          <w:right w:val="nil"/>
          <w:between w:val="nil"/>
        </w:pBdr>
        <w:spacing w:after="240"/>
        <w:rPr>
          <w:rFonts w:ascii="Times New Roman" w:eastAsia="Times New Roman" w:hAnsi="Times New Roman" w:cs="Times New Roman"/>
          <w:color w:val="000000"/>
          <w:sz w:val="22"/>
          <w:szCs w:val="22"/>
        </w:rPr>
      </w:pPr>
      <w:r w:rsidRPr="00472BA8">
        <w:rPr>
          <w:rFonts w:ascii="Times New Roman" w:eastAsia="Times New Roman" w:hAnsi="Times New Roman" w:cs="Times New Roman"/>
          <w:color w:val="000000"/>
          <w:sz w:val="22"/>
          <w:szCs w:val="22"/>
        </w:rPr>
        <w:t xml:space="preserve">The parties acknowledge that unsuccessful Security </w:t>
      </w:r>
      <w:r w:rsidR="003F2897" w:rsidRPr="00472BA8">
        <w:rPr>
          <w:rFonts w:ascii="Times New Roman" w:eastAsia="Times New Roman" w:hAnsi="Times New Roman" w:cs="Times New Roman"/>
          <w:color w:val="000000"/>
          <w:sz w:val="22"/>
          <w:szCs w:val="22"/>
        </w:rPr>
        <w:t>Incidents</w:t>
      </w:r>
      <w:r w:rsidRPr="00472BA8">
        <w:rPr>
          <w:rFonts w:ascii="Times New Roman" w:eastAsia="Times New Roman" w:hAnsi="Times New Roman" w:cs="Times New Roman"/>
          <w:color w:val="000000"/>
          <w:sz w:val="22"/>
          <w:szCs w:val="22"/>
        </w:rPr>
        <w:t xml:space="preserve"> (e.g., pings and other broadcast attacks on a firewall, denial of service attacks, port scans, unsuccessful login attempts, or other security incidents that do not result in the unauthorized use, disclosure, modification, or destruction of Customer’s PHI) occur within the normal course of business and the parties stipulate and agree that this paragraph constitutes notice by </w:t>
      </w:r>
      <w:r w:rsidR="009C17C8" w:rsidRPr="00472BA8">
        <w:rPr>
          <w:rFonts w:ascii="Times New Roman" w:eastAsia="Times New Roman" w:hAnsi="Times New Roman" w:cs="Times New Roman"/>
          <w:color w:val="000000"/>
          <w:sz w:val="22"/>
          <w:szCs w:val="22"/>
        </w:rPr>
        <w:t>Company</w:t>
      </w:r>
      <w:r w:rsidRPr="00472BA8">
        <w:rPr>
          <w:rFonts w:ascii="Times New Roman" w:eastAsia="Times New Roman" w:hAnsi="Times New Roman" w:cs="Times New Roman"/>
          <w:color w:val="000000"/>
          <w:sz w:val="22"/>
          <w:szCs w:val="22"/>
        </w:rPr>
        <w:t xml:space="preserve"> to Customer for such unsuccessful Security </w:t>
      </w:r>
      <w:r w:rsidR="003F2897" w:rsidRPr="00472BA8">
        <w:rPr>
          <w:rFonts w:ascii="Times New Roman" w:eastAsia="Times New Roman" w:hAnsi="Times New Roman" w:cs="Times New Roman"/>
          <w:color w:val="000000"/>
          <w:sz w:val="22"/>
          <w:szCs w:val="22"/>
        </w:rPr>
        <w:t>Incidents</w:t>
      </w:r>
      <w:r w:rsidRPr="00472BA8">
        <w:rPr>
          <w:rFonts w:ascii="Times New Roman" w:eastAsia="Times New Roman" w:hAnsi="Times New Roman" w:cs="Times New Roman"/>
          <w:color w:val="000000"/>
          <w:sz w:val="22"/>
          <w:szCs w:val="22"/>
        </w:rPr>
        <w:t xml:space="preserve"> satisfying the notice requirement of the HIPAA </w:t>
      </w:r>
      <w:r w:rsidRPr="00472BA8">
        <w:rPr>
          <w:rFonts w:ascii="Times New Roman" w:eastAsia="Times New Roman" w:hAnsi="Times New Roman" w:cs="Times New Roman"/>
          <w:sz w:val="22"/>
          <w:szCs w:val="22"/>
        </w:rPr>
        <w:t>Rules</w:t>
      </w:r>
      <w:r w:rsidRPr="00472BA8">
        <w:rPr>
          <w:rFonts w:ascii="Times New Roman" w:eastAsia="Times New Roman" w:hAnsi="Times New Roman" w:cs="Times New Roman"/>
          <w:color w:val="000000"/>
          <w:sz w:val="22"/>
          <w:szCs w:val="22"/>
        </w:rPr>
        <w:t>.</w:t>
      </w:r>
    </w:p>
    <w:p w14:paraId="39375AF8" w14:textId="77777777" w:rsidR="00CC582C" w:rsidRPr="00472BA8" w:rsidRDefault="00000000">
      <w:pPr>
        <w:pStyle w:val="Heading1"/>
        <w:numPr>
          <w:ilvl w:val="1"/>
          <w:numId w:val="2"/>
        </w:numPr>
        <w:spacing w:before="0" w:after="0"/>
        <w:rPr>
          <w:rFonts w:ascii="Times New Roman" w:eastAsia="Times New Roman" w:hAnsi="Times New Roman" w:cs="Times New Roman"/>
          <w:sz w:val="22"/>
          <w:szCs w:val="22"/>
        </w:rPr>
      </w:pPr>
      <w:r w:rsidRPr="00472BA8">
        <w:rPr>
          <w:rFonts w:ascii="Times New Roman" w:eastAsia="Times New Roman" w:hAnsi="Times New Roman" w:cs="Times New Roman"/>
          <w:sz w:val="22"/>
          <w:szCs w:val="22"/>
        </w:rPr>
        <w:t>Customer Obligations</w:t>
      </w:r>
    </w:p>
    <w:p w14:paraId="1BA9A42D" w14:textId="63048618" w:rsidR="00CC582C" w:rsidRPr="00472BA8" w:rsidRDefault="00000000">
      <w:pPr>
        <w:numPr>
          <w:ilvl w:val="2"/>
          <w:numId w:val="2"/>
        </w:numPr>
        <w:pBdr>
          <w:top w:val="nil"/>
          <w:left w:val="nil"/>
          <w:bottom w:val="nil"/>
          <w:right w:val="nil"/>
          <w:between w:val="nil"/>
        </w:pBdr>
        <w:spacing w:after="120"/>
        <w:rPr>
          <w:rFonts w:ascii="Times New Roman" w:hAnsi="Times New Roman" w:cs="Times New Roman"/>
          <w:sz w:val="22"/>
          <w:szCs w:val="22"/>
          <w:highlight w:val="white"/>
        </w:rPr>
      </w:pPr>
      <w:r w:rsidRPr="00472BA8">
        <w:rPr>
          <w:rFonts w:ascii="Times New Roman" w:eastAsia="Times New Roman" w:hAnsi="Times New Roman" w:cs="Times New Roman"/>
          <w:sz w:val="22"/>
          <w:szCs w:val="22"/>
        </w:rPr>
        <w:t xml:space="preserve">Customer </w:t>
      </w:r>
      <w:r w:rsidRPr="00472BA8">
        <w:rPr>
          <w:rFonts w:ascii="Times New Roman" w:eastAsia="Times New Roman" w:hAnsi="Times New Roman" w:cs="Times New Roman"/>
          <w:sz w:val="22"/>
          <w:szCs w:val="22"/>
          <w:highlight w:val="white"/>
        </w:rPr>
        <w:t>agrees that: (</w:t>
      </w:r>
      <w:proofErr w:type="spellStart"/>
      <w:r w:rsidRPr="00472BA8">
        <w:rPr>
          <w:rFonts w:ascii="Times New Roman" w:eastAsia="Times New Roman" w:hAnsi="Times New Roman" w:cs="Times New Roman"/>
          <w:sz w:val="22"/>
          <w:szCs w:val="22"/>
          <w:highlight w:val="white"/>
        </w:rPr>
        <w:t>i</w:t>
      </w:r>
      <w:proofErr w:type="spellEnd"/>
      <w:r w:rsidRPr="00472BA8">
        <w:rPr>
          <w:rFonts w:ascii="Times New Roman" w:eastAsia="Times New Roman" w:hAnsi="Times New Roman" w:cs="Times New Roman"/>
          <w:sz w:val="22"/>
          <w:szCs w:val="22"/>
          <w:highlight w:val="white"/>
        </w:rPr>
        <w:t xml:space="preserve">) it shall comply with its obligations as a Covered Entity under Applicable Law(s) with respect to its use of the HIPAA-Eligible Services; (ii) it has provided notice and obtained (or shall obtain) all necessary consents (including without limitation, verifiable consent) and rights necessary under Applicable Law(s) for </w:t>
      </w:r>
      <w:r w:rsidR="009C17C8" w:rsidRPr="00472BA8">
        <w:rPr>
          <w:rFonts w:ascii="Times New Roman" w:eastAsia="Times New Roman" w:hAnsi="Times New Roman" w:cs="Times New Roman"/>
          <w:sz w:val="22"/>
          <w:szCs w:val="22"/>
          <w:highlight w:val="white"/>
        </w:rPr>
        <w:t>Company</w:t>
      </w:r>
      <w:r w:rsidRPr="00472BA8">
        <w:rPr>
          <w:rFonts w:ascii="Times New Roman" w:eastAsia="Times New Roman" w:hAnsi="Times New Roman" w:cs="Times New Roman"/>
          <w:sz w:val="22"/>
          <w:szCs w:val="22"/>
          <w:highlight w:val="white"/>
        </w:rPr>
        <w:t xml:space="preserve"> to Process any PHI transmitted to </w:t>
      </w:r>
      <w:r w:rsidR="009C17C8" w:rsidRPr="00472BA8">
        <w:rPr>
          <w:rFonts w:ascii="Times New Roman" w:eastAsia="Times New Roman" w:hAnsi="Times New Roman" w:cs="Times New Roman"/>
          <w:sz w:val="22"/>
          <w:szCs w:val="22"/>
          <w:highlight w:val="white"/>
        </w:rPr>
        <w:t>Company</w:t>
      </w:r>
      <w:r w:rsidRPr="00472BA8">
        <w:rPr>
          <w:rFonts w:ascii="Times New Roman" w:eastAsia="Times New Roman" w:hAnsi="Times New Roman" w:cs="Times New Roman"/>
          <w:sz w:val="22"/>
          <w:szCs w:val="22"/>
          <w:highlight w:val="white"/>
        </w:rPr>
        <w:t xml:space="preserve"> while providing the </w:t>
      </w:r>
      <w:r w:rsidRPr="00472BA8">
        <w:rPr>
          <w:rFonts w:ascii="Times New Roman" w:eastAsia="Times New Roman" w:hAnsi="Times New Roman" w:cs="Times New Roman"/>
          <w:sz w:val="22"/>
          <w:szCs w:val="22"/>
        </w:rPr>
        <w:t xml:space="preserve">HIPAA-Eligible </w:t>
      </w:r>
      <w:r w:rsidRPr="00472BA8">
        <w:rPr>
          <w:rFonts w:ascii="Times New Roman" w:eastAsia="Times New Roman" w:hAnsi="Times New Roman" w:cs="Times New Roman"/>
          <w:sz w:val="22"/>
          <w:szCs w:val="22"/>
          <w:highlight w:val="white"/>
        </w:rPr>
        <w:t xml:space="preserve">Services; (iii) it shall not transmit PHI to, or store PHI with, </w:t>
      </w:r>
      <w:r w:rsidR="009C17C8" w:rsidRPr="00472BA8">
        <w:rPr>
          <w:rFonts w:ascii="Times New Roman" w:eastAsia="Times New Roman" w:hAnsi="Times New Roman" w:cs="Times New Roman"/>
          <w:sz w:val="22"/>
          <w:szCs w:val="22"/>
          <w:highlight w:val="white"/>
        </w:rPr>
        <w:t>Company</w:t>
      </w:r>
      <w:r w:rsidRPr="00472BA8">
        <w:rPr>
          <w:rFonts w:ascii="Times New Roman" w:eastAsia="Times New Roman" w:hAnsi="Times New Roman" w:cs="Times New Roman"/>
          <w:sz w:val="22"/>
          <w:szCs w:val="22"/>
          <w:highlight w:val="white"/>
        </w:rPr>
        <w:t xml:space="preserve">  through any means other than through enabled HIPAA-Eligible Services to which this BAA applies; and (iv) it is solely responsible for configuring its HIPAA-Eligible Services in accordance with the HIPAA Rules.</w:t>
      </w:r>
    </w:p>
    <w:p w14:paraId="560C2225" w14:textId="7193F355" w:rsidR="00CC582C" w:rsidRPr="00472BA8" w:rsidRDefault="00000000">
      <w:pPr>
        <w:numPr>
          <w:ilvl w:val="2"/>
          <w:numId w:val="2"/>
        </w:numPr>
        <w:pBdr>
          <w:top w:val="nil"/>
          <w:left w:val="nil"/>
          <w:bottom w:val="nil"/>
          <w:right w:val="nil"/>
          <w:between w:val="nil"/>
        </w:pBdr>
        <w:spacing w:after="120"/>
        <w:rPr>
          <w:rFonts w:ascii="Times New Roman" w:hAnsi="Times New Roman" w:cs="Times New Roman"/>
          <w:sz w:val="22"/>
          <w:szCs w:val="22"/>
        </w:rPr>
      </w:pPr>
      <w:r w:rsidRPr="00472BA8">
        <w:rPr>
          <w:rFonts w:ascii="Times New Roman" w:eastAsia="Times New Roman" w:hAnsi="Times New Roman" w:cs="Times New Roman"/>
          <w:sz w:val="22"/>
          <w:szCs w:val="22"/>
        </w:rPr>
        <w:t xml:space="preserve">Customer shall limit its transmission and storage of PHI to </w:t>
      </w:r>
      <w:r w:rsidR="009C17C8" w:rsidRPr="00472BA8">
        <w:rPr>
          <w:rFonts w:ascii="Times New Roman" w:eastAsia="Times New Roman" w:hAnsi="Times New Roman" w:cs="Times New Roman"/>
          <w:sz w:val="22"/>
          <w:szCs w:val="22"/>
        </w:rPr>
        <w:t>Company</w:t>
      </w:r>
      <w:r w:rsidRPr="00472BA8">
        <w:rPr>
          <w:rFonts w:ascii="Times New Roman" w:eastAsia="Times New Roman" w:hAnsi="Times New Roman" w:cs="Times New Roman"/>
          <w:sz w:val="22"/>
          <w:szCs w:val="22"/>
        </w:rPr>
        <w:t xml:space="preserve"> through the HIPAA-Eligible Services to the minimum extent necessary in accordance with 45 C.F.R. §164.502(b).</w:t>
      </w:r>
    </w:p>
    <w:p w14:paraId="2A86D071" w14:textId="002CF182" w:rsidR="00CC582C" w:rsidRPr="00472BA8" w:rsidRDefault="00000000">
      <w:pPr>
        <w:numPr>
          <w:ilvl w:val="2"/>
          <w:numId w:val="2"/>
        </w:numPr>
        <w:pBdr>
          <w:top w:val="nil"/>
          <w:left w:val="nil"/>
          <w:bottom w:val="nil"/>
          <w:right w:val="nil"/>
          <w:between w:val="nil"/>
        </w:pBdr>
        <w:spacing w:after="120"/>
        <w:rPr>
          <w:rFonts w:ascii="Times New Roman" w:hAnsi="Times New Roman" w:cs="Times New Roman"/>
          <w:sz w:val="22"/>
          <w:szCs w:val="22"/>
        </w:rPr>
      </w:pPr>
      <w:r w:rsidRPr="00472BA8">
        <w:rPr>
          <w:rFonts w:ascii="Times New Roman" w:eastAsia="Times New Roman" w:hAnsi="Times New Roman" w:cs="Times New Roman"/>
          <w:sz w:val="22"/>
          <w:szCs w:val="22"/>
        </w:rPr>
        <w:t xml:space="preserve">Customer shall notify </w:t>
      </w:r>
      <w:r w:rsidR="009C17C8" w:rsidRPr="00472BA8">
        <w:rPr>
          <w:rFonts w:ascii="Times New Roman" w:eastAsia="Times New Roman" w:hAnsi="Times New Roman" w:cs="Times New Roman"/>
          <w:sz w:val="22"/>
          <w:szCs w:val="22"/>
        </w:rPr>
        <w:t>Company</w:t>
      </w:r>
      <w:r w:rsidRPr="00472BA8">
        <w:rPr>
          <w:rFonts w:ascii="Times New Roman" w:eastAsia="Times New Roman" w:hAnsi="Times New Roman" w:cs="Times New Roman"/>
          <w:sz w:val="22"/>
          <w:szCs w:val="22"/>
        </w:rPr>
        <w:t xml:space="preserve"> of any limitations in its privacy practices under 45 C.F.R. §164.520, to the extent that such limitations may affect </w:t>
      </w:r>
      <w:r w:rsidR="009C17C8" w:rsidRPr="00472BA8">
        <w:rPr>
          <w:rFonts w:ascii="Times New Roman" w:eastAsia="Times New Roman" w:hAnsi="Times New Roman" w:cs="Times New Roman"/>
          <w:sz w:val="22"/>
          <w:szCs w:val="22"/>
        </w:rPr>
        <w:t>Company</w:t>
      </w:r>
      <w:r w:rsidRPr="00472BA8">
        <w:rPr>
          <w:rFonts w:ascii="Times New Roman" w:eastAsia="Times New Roman" w:hAnsi="Times New Roman" w:cs="Times New Roman"/>
          <w:sz w:val="22"/>
          <w:szCs w:val="22"/>
        </w:rPr>
        <w:t>’s ability to provide the HIPAA-Eligible Services or to use or disclose PHI.</w:t>
      </w:r>
    </w:p>
    <w:p w14:paraId="10F74137" w14:textId="71AE628C" w:rsidR="00CC582C" w:rsidRPr="00472BA8" w:rsidRDefault="00000000">
      <w:pPr>
        <w:numPr>
          <w:ilvl w:val="2"/>
          <w:numId w:val="2"/>
        </w:numPr>
        <w:pBdr>
          <w:top w:val="nil"/>
          <w:left w:val="nil"/>
          <w:bottom w:val="nil"/>
          <w:right w:val="nil"/>
          <w:between w:val="nil"/>
        </w:pBdr>
        <w:spacing w:after="120"/>
        <w:rPr>
          <w:rFonts w:ascii="Times New Roman" w:hAnsi="Times New Roman" w:cs="Times New Roman"/>
          <w:sz w:val="22"/>
          <w:szCs w:val="22"/>
        </w:rPr>
      </w:pPr>
      <w:r w:rsidRPr="00472BA8">
        <w:rPr>
          <w:rFonts w:ascii="Times New Roman" w:eastAsia="Times New Roman" w:hAnsi="Times New Roman" w:cs="Times New Roman"/>
          <w:sz w:val="22"/>
          <w:szCs w:val="22"/>
        </w:rPr>
        <w:t xml:space="preserve">Customer shall notify </w:t>
      </w:r>
      <w:r w:rsidR="009C17C8" w:rsidRPr="00472BA8">
        <w:rPr>
          <w:rFonts w:ascii="Times New Roman" w:eastAsia="Times New Roman" w:hAnsi="Times New Roman" w:cs="Times New Roman"/>
          <w:sz w:val="22"/>
          <w:szCs w:val="22"/>
        </w:rPr>
        <w:t>Company</w:t>
      </w:r>
      <w:r w:rsidRPr="00472BA8">
        <w:rPr>
          <w:rFonts w:ascii="Times New Roman" w:eastAsia="Times New Roman" w:hAnsi="Times New Roman" w:cs="Times New Roman"/>
          <w:sz w:val="22"/>
          <w:szCs w:val="22"/>
        </w:rPr>
        <w:t xml:space="preserve"> of any changes in permissions granted by an Individual, or restrictions on the use or disclos</w:t>
      </w:r>
      <w:r w:rsidR="003F2897" w:rsidRPr="00472BA8">
        <w:rPr>
          <w:rFonts w:ascii="Times New Roman" w:eastAsia="Times New Roman" w:hAnsi="Times New Roman" w:cs="Times New Roman"/>
          <w:sz w:val="22"/>
          <w:szCs w:val="22"/>
        </w:rPr>
        <w:t>ure of</w:t>
      </w:r>
      <w:r w:rsidRPr="00472BA8">
        <w:rPr>
          <w:rFonts w:ascii="Times New Roman" w:eastAsia="Times New Roman" w:hAnsi="Times New Roman" w:cs="Times New Roman"/>
          <w:sz w:val="22"/>
          <w:szCs w:val="22"/>
        </w:rPr>
        <w:t xml:space="preserve"> their PHI under 45 C.F.R. §164.522, to the extent that such changes or restrictions affect </w:t>
      </w:r>
      <w:r w:rsidR="009C17C8" w:rsidRPr="00472BA8">
        <w:rPr>
          <w:rFonts w:ascii="Times New Roman" w:eastAsia="Times New Roman" w:hAnsi="Times New Roman" w:cs="Times New Roman"/>
          <w:sz w:val="22"/>
          <w:szCs w:val="22"/>
        </w:rPr>
        <w:t>Company</w:t>
      </w:r>
      <w:r w:rsidRPr="00472BA8">
        <w:rPr>
          <w:rFonts w:ascii="Times New Roman" w:eastAsia="Times New Roman" w:hAnsi="Times New Roman" w:cs="Times New Roman"/>
          <w:sz w:val="22"/>
          <w:szCs w:val="22"/>
        </w:rPr>
        <w:t>’s provision of the HIPAA-Eligible Services or use or disclosure of PHI.</w:t>
      </w:r>
    </w:p>
    <w:p w14:paraId="788D9D5D" w14:textId="08E14918" w:rsidR="00CC582C" w:rsidRPr="00472BA8" w:rsidRDefault="00000000">
      <w:pPr>
        <w:numPr>
          <w:ilvl w:val="2"/>
          <w:numId w:val="2"/>
        </w:numPr>
        <w:pBdr>
          <w:top w:val="nil"/>
          <w:left w:val="nil"/>
          <w:bottom w:val="nil"/>
          <w:right w:val="nil"/>
          <w:between w:val="nil"/>
        </w:pBdr>
        <w:spacing w:after="120"/>
        <w:rPr>
          <w:rFonts w:ascii="Times New Roman" w:hAnsi="Times New Roman" w:cs="Times New Roman"/>
          <w:sz w:val="22"/>
          <w:szCs w:val="22"/>
        </w:rPr>
      </w:pPr>
      <w:r w:rsidRPr="00472BA8">
        <w:rPr>
          <w:rFonts w:ascii="Times New Roman" w:eastAsia="Times New Roman" w:hAnsi="Times New Roman" w:cs="Times New Roman"/>
          <w:sz w:val="22"/>
          <w:szCs w:val="22"/>
        </w:rPr>
        <w:t xml:space="preserve">Customer shall not configure the HIPAA-Eligible Services in a manner that will cause </w:t>
      </w:r>
      <w:r w:rsidR="009C17C8" w:rsidRPr="00472BA8">
        <w:rPr>
          <w:rFonts w:ascii="Times New Roman" w:eastAsia="Times New Roman" w:hAnsi="Times New Roman" w:cs="Times New Roman"/>
          <w:sz w:val="22"/>
          <w:szCs w:val="22"/>
        </w:rPr>
        <w:t>Company</w:t>
      </w:r>
      <w:r w:rsidRPr="00472BA8">
        <w:rPr>
          <w:rFonts w:ascii="Times New Roman" w:eastAsia="Times New Roman" w:hAnsi="Times New Roman" w:cs="Times New Roman"/>
          <w:sz w:val="22"/>
          <w:szCs w:val="22"/>
        </w:rPr>
        <w:t xml:space="preserve"> to use or disclose PHI in any way that is impermissible under the HIPAA Rules.</w:t>
      </w:r>
    </w:p>
    <w:p w14:paraId="6BDAF670" w14:textId="77777777" w:rsidR="00CC582C" w:rsidRPr="00472BA8" w:rsidRDefault="00000000">
      <w:pPr>
        <w:pStyle w:val="Heading1"/>
        <w:numPr>
          <w:ilvl w:val="1"/>
          <w:numId w:val="2"/>
        </w:numPr>
        <w:spacing w:after="0"/>
        <w:rPr>
          <w:rFonts w:ascii="Times New Roman" w:eastAsia="Times New Roman" w:hAnsi="Times New Roman" w:cs="Times New Roman"/>
          <w:sz w:val="22"/>
          <w:szCs w:val="22"/>
        </w:rPr>
      </w:pPr>
      <w:r w:rsidRPr="00472BA8">
        <w:rPr>
          <w:rFonts w:ascii="Times New Roman" w:eastAsia="Times New Roman" w:hAnsi="Times New Roman" w:cs="Times New Roman"/>
          <w:sz w:val="22"/>
          <w:szCs w:val="22"/>
        </w:rPr>
        <w:t>Term and Termination</w:t>
      </w:r>
    </w:p>
    <w:p w14:paraId="4A2D180E" w14:textId="370B25E0" w:rsidR="00CC582C" w:rsidRPr="00472BA8" w:rsidRDefault="005D7902">
      <w:pPr>
        <w:numPr>
          <w:ilvl w:val="2"/>
          <w:numId w:val="2"/>
        </w:numPr>
        <w:pBdr>
          <w:top w:val="nil"/>
          <w:left w:val="nil"/>
          <w:bottom w:val="nil"/>
          <w:right w:val="nil"/>
          <w:between w:val="nil"/>
        </w:pBdr>
        <w:spacing w:after="120"/>
        <w:rPr>
          <w:rFonts w:ascii="Times New Roman" w:hAnsi="Times New Roman" w:cs="Times New Roman"/>
          <w:sz w:val="22"/>
          <w:szCs w:val="22"/>
        </w:rPr>
      </w:pPr>
      <w:r w:rsidRPr="005D7902">
        <w:rPr>
          <w:rFonts w:ascii="Times New Roman" w:eastAsia="Times New Roman" w:hAnsi="Times New Roman" w:cs="Times New Roman"/>
          <w:sz w:val="22"/>
          <w:szCs w:val="22"/>
        </w:rPr>
        <w:t xml:space="preserve">Upon any termination or expiration, Company's consent to the storage and transmission of PHI as provided for herein shall be immediately revoked. The obligations of Company under this BAA shall survive termination or expiration to the extent that Company retains any </w:t>
      </w:r>
      <w:proofErr w:type="gramStart"/>
      <w:r w:rsidRPr="005D7902">
        <w:rPr>
          <w:rFonts w:ascii="Times New Roman" w:eastAsia="Times New Roman" w:hAnsi="Times New Roman" w:cs="Times New Roman"/>
          <w:sz w:val="22"/>
          <w:szCs w:val="22"/>
        </w:rPr>
        <w:t>PHI, and</w:t>
      </w:r>
      <w:proofErr w:type="gramEnd"/>
      <w:r w:rsidRPr="005D7902">
        <w:rPr>
          <w:rFonts w:ascii="Times New Roman" w:eastAsia="Times New Roman" w:hAnsi="Times New Roman" w:cs="Times New Roman"/>
          <w:sz w:val="22"/>
          <w:szCs w:val="22"/>
        </w:rPr>
        <w:t xml:space="preserve"> shall continue until Company has completed its obligations under Section 6.3 and all PHI has been returned or destroyed in accordance therewith. Sections of this BAA that by their nature should survive termination — including without limitation those relating to confidentiality, breach notification for pre-termination incidents, record retention, and subcontractor obligations — shall so survive.</w:t>
      </w:r>
    </w:p>
    <w:p w14:paraId="3F00A42F" w14:textId="39FA7B02" w:rsidR="00CC582C" w:rsidRPr="00472BA8" w:rsidRDefault="00000000">
      <w:pPr>
        <w:numPr>
          <w:ilvl w:val="2"/>
          <w:numId w:val="2"/>
        </w:numPr>
        <w:pBdr>
          <w:top w:val="nil"/>
          <w:left w:val="nil"/>
          <w:bottom w:val="nil"/>
          <w:right w:val="nil"/>
          <w:between w:val="nil"/>
        </w:pBdr>
        <w:spacing w:after="120"/>
        <w:rPr>
          <w:rFonts w:ascii="Times New Roman" w:hAnsi="Times New Roman" w:cs="Times New Roman"/>
          <w:sz w:val="22"/>
          <w:szCs w:val="22"/>
        </w:rPr>
      </w:pPr>
      <w:r w:rsidRPr="00472BA8">
        <w:rPr>
          <w:rFonts w:ascii="Times New Roman" w:eastAsia="Times New Roman" w:hAnsi="Times New Roman" w:cs="Times New Roman"/>
          <w:sz w:val="22"/>
          <w:szCs w:val="22"/>
        </w:rPr>
        <w:t>In the event Customer downgrades any of its HIPAA-Eligible Services to a service or product offering that is not HIPAA-</w:t>
      </w:r>
      <w:r w:rsidR="00904DAB" w:rsidRPr="00472BA8">
        <w:rPr>
          <w:rFonts w:ascii="Times New Roman" w:eastAsia="Times New Roman" w:hAnsi="Times New Roman" w:cs="Times New Roman"/>
          <w:sz w:val="22"/>
          <w:szCs w:val="22"/>
        </w:rPr>
        <w:t>E</w:t>
      </w:r>
      <w:r w:rsidRPr="00472BA8">
        <w:rPr>
          <w:rFonts w:ascii="Times New Roman" w:eastAsia="Times New Roman" w:hAnsi="Times New Roman" w:cs="Times New Roman"/>
          <w:sz w:val="22"/>
          <w:szCs w:val="22"/>
        </w:rPr>
        <w:t xml:space="preserve">ligible, then </w:t>
      </w:r>
      <w:r w:rsidR="009C17C8" w:rsidRPr="00472BA8">
        <w:rPr>
          <w:rFonts w:ascii="Times New Roman" w:eastAsia="Times New Roman" w:hAnsi="Times New Roman" w:cs="Times New Roman"/>
          <w:sz w:val="22"/>
          <w:szCs w:val="22"/>
        </w:rPr>
        <w:t>Company</w:t>
      </w:r>
      <w:r w:rsidRPr="00472BA8">
        <w:rPr>
          <w:rFonts w:ascii="Times New Roman" w:eastAsia="Times New Roman" w:hAnsi="Times New Roman" w:cs="Times New Roman"/>
          <w:sz w:val="22"/>
          <w:szCs w:val="22"/>
        </w:rPr>
        <w:t xml:space="preserve">’s consent to the transmission and storage of PHI through the Services shall be immediately revoked and, subject to </w:t>
      </w:r>
      <w:r w:rsidR="009C17C8" w:rsidRPr="00472BA8">
        <w:rPr>
          <w:rFonts w:ascii="Times New Roman" w:eastAsia="Times New Roman" w:hAnsi="Times New Roman" w:cs="Times New Roman"/>
          <w:sz w:val="22"/>
          <w:szCs w:val="22"/>
        </w:rPr>
        <w:t>Company</w:t>
      </w:r>
      <w:r w:rsidRPr="00472BA8">
        <w:rPr>
          <w:rFonts w:ascii="Times New Roman" w:eastAsia="Times New Roman" w:hAnsi="Times New Roman" w:cs="Times New Roman"/>
          <w:sz w:val="22"/>
          <w:szCs w:val="22"/>
        </w:rPr>
        <w:t>’s completion of its obligations under Section 6</w:t>
      </w:r>
      <w:r w:rsidR="0065495C" w:rsidRPr="00472BA8">
        <w:rPr>
          <w:rFonts w:ascii="Times New Roman" w:eastAsia="Times New Roman" w:hAnsi="Times New Roman" w:cs="Times New Roman"/>
          <w:sz w:val="22"/>
          <w:szCs w:val="22"/>
        </w:rPr>
        <w:t>.3</w:t>
      </w:r>
      <w:r w:rsidRPr="00472BA8">
        <w:rPr>
          <w:rFonts w:ascii="Times New Roman" w:eastAsia="Times New Roman" w:hAnsi="Times New Roman" w:cs="Times New Roman"/>
          <w:sz w:val="22"/>
          <w:szCs w:val="22"/>
        </w:rPr>
        <w:t xml:space="preserve">, all obligations of </w:t>
      </w:r>
      <w:r w:rsidR="009C17C8" w:rsidRPr="00472BA8">
        <w:rPr>
          <w:rFonts w:ascii="Times New Roman" w:eastAsia="Times New Roman" w:hAnsi="Times New Roman" w:cs="Times New Roman"/>
          <w:sz w:val="22"/>
          <w:szCs w:val="22"/>
        </w:rPr>
        <w:t>Company</w:t>
      </w:r>
      <w:r w:rsidRPr="00472BA8">
        <w:rPr>
          <w:rFonts w:ascii="Times New Roman" w:eastAsia="Times New Roman" w:hAnsi="Times New Roman" w:cs="Times New Roman"/>
          <w:sz w:val="22"/>
          <w:szCs w:val="22"/>
        </w:rPr>
        <w:t xml:space="preserve"> under this BAA shall terminate</w:t>
      </w:r>
      <w:r w:rsidR="00BA5A0B">
        <w:rPr>
          <w:rFonts w:ascii="Times New Roman" w:eastAsia="Times New Roman" w:hAnsi="Times New Roman" w:cs="Times New Roman"/>
          <w:sz w:val="22"/>
          <w:szCs w:val="22"/>
        </w:rPr>
        <w:t xml:space="preserve">; </w:t>
      </w:r>
      <w:r w:rsidR="00BA5A0B" w:rsidRPr="00BA5A0B">
        <w:rPr>
          <w:rFonts w:ascii="Times New Roman" w:eastAsia="Times New Roman" w:hAnsi="Times New Roman" w:cs="Times New Roman"/>
          <w:sz w:val="22"/>
          <w:szCs w:val="22"/>
        </w:rPr>
        <w:t>provided, however, that obligations of Company that by their nature should survive, including those relating to confidentiality, breach notification for pre-downgrade incidents, and record retention, shall so survive until Company has completed its obligations under Section 6.3</w:t>
      </w:r>
      <w:r w:rsidR="00BA5A0B">
        <w:rPr>
          <w:rFonts w:ascii="Times New Roman" w:eastAsia="Times New Roman" w:hAnsi="Times New Roman" w:cs="Times New Roman"/>
          <w:sz w:val="22"/>
          <w:szCs w:val="22"/>
        </w:rPr>
        <w:t>.</w:t>
      </w:r>
    </w:p>
    <w:p w14:paraId="16A76369" w14:textId="5000DF07" w:rsidR="00CC582C" w:rsidRPr="00472BA8" w:rsidRDefault="00000000">
      <w:pPr>
        <w:numPr>
          <w:ilvl w:val="2"/>
          <w:numId w:val="2"/>
        </w:numPr>
        <w:pBdr>
          <w:top w:val="nil"/>
          <w:left w:val="nil"/>
          <w:bottom w:val="nil"/>
          <w:right w:val="nil"/>
          <w:between w:val="nil"/>
        </w:pBdr>
        <w:spacing w:after="120"/>
        <w:rPr>
          <w:rFonts w:ascii="Times New Roman" w:hAnsi="Times New Roman" w:cs="Times New Roman"/>
          <w:sz w:val="22"/>
          <w:szCs w:val="22"/>
        </w:rPr>
      </w:pPr>
      <w:r w:rsidRPr="00472BA8">
        <w:rPr>
          <w:rFonts w:ascii="Times New Roman" w:eastAsia="Times New Roman" w:hAnsi="Times New Roman" w:cs="Times New Roman"/>
          <w:sz w:val="22"/>
          <w:szCs w:val="22"/>
        </w:rPr>
        <w:t xml:space="preserve">Upon the termination of the Services Agreement for any reason or downgrading of the Services to any non-HIPAA-Eligible Service offering, </w:t>
      </w:r>
      <w:r w:rsidR="009C17C8" w:rsidRPr="00472BA8">
        <w:rPr>
          <w:rFonts w:ascii="Times New Roman" w:eastAsia="Times New Roman" w:hAnsi="Times New Roman" w:cs="Times New Roman"/>
          <w:sz w:val="22"/>
          <w:szCs w:val="22"/>
        </w:rPr>
        <w:t>Company</w:t>
      </w:r>
      <w:r w:rsidRPr="00472BA8">
        <w:rPr>
          <w:rFonts w:ascii="Times New Roman" w:eastAsia="Times New Roman" w:hAnsi="Times New Roman" w:cs="Times New Roman"/>
          <w:sz w:val="22"/>
          <w:szCs w:val="22"/>
        </w:rPr>
        <w:t xml:space="preserve"> shall, upon receipt of a written request from Customer, either return </w:t>
      </w:r>
      <w:r w:rsidRPr="00472BA8">
        <w:rPr>
          <w:rFonts w:ascii="Times New Roman" w:eastAsia="Times New Roman" w:hAnsi="Times New Roman" w:cs="Times New Roman"/>
          <w:sz w:val="22"/>
          <w:szCs w:val="22"/>
        </w:rPr>
        <w:lastRenderedPageBreak/>
        <w:t xml:space="preserve">or destroy all of Customer’s PHI in its possession within sixty (60) days. Customer may request, and </w:t>
      </w:r>
      <w:r w:rsidR="009C17C8" w:rsidRPr="00472BA8">
        <w:rPr>
          <w:rFonts w:ascii="Times New Roman" w:eastAsia="Times New Roman" w:hAnsi="Times New Roman" w:cs="Times New Roman"/>
          <w:sz w:val="22"/>
          <w:szCs w:val="22"/>
        </w:rPr>
        <w:t>Company</w:t>
      </w:r>
      <w:r w:rsidRPr="00472BA8">
        <w:rPr>
          <w:rFonts w:ascii="Times New Roman" w:eastAsia="Times New Roman" w:hAnsi="Times New Roman" w:cs="Times New Roman"/>
          <w:sz w:val="22"/>
          <w:szCs w:val="22"/>
        </w:rPr>
        <w:t xml:space="preserve"> will provide, a written certification verifying that the return or destruction is complete.</w:t>
      </w:r>
    </w:p>
    <w:p w14:paraId="2E9D7FCC" w14:textId="77777777" w:rsidR="00CC582C" w:rsidRPr="00472BA8" w:rsidRDefault="00000000">
      <w:pPr>
        <w:pStyle w:val="Heading1"/>
        <w:numPr>
          <w:ilvl w:val="1"/>
          <w:numId w:val="2"/>
        </w:numPr>
        <w:spacing w:before="0" w:after="0"/>
        <w:rPr>
          <w:rFonts w:ascii="Times New Roman" w:eastAsia="Times New Roman" w:hAnsi="Times New Roman" w:cs="Times New Roman"/>
          <w:sz w:val="22"/>
          <w:szCs w:val="22"/>
        </w:rPr>
      </w:pPr>
      <w:bookmarkStart w:id="13" w:name="_lnxbz9" w:colFirst="0" w:colLast="0"/>
      <w:bookmarkEnd w:id="13"/>
      <w:r w:rsidRPr="00472BA8">
        <w:rPr>
          <w:rFonts w:ascii="Times New Roman" w:eastAsia="Times New Roman" w:hAnsi="Times New Roman" w:cs="Times New Roman"/>
          <w:sz w:val="22"/>
          <w:szCs w:val="22"/>
        </w:rPr>
        <w:t>General</w:t>
      </w:r>
    </w:p>
    <w:p w14:paraId="6B3C87FA" w14:textId="77777777" w:rsidR="00CC582C" w:rsidRPr="00472BA8" w:rsidRDefault="00000000">
      <w:pPr>
        <w:numPr>
          <w:ilvl w:val="2"/>
          <w:numId w:val="2"/>
        </w:numPr>
        <w:pBdr>
          <w:top w:val="nil"/>
          <w:left w:val="nil"/>
          <w:bottom w:val="nil"/>
          <w:right w:val="nil"/>
          <w:between w:val="nil"/>
        </w:pBdr>
        <w:rPr>
          <w:rFonts w:ascii="Times New Roman" w:hAnsi="Times New Roman" w:cs="Times New Roman"/>
          <w:color w:val="000000"/>
          <w:sz w:val="22"/>
          <w:szCs w:val="22"/>
        </w:rPr>
      </w:pPr>
      <w:bookmarkStart w:id="14" w:name="_35nkun2" w:colFirst="0" w:colLast="0"/>
      <w:bookmarkEnd w:id="14"/>
      <w:r w:rsidRPr="00472BA8">
        <w:rPr>
          <w:rFonts w:ascii="Times New Roman" w:eastAsia="Times New Roman" w:hAnsi="Times New Roman" w:cs="Times New Roman"/>
          <w:color w:val="000000"/>
          <w:sz w:val="22"/>
          <w:szCs w:val="22"/>
          <w:u w:val="single"/>
        </w:rPr>
        <w:t>Amendment</w:t>
      </w:r>
      <w:r w:rsidRPr="00472BA8">
        <w:rPr>
          <w:rFonts w:ascii="Times New Roman" w:eastAsia="Times New Roman" w:hAnsi="Times New Roman" w:cs="Times New Roman"/>
          <w:color w:val="000000"/>
          <w:sz w:val="22"/>
          <w:szCs w:val="22"/>
        </w:rPr>
        <w:t>. If any of the regulations promulgated under HIPAA or the HITECH Act are amended or interpreted in a manner that renders this BAA inconsistent therewith, the parties shall cooperate in good faith to amend this BAA to the extent necessary to comply with such amendments or interpretations.</w:t>
      </w:r>
    </w:p>
    <w:p w14:paraId="0C397DFB" w14:textId="77777777" w:rsidR="00CC582C" w:rsidRPr="00472BA8" w:rsidRDefault="00CC582C">
      <w:pPr>
        <w:pBdr>
          <w:top w:val="nil"/>
          <w:left w:val="nil"/>
          <w:bottom w:val="nil"/>
          <w:right w:val="nil"/>
          <w:between w:val="nil"/>
        </w:pBdr>
        <w:ind w:left="720"/>
        <w:rPr>
          <w:rFonts w:ascii="Times New Roman" w:eastAsia="Times New Roman" w:hAnsi="Times New Roman" w:cs="Times New Roman"/>
          <w:color w:val="000000"/>
          <w:sz w:val="22"/>
          <w:szCs w:val="22"/>
        </w:rPr>
      </w:pPr>
    </w:p>
    <w:p w14:paraId="14A2B8EA" w14:textId="77777777" w:rsidR="00CC582C" w:rsidRPr="00472BA8" w:rsidRDefault="00000000">
      <w:pPr>
        <w:numPr>
          <w:ilvl w:val="2"/>
          <w:numId w:val="2"/>
        </w:numPr>
        <w:pBdr>
          <w:top w:val="nil"/>
          <w:left w:val="nil"/>
          <w:bottom w:val="nil"/>
          <w:right w:val="nil"/>
          <w:between w:val="nil"/>
        </w:pBdr>
        <w:rPr>
          <w:rFonts w:ascii="Times New Roman" w:hAnsi="Times New Roman" w:cs="Times New Roman"/>
          <w:color w:val="000000"/>
          <w:sz w:val="22"/>
          <w:szCs w:val="22"/>
        </w:rPr>
      </w:pPr>
      <w:r w:rsidRPr="00472BA8">
        <w:rPr>
          <w:rFonts w:ascii="Times New Roman" w:eastAsia="Times New Roman" w:hAnsi="Times New Roman" w:cs="Times New Roman"/>
          <w:color w:val="000000"/>
          <w:sz w:val="22"/>
          <w:szCs w:val="22"/>
          <w:u w:val="single"/>
        </w:rPr>
        <w:t>Interpretation</w:t>
      </w:r>
      <w:r w:rsidRPr="00472BA8">
        <w:rPr>
          <w:rFonts w:ascii="Times New Roman" w:eastAsia="Times New Roman" w:hAnsi="Times New Roman" w:cs="Times New Roman"/>
          <w:color w:val="000000"/>
          <w:sz w:val="22"/>
          <w:szCs w:val="22"/>
        </w:rPr>
        <w:t xml:space="preserve">. Any ambiguity in this BAA shall be resolved to permit the parties to comply with HIPAA and the HITECH Act. </w:t>
      </w:r>
    </w:p>
    <w:p w14:paraId="419C9B5C" w14:textId="77777777" w:rsidR="00CC582C" w:rsidRPr="00472BA8" w:rsidRDefault="00CC582C">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3000F4A9" w14:textId="77777777" w:rsidR="00CC582C" w:rsidRPr="00472BA8" w:rsidRDefault="00000000">
      <w:pPr>
        <w:numPr>
          <w:ilvl w:val="2"/>
          <w:numId w:val="2"/>
        </w:numPr>
        <w:pBdr>
          <w:top w:val="nil"/>
          <w:left w:val="nil"/>
          <w:bottom w:val="nil"/>
          <w:right w:val="nil"/>
          <w:between w:val="nil"/>
        </w:pBdr>
        <w:rPr>
          <w:rFonts w:ascii="Times New Roman" w:hAnsi="Times New Roman" w:cs="Times New Roman"/>
          <w:color w:val="000000"/>
          <w:sz w:val="22"/>
          <w:szCs w:val="22"/>
        </w:rPr>
      </w:pPr>
      <w:r w:rsidRPr="00472BA8">
        <w:rPr>
          <w:rFonts w:ascii="Times New Roman" w:eastAsia="Times New Roman" w:hAnsi="Times New Roman" w:cs="Times New Roman"/>
          <w:color w:val="000000"/>
          <w:sz w:val="22"/>
          <w:szCs w:val="22"/>
          <w:u w:val="single"/>
        </w:rPr>
        <w:t>Indemnification and Limitation of Liability</w:t>
      </w:r>
      <w:r w:rsidRPr="00472BA8">
        <w:rPr>
          <w:rFonts w:ascii="Times New Roman" w:eastAsia="Times New Roman" w:hAnsi="Times New Roman" w:cs="Times New Roman"/>
          <w:color w:val="000000"/>
          <w:sz w:val="22"/>
          <w:szCs w:val="22"/>
        </w:rPr>
        <w:t>. The parties agree and acknowledge that the indemnification obligations and limitation of liability provisions contained under the Services Agreement shall apply and govern each party’s performance under this BAA.</w:t>
      </w:r>
    </w:p>
    <w:p w14:paraId="2FB6C1E0" w14:textId="77777777" w:rsidR="00CC582C" w:rsidRPr="00472BA8" w:rsidRDefault="00CC582C">
      <w:pPr>
        <w:pBdr>
          <w:top w:val="nil"/>
          <w:left w:val="nil"/>
          <w:bottom w:val="nil"/>
          <w:right w:val="nil"/>
          <w:between w:val="nil"/>
        </w:pBdr>
        <w:ind w:left="720" w:hanging="720"/>
        <w:rPr>
          <w:rFonts w:ascii="Times New Roman" w:eastAsia="Times New Roman" w:hAnsi="Times New Roman" w:cs="Times New Roman"/>
          <w:color w:val="000000"/>
          <w:sz w:val="22"/>
          <w:szCs w:val="22"/>
        </w:rPr>
      </w:pPr>
      <w:bookmarkStart w:id="15" w:name="_1ksv4uv" w:colFirst="0" w:colLast="0"/>
      <w:bookmarkEnd w:id="15"/>
    </w:p>
    <w:p w14:paraId="113876FC" w14:textId="77777777" w:rsidR="00CC582C" w:rsidRPr="00472BA8" w:rsidRDefault="00000000">
      <w:pPr>
        <w:numPr>
          <w:ilvl w:val="2"/>
          <w:numId w:val="2"/>
        </w:numPr>
        <w:pBdr>
          <w:top w:val="nil"/>
          <w:left w:val="nil"/>
          <w:bottom w:val="nil"/>
          <w:right w:val="nil"/>
          <w:between w:val="nil"/>
        </w:pBdr>
        <w:rPr>
          <w:rFonts w:ascii="Times New Roman" w:hAnsi="Times New Roman" w:cs="Times New Roman"/>
          <w:color w:val="000000"/>
          <w:sz w:val="22"/>
          <w:szCs w:val="22"/>
        </w:rPr>
      </w:pPr>
      <w:r w:rsidRPr="00472BA8">
        <w:rPr>
          <w:rFonts w:ascii="Times New Roman" w:eastAsia="Times New Roman" w:hAnsi="Times New Roman" w:cs="Times New Roman"/>
          <w:color w:val="000000"/>
          <w:sz w:val="22"/>
          <w:szCs w:val="22"/>
          <w:u w:val="single"/>
        </w:rPr>
        <w:t>Conflicting Terms</w:t>
      </w:r>
      <w:r w:rsidRPr="00472BA8">
        <w:rPr>
          <w:rFonts w:ascii="Times New Roman" w:eastAsia="Times New Roman" w:hAnsi="Times New Roman" w:cs="Times New Roman"/>
          <w:color w:val="000000"/>
          <w:sz w:val="22"/>
          <w:szCs w:val="22"/>
        </w:rPr>
        <w:t xml:space="preserve">. </w:t>
      </w:r>
      <w:proofErr w:type="gramStart"/>
      <w:r w:rsidRPr="00472BA8">
        <w:rPr>
          <w:rFonts w:ascii="Times New Roman" w:eastAsia="Times New Roman" w:hAnsi="Times New Roman" w:cs="Times New Roman"/>
          <w:color w:val="000000"/>
          <w:sz w:val="22"/>
          <w:szCs w:val="22"/>
        </w:rPr>
        <w:t>In the event that</w:t>
      </w:r>
      <w:proofErr w:type="gramEnd"/>
      <w:r w:rsidRPr="00472BA8">
        <w:rPr>
          <w:rFonts w:ascii="Times New Roman" w:eastAsia="Times New Roman" w:hAnsi="Times New Roman" w:cs="Times New Roman"/>
          <w:color w:val="000000"/>
          <w:sz w:val="22"/>
          <w:szCs w:val="22"/>
        </w:rPr>
        <w:t xml:space="preserve"> any terms of this BAA conflict with any terms of the Services Agreement, the terms of this BAA shall govern and control over the conflicting term in the Services Agreement. All other non-conflicting terms of the Services Agreement shall remain valid and enforceable.</w:t>
      </w:r>
    </w:p>
    <w:p w14:paraId="3E395566" w14:textId="77777777" w:rsidR="00CC582C" w:rsidRPr="00472BA8" w:rsidRDefault="00CC582C">
      <w:pPr>
        <w:pBdr>
          <w:top w:val="nil"/>
          <w:left w:val="nil"/>
          <w:bottom w:val="nil"/>
          <w:right w:val="nil"/>
          <w:between w:val="nil"/>
        </w:pBdr>
        <w:ind w:left="720" w:hanging="720"/>
        <w:rPr>
          <w:rFonts w:ascii="Times New Roman" w:eastAsia="Times New Roman" w:hAnsi="Times New Roman" w:cs="Times New Roman"/>
          <w:sz w:val="22"/>
          <w:szCs w:val="22"/>
        </w:rPr>
      </w:pPr>
    </w:p>
    <w:p w14:paraId="388DF835" w14:textId="77777777" w:rsidR="00CC582C" w:rsidRPr="00472BA8" w:rsidRDefault="00000000">
      <w:pPr>
        <w:pBdr>
          <w:top w:val="nil"/>
          <w:left w:val="nil"/>
          <w:bottom w:val="nil"/>
          <w:right w:val="nil"/>
          <w:between w:val="nil"/>
        </w:pBdr>
        <w:rPr>
          <w:rFonts w:ascii="Times New Roman" w:eastAsia="Calibri" w:hAnsi="Times New Roman" w:cs="Times New Roman"/>
          <w:color w:val="000000"/>
          <w:sz w:val="22"/>
          <w:szCs w:val="22"/>
        </w:rPr>
      </w:pPr>
      <w:r w:rsidRPr="00472BA8">
        <w:rPr>
          <w:rFonts w:ascii="Times New Roman" w:eastAsia="Times New Roman" w:hAnsi="Times New Roman" w:cs="Times New Roman"/>
          <w:b/>
          <w:color w:val="000000"/>
          <w:sz w:val="22"/>
          <w:szCs w:val="22"/>
        </w:rPr>
        <w:t>IN WITNESS WHEREOF,</w:t>
      </w:r>
      <w:r w:rsidRPr="00472BA8">
        <w:rPr>
          <w:rFonts w:ascii="Times New Roman" w:eastAsia="Times New Roman" w:hAnsi="Times New Roman" w:cs="Times New Roman"/>
          <w:color w:val="000000"/>
          <w:sz w:val="22"/>
          <w:szCs w:val="22"/>
        </w:rPr>
        <w:t xml:space="preserve"> the parties have caused this BAA to be signed by their authorized representatives</w:t>
      </w:r>
      <w:r w:rsidRPr="00472BA8">
        <w:rPr>
          <w:rFonts w:ascii="Times New Roman" w:eastAsia="Calibri" w:hAnsi="Times New Roman" w:cs="Times New Roman"/>
          <w:color w:val="000000"/>
          <w:sz w:val="22"/>
          <w:szCs w:val="22"/>
        </w:rPr>
        <w:t>.</w:t>
      </w:r>
    </w:p>
    <w:p w14:paraId="3977CE0A" w14:textId="77777777" w:rsidR="00CC582C" w:rsidRPr="00472BA8" w:rsidRDefault="00CC582C">
      <w:pPr>
        <w:rPr>
          <w:rFonts w:ascii="Times New Roman" w:eastAsia="Calibri" w:hAnsi="Times New Roman" w:cs="Times New Roman"/>
          <w:sz w:val="22"/>
          <w:szCs w:val="22"/>
        </w:rPr>
      </w:pPr>
    </w:p>
    <w:tbl>
      <w:tblPr>
        <w:tblStyle w:val="a"/>
        <w:tblpPr w:leftFromText="180" w:rightFromText="180" w:topFromText="180" w:bottomFromText="180" w:vertAnchor="text" w:tblpX="450" w:tblpY="2"/>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921"/>
        <w:gridCol w:w="4791"/>
      </w:tblGrid>
      <w:tr w:rsidR="00CC582C" w:rsidRPr="00472BA8" w14:paraId="4CF36217" w14:textId="77777777">
        <w:trPr>
          <w:trHeight w:val="242"/>
        </w:trPr>
        <w:tc>
          <w:tcPr>
            <w:tcW w:w="4921" w:type="dxa"/>
            <w:tcMar>
              <w:top w:w="100" w:type="dxa"/>
              <w:left w:w="100" w:type="dxa"/>
              <w:bottom w:w="100" w:type="dxa"/>
              <w:right w:w="100" w:type="dxa"/>
            </w:tcMar>
            <w:vAlign w:val="center"/>
          </w:tcPr>
          <w:p w14:paraId="442825BB" w14:textId="6640D2B5" w:rsidR="00CC582C" w:rsidRPr="00472BA8" w:rsidRDefault="00000000">
            <w:pPr>
              <w:jc w:val="left"/>
              <w:rPr>
                <w:rFonts w:ascii="Times New Roman" w:eastAsia="Calibri" w:hAnsi="Times New Roman" w:cs="Times New Roman"/>
                <w:sz w:val="22"/>
                <w:szCs w:val="22"/>
              </w:rPr>
            </w:pPr>
            <w:r w:rsidRPr="00472BA8">
              <w:rPr>
                <w:rFonts w:ascii="Times New Roman" w:eastAsia="Calibri" w:hAnsi="Times New Roman" w:cs="Times New Roman"/>
                <w:b/>
                <w:sz w:val="22"/>
                <w:szCs w:val="22"/>
              </w:rPr>
              <w:t>[</w:t>
            </w:r>
            <w:r w:rsidR="00B85B62" w:rsidRPr="00472BA8">
              <w:rPr>
                <w:rFonts w:ascii="Times New Roman" w:eastAsia="Calibri" w:hAnsi="Times New Roman" w:cs="Times New Roman"/>
                <w:b/>
                <w:sz w:val="22"/>
                <w:szCs w:val="22"/>
                <w:highlight w:val="yellow"/>
              </w:rPr>
              <w:t>LEGAL NAME</w:t>
            </w:r>
            <w:r w:rsidRPr="00472BA8">
              <w:rPr>
                <w:rFonts w:ascii="Times New Roman" w:eastAsia="Calibri" w:hAnsi="Times New Roman" w:cs="Times New Roman"/>
                <w:b/>
                <w:sz w:val="22"/>
                <w:szCs w:val="22"/>
                <w:highlight w:val="yellow"/>
              </w:rPr>
              <w:t xml:space="preserve"> OF CUSTOMER</w:t>
            </w:r>
            <w:r w:rsidRPr="00472BA8">
              <w:rPr>
                <w:rFonts w:ascii="Times New Roman" w:eastAsia="Calibri" w:hAnsi="Times New Roman" w:cs="Times New Roman"/>
                <w:b/>
                <w:sz w:val="22"/>
                <w:szCs w:val="22"/>
              </w:rPr>
              <w:t>]</w:t>
            </w:r>
          </w:p>
        </w:tc>
        <w:tc>
          <w:tcPr>
            <w:tcW w:w="4791" w:type="dxa"/>
            <w:tcMar>
              <w:top w:w="100" w:type="dxa"/>
              <w:left w:w="100" w:type="dxa"/>
              <w:bottom w:w="100" w:type="dxa"/>
              <w:right w:w="100" w:type="dxa"/>
            </w:tcMar>
            <w:vAlign w:val="center"/>
          </w:tcPr>
          <w:p w14:paraId="533C5771" w14:textId="5727F48E" w:rsidR="00CC582C" w:rsidRPr="00472BA8" w:rsidRDefault="009C17C8">
            <w:pPr>
              <w:jc w:val="left"/>
              <w:rPr>
                <w:rFonts w:ascii="Times New Roman" w:eastAsia="Calibri" w:hAnsi="Times New Roman" w:cs="Times New Roman"/>
                <w:sz w:val="22"/>
                <w:szCs w:val="22"/>
              </w:rPr>
            </w:pPr>
            <w:r w:rsidRPr="00472BA8">
              <w:rPr>
                <w:rFonts w:ascii="Times New Roman" w:eastAsia="Calibri" w:hAnsi="Times New Roman" w:cs="Times New Roman"/>
                <w:b/>
                <w:sz w:val="22"/>
                <w:szCs w:val="22"/>
              </w:rPr>
              <w:t>Company</w:t>
            </w:r>
          </w:p>
        </w:tc>
      </w:tr>
      <w:tr w:rsidR="00B85B62" w:rsidRPr="00472BA8" w14:paraId="7F55C4F5" w14:textId="77777777">
        <w:trPr>
          <w:trHeight w:val="1963"/>
        </w:trPr>
        <w:tc>
          <w:tcPr>
            <w:tcW w:w="4921" w:type="dxa"/>
            <w:tcMar>
              <w:top w:w="100" w:type="dxa"/>
              <w:left w:w="100" w:type="dxa"/>
              <w:bottom w:w="100" w:type="dxa"/>
              <w:right w:w="100" w:type="dxa"/>
            </w:tcMar>
            <w:vAlign w:val="center"/>
          </w:tcPr>
          <w:p w14:paraId="3006F69B" w14:textId="77777777" w:rsidR="00B85B62" w:rsidRPr="00472BA8" w:rsidRDefault="00B85B62" w:rsidP="00B85B62">
            <w:pPr>
              <w:jc w:val="left"/>
              <w:rPr>
                <w:rFonts w:ascii="Times New Roman" w:eastAsia="Calibri" w:hAnsi="Times New Roman" w:cs="Times New Roman"/>
                <w:sz w:val="22"/>
                <w:szCs w:val="22"/>
              </w:rPr>
            </w:pPr>
            <w:r w:rsidRPr="00472BA8">
              <w:rPr>
                <w:rFonts w:ascii="Times New Roman" w:eastAsia="Calibri" w:hAnsi="Times New Roman" w:cs="Times New Roman"/>
                <w:sz w:val="22"/>
                <w:szCs w:val="22"/>
              </w:rPr>
              <w:t xml:space="preserve"> </w:t>
            </w:r>
          </w:p>
          <w:p w14:paraId="162F6184" w14:textId="77777777" w:rsidR="00B85B62" w:rsidRPr="00472BA8" w:rsidRDefault="00B85B62" w:rsidP="00B85B62">
            <w:pPr>
              <w:jc w:val="left"/>
              <w:rPr>
                <w:rFonts w:ascii="Times New Roman" w:eastAsia="Calibri" w:hAnsi="Times New Roman" w:cs="Times New Roman"/>
                <w:sz w:val="22"/>
                <w:szCs w:val="22"/>
              </w:rPr>
            </w:pPr>
            <w:r w:rsidRPr="00472BA8">
              <w:rPr>
                <w:rFonts w:ascii="Times New Roman" w:eastAsia="Calibri" w:hAnsi="Times New Roman" w:cs="Times New Roman"/>
                <w:sz w:val="22"/>
                <w:szCs w:val="22"/>
              </w:rPr>
              <w:t>By: ____________________________________</w:t>
            </w:r>
          </w:p>
          <w:p w14:paraId="32BCCA30" w14:textId="77777777" w:rsidR="00B85B62" w:rsidRPr="00472BA8" w:rsidRDefault="00B85B62" w:rsidP="00B85B62">
            <w:pPr>
              <w:jc w:val="left"/>
              <w:rPr>
                <w:rFonts w:ascii="Times New Roman" w:eastAsia="Calibri" w:hAnsi="Times New Roman" w:cs="Times New Roman"/>
                <w:sz w:val="22"/>
                <w:szCs w:val="22"/>
              </w:rPr>
            </w:pPr>
          </w:p>
          <w:p w14:paraId="0FA566FC" w14:textId="77777777" w:rsidR="00B85B62" w:rsidRPr="00472BA8" w:rsidRDefault="00B85B62" w:rsidP="00B85B62">
            <w:pPr>
              <w:jc w:val="left"/>
              <w:rPr>
                <w:rFonts w:ascii="Times New Roman" w:eastAsia="Calibri" w:hAnsi="Times New Roman" w:cs="Times New Roman"/>
                <w:sz w:val="22"/>
                <w:szCs w:val="22"/>
              </w:rPr>
            </w:pPr>
            <w:r w:rsidRPr="00472BA8">
              <w:rPr>
                <w:rFonts w:ascii="Times New Roman" w:eastAsia="Calibri" w:hAnsi="Times New Roman" w:cs="Times New Roman"/>
                <w:sz w:val="22"/>
                <w:szCs w:val="22"/>
              </w:rPr>
              <w:t>Printed Name: ___________________________</w:t>
            </w:r>
          </w:p>
          <w:p w14:paraId="576C9954" w14:textId="77777777" w:rsidR="00B85B62" w:rsidRPr="00472BA8" w:rsidRDefault="00B85B62" w:rsidP="00B85B62">
            <w:pPr>
              <w:jc w:val="left"/>
              <w:rPr>
                <w:rFonts w:ascii="Times New Roman" w:eastAsia="Calibri" w:hAnsi="Times New Roman" w:cs="Times New Roman"/>
                <w:sz w:val="22"/>
                <w:szCs w:val="22"/>
              </w:rPr>
            </w:pPr>
          </w:p>
          <w:p w14:paraId="7C4305CD" w14:textId="77777777" w:rsidR="00B85B62" w:rsidRPr="00472BA8" w:rsidRDefault="00B85B62" w:rsidP="00B85B62">
            <w:pPr>
              <w:jc w:val="left"/>
              <w:rPr>
                <w:rFonts w:ascii="Times New Roman" w:eastAsia="Calibri" w:hAnsi="Times New Roman" w:cs="Times New Roman"/>
                <w:sz w:val="22"/>
                <w:szCs w:val="22"/>
              </w:rPr>
            </w:pPr>
            <w:r w:rsidRPr="00472BA8">
              <w:rPr>
                <w:rFonts w:ascii="Times New Roman" w:eastAsia="Calibri" w:hAnsi="Times New Roman" w:cs="Times New Roman"/>
                <w:sz w:val="22"/>
                <w:szCs w:val="22"/>
              </w:rPr>
              <w:t>Title: ___________________________________</w:t>
            </w:r>
          </w:p>
          <w:p w14:paraId="324284F5" w14:textId="77777777" w:rsidR="00B85B62" w:rsidRPr="00472BA8" w:rsidRDefault="00B85B62" w:rsidP="00B85B62">
            <w:pPr>
              <w:jc w:val="left"/>
              <w:rPr>
                <w:rFonts w:ascii="Times New Roman" w:eastAsia="Calibri" w:hAnsi="Times New Roman" w:cs="Times New Roman"/>
                <w:sz w:val="22"/>
                <w:szCs w:val="22"/>
              </w:rPr>
            </w:pPr>
          </w:p>
        </w:tc>
        <w:tc>
          <w:tcPr>
            <w:tcW w:w="4791" w:type="dxa"/>
            <w:tcMar>
              <w:top w:w="100" w:type="dxa"/>
              <w:left w:w="100" w:type="dxa"/>
              <w:bottom w:w="100" w:type="dxa"/>
              <w:right w:w="100" w:type="dxa"/>
            </w:tcMar>
            <w:vAlign w:val="center"/>
          </w:tcPr>
          <w:p w14:paraId="0CB932C5" w14:textId="77777777" w:rsidR="00B85B62" w:rsidRPr="00472BA8" w:rsidRDefault="00B85B62" w:rsidP="00B85B62">
            <w:pPr>
              <w:jc w:val="left"/>
              <w:rPr>
                <w:rFonts w:ascii="Times New Roman" w:eastAsia="Calibri" w:hAnsi="Times New Roman" w:cs="Times New Roman"/>
                <w:sz w:val="22"/>
                <w:szCs w:val="22"/>
              </w:rPr>
            </w:pPr>
            <w:r w:rsidRPr="00472BA8">
              <w:rPr>
                <w:rFonts w:ascii="Times New Roman" w:eastAsia="Calibri" w:hAnsi="Times New Roman" w:cs="Times New Roman"/>
                <w:sz w:val="22"/>
                <w:szCs w:val="22"/>
              </w:rPr>
              <w:t xml:space="preserve"> </w:t>
            </w:r>
          </w:p>
          <w:p w14:paraId="37DD6837" w14:textId="77777777" w:rsidR="00B85B62" w:rsidRPr="00472BA8" w:rsidRDefault="00B85B62" w:rsidP="00B85B62">
            <w:pPr>
              <w:jc w:val="left"/>
              <w:rPr>
                <w:rFonts w:ascii="Times New Roman" w:eastAsia="Calibri" w:hAnsi="Times New Roman" w:cs="Times New Roman"/>
                <w:sz w:val="22"/>
                <w:szCs w:val="22"/>
              </w:rPr>
            </w:pPr>
            <w:r w:rsidRPr="00472BA8">
              <w:rPr>
                <w:rFonts w:ascii="Times New Roman" w:eastAsia="Calibri" w:hAnsi="Times New Roman" w:cs="Times New Roman"/>
                <w:sz w:val="22"/>
                <w:szCs w:val="22"/>
              </w:rPr>
              <w:t>By: ____________________________________</w:t>
            </w:r>
          </w:p>
          <w:p w14:paraId="43F3C5BF" w14:textId="77777777" w:rsidR="00B85B62" w:rsidRPr="00472BA8" w:rsidRDefault="00B85B62" w:rsidP="00B85B62">
            <w:pPr>
              <w:jc w:val="left"/>
              <w:rPr>
                <w:rFonts w:ascii="Times New Roman" w:eastAsia="Calibri" w:hAnsi="Times New Roman" w:cs="Times New Roman"/>
                <w:sz w:val="22"/>
                <w:szCs w:val="22"/>
              </w:rPr>
            </w:pPr>
          </w:p>
          <w:p w14:paraId="79F5F9F7" w14:textId="77777777" w:rsidR="00B85B62" w:rsidRPr="00472BA8" w:rsidRDefault="00B85B62" w:rsidP="00B85B62">
            <w:pPr>
              <w:jc w:val="left"/>
              <w:rPr>
                <w:rFonts w:ascii="Times New Roman" w:eastAsia="Calibri" w:hAnsi="Times New Roman" w:cs="Times New Roman"/>
                <w:sz w:val="22"/>
                <w:szCs w:val="22"/>
              </w:rPr>
            </w:pPr>
            <w:r w:rsidRPr="00472BA8">
              <w:rPr>
                <w:rFonts w:ascii="Times New Roman" w:eastAsia="Calibri" w:hAnsi="Times New Roman" w:cs="Times New Roman"/>
                <w:sz w:val="22"/>
                <w:szCs w:val="22"/>
              </w:rPr>
              <w:t>Printed Name: ___________________________</w:t>
            </w:r>
          </w:p>
          <w:p w14:paraId="6C8360CE" w14:textId="77777777" w:rsidR="00B85B62" w:rsidRPr="00472BA8" w:rsidRDefault="00B85B62" w:rsidP="00B85B62">
            <w:pPr>
              <w:jc w:val="left"/>
              <w:rPr>
                <w:rFonts w:ascii="Times New Roman" w:eastAsia="Calibri" w:hAnsi="Times New Roman" w:cs="Times New Roman"/>
                <w:sz w:val="22"/>
                <w:szCs w:val="22"/>
              </w:rPr>
            </w:pPr>
          </w:p>
          <w:p w14:paraId="0725A438" w14:textId="77777777" w:rsidR="00B85B62" w:rsidRPr="00472BA8" w:rsidRDefault="00B85B62" w:rsidP="00B85B62">
            <w:pPr>
              <w:jc w:val="left"/>
              <w:rPr>
                <w:rFonts w:ascii="Times New Roman" w:eastAsia="Calibri" w:hAnsi="Times New Roman" w:cs="Times New Roman"/>
                <w:sz w:val="22"/>
                <w:szCs w:val="22"/>
              </w:rPr>
            </w:pPr>
            <w:r w:rsidRPr="00472BA8">
              <w:rPr>
                <w:rFonts w:ascii="Times New Roman" w:eastAsia="Calibri" w:hAnsi="Times New Roman" w:cs="Times New Roman"/>
                <w:sz w:val="22"/>
                <w:szCs w:val="22"/>
              </w:rPr>
              <w:t>Title: ___________________________________</w:t>
            </w:r>
          </w:p>
          <w:p w14:paraId="14864D72" w14:textId="77777777" w:rsidR="00B85B62" w:rsidRPr="00472BA8" w:rsidRDefault="00B85B62" w:rsidP="00B85B62">
            <w:pPr>
              <w:jc w:val="left"/>
              <w:rPr>
                <w:rFonts w:ascii="Times New Roman" w:eastAsia="Calibri" w:hAnsi="Times New Roman" w:cs="Times New Roman"/>
                <w:sz w:val="22"/>
                <w:szCs w:val="22"/>
              </w:rPr>
            </w:pPr>
          </w:p>
        </w:tc>
      </w:tr>
      <w:tr w:rsidR="00B85B62" w:rsidRPr="00472BA8" w14:paraId="44CBB99C" w14:textId="77777777">
        <w:trPr>
          <w:trHeight w:val="242"/>
        </w:trPr>
        <w:tc>
          <w:tcPr>
            <w:tcW w:w="4921" w:type="dxa"/>
            <w:tcMar>
              <w:top w:w="100" w:type="dxa"/>
              <w:left w:w="100" w:type="dxa"/>
              <w:bottom w:w="100" w:type="dxa"/>
              <w:right w:w="100" w:type="dxa"/>
            </w:tcMar>
            <w:vAlign w:val="center"/>
          </w:tcPr>
          <w:p w14:paraId="6F48D796" w14:textId="77777777" w:rsidR="00B85B62" w:rsidRPr="00472BA8" w:rsidRDefault="00B85B62" w:rsidP="00B85B62">
            <w:pPr>
              <w:ind w:left="90"/>
              <w:jc w:val="left"/>
              <w:rPr>
                <w:rFonts w:ascii="Times New Roman" w:eastAsia="Calibri" w:hAnsi="Times New Roman" w:cs="Times New Roman"/>
                <w:sz w:val="22"/>
                <w:szCs w:val="22"/>
              </w:rPr>
            </w:pPr>
          </w:p>
          <w:p w14:paraId="1871F433" w14:textId="00343E5B" w:rsidR="00B85B62" w:rsidRPr="00472BA8" w:rsidRDefault="00B85B62" w:rsidP="00B85B62">
            <w:pPr>
              <w:ind w:left="90"/>
              <w:jc w:val="left"/>
              <w:rPr>
                <w:rFonts w:ascii="Times New Roman" w:eastAsia="Calibri" w:hAnsi="Times New Roman" w:cs="Times New Roman"/>
                <w:sz w:val="22"/>
                <w:szCs w:val="22"/>
              </w:rPr>
            </w:pPr>
            <w:r w:rsidRPr="00472BA8">
              <w:rPr>
                <w:rFonts w:ascii="Times New Roman" w:eastAsia="Calibri" w:hAnsi="Times New Roman" w:cs="Times New Roman"/>
                <w:sz w:val="22"/>
                <w:szCs w:val="22"/>
              </w:rPr>
              <w:t>Address for notices:</w:t>
            </w:r>
          </w:p>
          <w:p w14:paraId="66B2127B" w14:textId="77777777" w:rsidR="00B85B62" w:rsidRPr="00472BA8" w:rsidRDefault="00B85B62" w:rsidP="00B85B62">
            <w:pPr>
              <w:ind w:left="90"/>
              <w:jc w:val="left"/>
              <w:rPr>
                <w:rFonts w:ascii="Times New Roman" w:eastAsia="Calibri" w:hAnsi="Times New Roman" w:cs="Times New Roman"/>
                <w:sz w:val="22"/>
                <w:szCs w:val="22"/>
              </w:rPr>
            </w:pPr>
          </w:p>
          <w:p w14:paraId="587BDD3C" w14:textId="4E8D26D6" w:rsidR="00B85B62" w:rsidRPr="00472BA8" w:rsidRDefault="00B85B62" w:rsidP="00B85B62">
            <w:pPr>
              <w:ind w:left="90"/>
              <w:jc w:val="left"/>
              <w:rPr>
                <w:rFonts w:ascii="Times New Roman" w:eastAsia="Calibri" w:hAnsi="Times New Roman" w:cs="Times New Roman"/>
                <w:b/>
                <w:bCs/>
                <w:sz w:val="22"/>
                <w:szCs w:val="22"/>
              </w:rPr>
            </w:pPr>
            <w:r w:rsidRPr="00472BA8">
              <w:rPr>
                <w:rFonts w:ascii="Times New Roman" w:eastAsia="Calibri" w:hAnsi="Times New Roman" w:cs="Times New Roman"/>
                <w:b/>
                <w:bCs/>
                <w:sz w:val="22"/>
                <w:szCs w:val="22"/>
                <w:highlight w:val="yellow"/>
              </w:rPr>
              <w:t>[CUSTOMER ADDRESS]</w:t>
            </w:r>
          </w:p>
          <w:p w14:paraId="22E33DDC" w14:textId="6A5B5EB2" w:rsidR="00B85B62" w:rsidRPr="00472BA8" w:rsidRDefault="00B85B62" w:rsidP="00B85B62">
            <w:pPr>
              <w:ind w:left="90"/>
              <w:jc w:val="left"/>
              <w:rPr>
                <w:rFonts w:ascii="Times New Roman" w:eastAsia="Calibri" w:hAnsi="Times New Roman" w:cs="Times New Roman"/>
                <w:sz w:val="22"/>
                <w:szCs w:val="22"/>
              </w:rPr>
            </w:pPr>
            <w:r w:rsidRPr="00472BA8">
              <w:rPr>
                <w:rFonts w:ascii="Times New Roman" w:eastAsia="Calibri" w:hAnsi="Times New Roman" w:cs="Times New Roman"/>
                <w:sz w:val="22"/>
                <w:szCs w:val="22"/>
              </w:rPr>
              <w:t xml:space="preserve">With copy to: </w:t>
            </w:r>
            <w:r w:rsidRPr="00472BA8">
              <w:rPr>
                <w:rFonts w:ascii="Times New Roman" w:eastAsia="Calibri" w:hAnsi="Times New Roman" w:cs="Times New Roman"/>
                <w:b/>
                <w:bCs/>
                <w:sz w:val="22"/>
                <w:szCs w:val="22"/>
                <w:highlight w:val="yellow"/>
              </w:rPr>
              <w:t>[CUSTOMER EMAIL]</w:t>
            </w:r>
          </w:p>
        </w:tc>
        <w:tc>
          <w:tcPr>
            <w:tcW w:w="4791" w:type="dxa"/>
            <w:tcMar>
              <w:top w:w="100" w:type="dxa"/>
              <w:left w:w="100" w:type="dxa"/>
              <w:bottom w:w="100" w:type="dxa"/>
              <w:right w:w="100" w:type="dxa"/>
            </w:tcMar>
            <w:vAlign w:val="center"/>
          </w:tcPr>
          <w:p w14:paraId="4A19A2AE" w14:textId="77777777" w:rsidR="00B85B62" w:rsidRPr="00472BA8" w:rsidRDefault="00B85B62" w:rsidP="00B85B62">
            <w:pPr>
              <w:ind w:left="90"/>
              <w:jc w:val="left"/>
              <w:rPr>
                <w:rFonts w:ascii="Times New Roman" w:eastAsia="Calibri" w:hAnsi="Times New Roman" w:cs="Times New Roman"/>
                <w:sz w:val="22"/>
                <w:szCs w:val="22"/>
              </w:rPr>
            </w:pPr>
          </w:p>
          <w:p w14:paraId="5482B8BD" w14:textId="77777777" w:rsidR="00B85B62" w:rsidRPr="00472BA8" w:rsidRDefault="00B85B62" w:rsidP="00B85B62">
            <w:pPr>
              <w:ind w:left="90"/>
              <w:jc w:val="left"/>
              <w:rPr>
                <w:rFonts w:ascii="Times New Roman" w:eastAsia="Calibri" w:hAnsi="Times New Roman" w:cs="Times New Roman"/>
                <w:sz w:val="22"/>
                <w:szCs w:val="22"/>
              </w:rPr>
            </w:pPr>
            <w:r w:rsidRPr="00472BA8">
              <w:rPr>
                <w:rFonts w:ascii="Times New Roman" w:eastAsia="Calibri" w:hAnsi="Times New Roman" w:cs="Times New Roman"/>
                <w:sz w:val="22"/>
                <w:szCs w:val="22"/>
              </w:rPr>
              <w:t>Address for notices:</w:t>
            </w:r>
          </w:p>
          <w:p w14:paraId="35F60819" w14:textId="77777777" w:rsidR="00B85B62" w:rsidRPr="00472BA8" w:rsidRDefault="00B85B62" w:rsidP="00B85B62">
            <w:pPr>
              <w:ind w:left="90"/>
              <w:jc w:val="left"/>
              <w:rPr>
                <w:rFonts w:ascii="Times New Roman" w:eastAsia="Calibri" w:hAnsi="Times New Roman" w:cs="Times New Roman"/>
                <w:sz w:val="22"/>
                <w:szCs w:val="22"/>
              </w:rPr>
            </w:pPr>
          </w:p>
          <w:p w14:paraId="3AA16DF7" w14:textId="52D79689" w:rsidR="00B85B62" w:rsidRPr="00472BA8" w:rsidRDefault="00B85B62" w:rsidP="00B85B62">
            <w:pPr>
              <w:ind w:left="90"/>
              <w:jc w:val="left"/>
              <w:rPr>
                <w:rFonts w:ascii="Times New Roman" w:eastAsia="Calibri" w:hAnsi="Times New Roman" w:cs="Times New Roman"/>
                <w:b/>
                <w:bCs/>
                <w:sz w:val="22"/>
                <w:szCs w:val="22"/>
              </w:rPr>
            </w:pPr>
            <w:r w:rsidRPr="00472BA8">
              <w:rPr>
                <w:rFonts w:ascii="Times New Roman" w:eastAsia="Calibri" w:hAnsi="Times New Roman" w:cs="Times New Roman"/>
                <w:b/>
                <w:bCs/>
                <w:sz w:val="22"/>
                <w:szCs w:val="22"/>
                <w:highlight w:val="yellow"/>
              </w:rPr>
              <w:t>[</w:t>
            </w:r>
            <w:r w:rsidRPr="00472BA8">
              <w:rPr>
                <w:rFonts w:ascii="Times New Roman" w:eastAsia="Calibri" w:hAnsi="Times New Roman" w:cs="Times New Roman"/>
                <w:b/>
                <w:bCs/>
                <w:sz w:val="22"/>
                <w:szCs w:val="22"/>
                <w:highlight w:val="yellow"/>
              </w:rPr>
              <w:t>COMPANY</w:t>
            </w:r>
            <w:r w:rsidRPr="00472BA8">
              <w:rPr>
                <w:rFonts w:ascii="Times New Roman" w:eastAsia="Calibri" w:hAnsi="Times New Roman" w:cs="Times New Roman"/>
                <w:b/>
                <w:bCs/>
                <w:sz w:val="22"/>
                <w:szCs w:val="22"/>
                <w:highlight w:val="yellow"/>
              </w:rPr>
              <w:t xml:space="preserve"> ADDRESS]</w:t>
            </w:r>
          </w:p>
          <w:p w14:paraId="06B765DE" w14:textId="17E2ACE8" w:rsidR="00B85B62" w:rsidRPr="00472BA8" w:rsidRDefault="00B85B62" w:rsidP="00B85B62">
            <w:pPr>
              <w:jc w:val="left"/>
              <w:rPr>
                <w:rFonts w:ascii="Times New Roman" w:eastAsia="Calibri" w:hAnsi="Times New Roman" w:cs="Times New Roman"/>
                <w:sz w:val="22"/>
                <w:szCs w:val="22"/>
              </w:rPr>
            </w:pPr>
            <w:r w:rsidRPr="00472BA8">
              <w:rPr>
                <w:rFonts w:ascii="Times New Roman" w:eastAsia="Calibri" w:hAnsi="Times New Roman" w:cs="Times New Roman"/>
                <w:sz w:val="22"/>
                <w:szCs w:val="22"/>
              </w:rPr>
              <w:t xml:space="preserve">With copy to: </w:t>
            </w:r>
            <w:r w:rsidRPr="00472BA8">
              <w:rPr>
                <w:rFonts w:ascii="Times New Roman" w:eastAsia="Calibri" w:hAnsi="Times New Roman" w:cs="Times New Roman"/>
                <w:b/>
                <w:bCs/>
                <w:sz w:val="22"/>
                <w:szCs w:val="22"/>
                <w:highlight w:val="yellow"/>
              </w:rPr>
              <w:t>[</w:t>
            </w:r>
            <w:r w:rsidRPr="00472BA8">
              <w:rPr>
                <w:rFonts w:ascii="Times New Roman" w:eastAsia="Calibri" w:hAnsi="Times New Roman" w:cs="Times New Roman"/>
                <w:b/>
                <w:bCs/>
                <w:sz w:val="22"/>
                <w:szCs w:val="22"/>
                <w:highlight w:val="yellow"/>
              </w:rPr>
              <w:t>COMPANY</w:t>
            </w:r>
            <w:r w:rsidRPr="00472BA8">
              <w:rPr>
                <w:rFonts w:ascii="Times New Roman" w:eastAsia="Calibri" w:hAnsi="Times New Roman" w:cs="Times New Roman"/>
                <w:b/>
                <w:bCs/>
                <w:sz w:val="22"/>
                <w:szCs w:val="22"/>
                <w:highlight w:val="yellow"/>
              </w:rPr>
              <w:t xml:space="preserve"> EMAIL]</w:t>
            </w:r>
          </w:p>
        </w:tc>
      </w:tr>
    </w:tbl>
    <w:p w14:paraId="569C65D8" w14:textId="5B321D97" w:rsidR="00472BA8" w:rsidRDefault="00472BA8">
      <w:pPr>
        <w:jc w:val="left"/>
        <w:rPr>
          <w:rFonts w:ascii="Times New Roman" w:eastAsia="Calibri" w:hAnsi="Times New Roman" w:cs="Times New Roman"/>
          <w:b/>
          <w:sz w:val="22"/>
          <w:szCs w:val="22"/>
        </w:rPr>
      </w:pPr>
      <w:r>
        <w:rPr>
          <w:rFonts w:ascii="Times New Roman" w:eastAsia="Calibri" w:hAnsi="Times New Roman" w:cs="Times New Roman"/>
          <w:b/>
          <w:sz w:val="22"/>
          <w:szCs w:val="22"/>
        </w:rPr>
        <w:br w:type="page"/>
      </w:r>
    </w:p>
    <w:p w14:paraId="2CA61348" w14:textId="77777777" w:rsidR="00CC582C" w:rsidRPr="00472BA8" w:rsidRDefault="00CC582C">
      <w:pPr>
        <w:jc w:val="left"/>
        <w:rPr>
          <w:rFonts w:ascii="Times New Roman" w:eastAsia="Calibri" w:hAnsi="Times New Roman" w:cs="Times New Roman"/>
          <w:b/>
          <w:sz w:val="22"/>
          <w:szCs w:val="22"/>
        </w:rPr>
      </w:pPr>
    </w:p>
    <w:p w14:paraId="48FBF6F2" w14:textId="77777777" w:rsidR="00CC582C" w:rsidRPr="00472BA8" w:rsidRDefault="00000000">
      <w:pPr>
        <w:jc w:val="center"/>
        <w:rPr>
          <w:rFonts w:ascii="Times New Roman" w:eastAsia="Calibri" w:hAnsi="Times New Roman" w:cs="Times New Roman"/>
          <w:b/>
          <w:sz w:val="22"/>
          <w:szCs w:val="22"/>
        </w:rPr>
      </w:pPr>
      <w:r w:rsidRPr="00472BA8">
        <w:rPr>
          <w:rFonts w:ascii="Times New Roman" w:eastAsia="Calibri" w:hAnsi="Times New Roman" w:cs="Times New Roman"/>
          <w:b/>
          <w:sz w:val="22"/>
          <w:szCs w:val="22"/>
        </w:rPr>
        <w:t>Appendix A</w:t>
      </w:r>
      <w:r w:rsidRPr="00472BA8">
        <w:rPr>
          <w:rFonts w:ascii="Times New Roman" w:eastAsia="Calibri" w:hAnsi="Times New Roman" w:cs="Times New Roman"/>
          <w:b/>
          <w:sz w:val="22"/>
          <w:szCs w:val="22"/>
        </w:rPr>
        <w:br/>
      </w:r>
      <w:r w:rsidRPr="00472BA8">
        <w:rPr>
          <w:rFonts w:ascii="Times New Roman" w:eastAsia="Calibri" w:hAnsi="Times New Roman" w:cs="Times New Roman"/>
          <w:sz w:val="22"/>
          <w:szCs w:val="22"/>
        </w:rPr>
        <w:t>(Definitions)</w:t>
      </w:r>
    </w:p>
    <w:p w14:paraId="053D75D6" w14:textId="77777777" w:rsidR="00CC582C" w:rsidRPr="00472BA8" w:rsidRDefault="00CC582C">
      <w:pPr>
        <w:ind w:left="90"/>
        <w:jc w:val="center"/>
        <w:rPr>
          <w:rFonts w:ascii="Times New Roman" w:eastAsia="Calibri" w:hAnsi="Times New Roman" w:cs="Times New Roman"/>
          <w:b/>
          <w:sz w:val="22"/>
          <w:szCs w:val="22"/>
        </w:rPr>
      </w:pPr>
    </w:p>
    <w:p w14:paraId="21DE5701" w14:textId="77777777" w:rsidR="00CC582C" w:rsidRPr="00472BA8" w:rsidRDefault="00000000">
      <w:pPr>
        <w:pStyle w:val="Heading1"/>
        <w:numPr>
          <w:ilvl w:val="0"/>
          <w:numId w:val="1"/>
        </w:numPr>
        <w:spacing w:before="0"/>
        <w:jc w:val="left"/>
        <w:rPr>
          <w:rFonts w:ascii="Times New Roman" w:hAnsi="Times New Roman" w:cs="Times New Roman"/>
          <w:sz w:val="22"/>
          <w:szCs w:val="22"/>
        </w:rPr>
      </w:pPr>
      <w:r w:rsidRPr="00472BA8">
        <w:rPr>
          <w:rFonts w:ascii="Times New Roman" w:eastAsia="Times New Roman" w:hAnsi="Times New Roman" w:cs="Times New Roman"/>
          <w:b w:val="0"/>
          <w:sz w:val="22"/>
          <w:szCs w:val="22"/>
        </w:rPr>
        <w:t>“</w:t>
      </w:r>
      <w:r w:rsidRPr="00472BA8">
        <w:rPr>
          <w:rFonts w:ascii="Times New Roman" w:eastAsia="Times New Roman" w:hAnsi="Times New Roman" w:cs="Times New Roman"/>
          <w:b w:val="0"/>
          <w:sz w:val="22"/>
          <w:szCs w:val="22"/>
          <w:u w:val="single"/>
        </w:rPr>
        <w:t>Applicable Law</w:t>
      </w:r>
      <w:r w:rsidRPr="00472BA8">
        <w:rPr>
          <w:rFonts w:ascii="Times New Roman" w:eastAsia="Times New Roman" w:hAnsi="Times New Roman" w:cs="Times New Roman"/>
          <w:b w:val="0"/>
          <w:sz w:val="22"/>
          <w:szCs w:val="22"/>
        </w:rPr>
        <w:t>” means any national, state, or local laws, rules, regulations, and regulatory guidance applicable to either party’s performance under the Services Agreement.</w:t>
      </w:r>
    </w:p>
    <w:p w14:paraId="69BC870B" w14:textId="77777777" w:rsidR="00CC582C" w:rsidRPr="00472BA8" w:rsidRDefault="00000000">
      <w:pPr>
        <w:pStyle w:val="Heading1"/>
        <w:numPr>
          <w:ilvl w:val="0"/>
          <w:numId w:val="1"/>
        </w:numPr>
        <w:spacing w:before="0"/>
        <w:jc w:val="left"/>
        <w:rPr>
          <w:rFonts w:ascii="Times New Roman" w:hAnsi="Times New Roman" w:cs="Times New Roman"/>
          <w:sz w:val="22"/>
          <w:szCs w:val="22"/>
        </w:rPr>
      </w:pPr>
      <w:r w:rsidRPr="00472BA8">
        <w:rPr>
          <w:rFonts w:ascii="Times New Roman" w:eastAsia="Times New Roman" w:hAnsi="Times New Roman" w:cs="Times New Roman"/>
          <w:b w:val="0"/>
          <w:sz w:val="22"/>
          <w:szCs w:val="22"/>
        </w:rPr>
        <w:t>“</w:t>
      </w:r>
      <w:r w:rsidRPr="00472BA8">
        <w:rPr>
          <w:rFonts w:ascii="Times New Roman" w:eastAsia="Times New Roman" w:hAnsi="Times New Roman" w:cs="Times New Roman"/>
          <w:b w:val="0"/>
          <w:sz w:val="22"/>
          <w:szCs w:val="22"/>
          <w:u w:val="single"/>
        </w:rPr>
        <w:t>Breach</w:t>
      </w:r>
      <w:r w:rsidRPr="00472BA8">
        <w:rPr>
          <w:rFonts w:ascii="Times New Roman" w:eastAsia="Times New Roman" w:hAnsi="Times New Roman" w:cs="Times New Roman"/>
          <w:b w:val="0"/>
          <w:sz w:val="22"/>
          <w:szCs w:val="22"/>
        </w:rPr>
        <w:t>” shall have the meaning ascribed to it under the HIPAA Rules (45 CFR 164.402).</w:t>
      </w:r>
    </w:p>
    <w:p w14:paraId="0095AE5B" w14:textId="77777777" w:rsidR="00CC582C" w:rsidRPr="00472BA8" w:rsidRDefault="00000000">
      <w:pPr>
        <w:pStyle w:val="Heading1"/>
        <w:numPr>
          <w:ilvl w:val="0"/>
          <w:numId w:val="1"/>
        </w:numPr>
        <w:spacing w:before="0"/>
        <w:jc w:val="left"/>
        <w:rPr>
          <w:rFonts w:ascii="Times New Roman" w:hAnsi="Times New Roman" w:cs="Times New Roman"/>
          <w:sz w:val="22"/>
          <w:szCs w:val="22"/>
        </w:rPr>
      </w:pPr>
      <w:r w:rsidRPr="00472BA8">
        <w:rPr>
          <w:rFonts w:ascii="Times New Roman" w:eastAsia="Times New Roman" w:hAnsi="Times New Roman" w:cs="Times New Roman"/>
          <w:b w:val="0"/>
          <w:sz w:val="22"/>
          <w:szCs w:val="22"/>
        </w:rPr>
        <w:t>“</w:t>
      </w:r>
      <w:r w:rsidRPr="00472BA8">
        <w:rPr>
          <w:rFonts w:ascii="Times New Roman" w:eastAsia="Times New Roman" w:hAnsi="Times New Roman" w:cs="Times New Roman"/>
          <w:b w:val="0"/>
          <w:sz w:val="22"/>
          <w:szCs w:val="22"/>
          <w:u w:val="single"/>
        </w:rPr>
        <w:t>HIPAA</w:t>
      </w:r>
      <w:r w:rsidRPr="00472BA8">
        <w:rPr>
          <w:rFonts w:ascii="Times New Roman" w:eastAsia="Times New Roman" w:hAnsi="Times New Roman" w:cs="Times New Roman"/>
          <w:b w:val="0"/>
          <w:sz w:val="22"/>
          <w:szCs w:val="22"/>
        </w:rPr>
        <w:t>” means the Health Insurance Portability and Accountability Act of 1996, as amended by Subtitle D of the 2009 Health Information Technology for Economic and Clinical Health (HITECH) Act, and their implementing regulations.</w:t>
      </w:r>
    </w:p>
    <w:p w14:paraId="094E881E" w14:textId="77777777" w:rsidR="00CC582C" w:rsidRPr="00472BA8" w:rsidRDefault="00000000">
      <w:pPr>
        <w:pStyle w:val="Heading1"/>
        <w:numPr>
          <w:ilvl w:val="0"/>
          <w:numId w:val="1"/>
        </w:numPr>
        <w:spacing w:before="0"/>
        <w:jc w:val="left"/>
        <w:rPr>
          <w:rFonts w:ascii="Times New Roman" w:hAnsi="Times New Roman" w:cs="Times New Roman"/>
          <w:sz w:val="22"/>
          <w:szCs w:val="22"/>
        </w:rPr>
      </w:pPr>
      <w:r w:rsidRPr="00472BA8">
        <w:rPr>
          <w:rFonts w:ascii="Times New Roman" w:eastAsia="Times New Roman" w:hAnsi="Times New Roman" w:cs="Times New Roman"/>
          <w:b w:val="0"/>
          <w:sz w:val="22"/>
          <w:szCs w:val="22"/>
        </w:rPr>
        <w:t>“</w:t>
      </w:r>
      <w:r w:rsidRPr="00472BA8">
        <w:rPr>
          <w:rFonts w:ascii="Times New Roman" w:eastAsia="Times New Roman" w:hAnsi="Times New Roman" w:cs="Times New Roman"/>
          <w:b w:val="0"/>
          <w:sz w:val="22"/>
          <w:szCs w:val="22"/>
          <w:u w:val="single"/>
        </w:rPr>
        <w:t>HIPAA Rules</w:t>
      </w:r>
      <w:r w:rsidRPr="00472BA8">
        <w:rPr>
          <w:rFonts w:ascii="Times New Roman" w:eastAsia="Times New Roman" w:hAnsi="Times New Roman" w:cs="Times New Roman"/>
          <w:b w:val="0"/>
          <w:sz w:val="22"/>
          <w:szCs w:val="22"/>
        </w:rPr>
        <w:t>” means the Privacy, Security, and Breach Notification and Enforcement Rules at 45 CFR Part 160 and Part 164.</w:t>
      </w:r>
    </w:p>
    <w:p w14:paraId="24C89D13" w14:textId="5A19E0EA" w:rsidR="00CC582C" w:rsidRPr="00472BA8" w:rsidRDefault="00000000">
      <w:pPr>
        <w:pStyle w:val="Heading1"/>
        <w:numPr>
          <w:ilvl w:val="0"/>
          <w:numId w:val="1"/>
        </w:numPr>
        <w:spacing w:before="0"/>
        <w:jc w:val="left"/>
        <w:rPr>
          <w:rFonts w:ascii="Times New Roman" w:hAnsi="Times New Roman" w:cs="Times New Roman"/>
          <w:sz w:val="22"/>
          <w:szCs w:val="22"/>
        </w:rPr>
      </w:pPr>
      <w:r w:rsidRPr="00472BA8">
        <w:rPr>
          <w:rFonts w:ascii="Times New Roman" w:eastAsia="Times New Roman" w:hAnsi="Times New Roman" w:cs="Times New Roman"/>
          <w:b w:val="0"/>
          <w:sz w:val="22"/>
          <w:szCs w:val="22"/>
        </w:rPr>
        <w:t>“</w:t>
      </w:r>
      <w:r w:rsidRPr="00472BA8">
        <w:rPr>
          <w:rFonts w:ascii="Times New Roman" w:eastAsia="Times New Roman" w:hAnsi="Times New Roman" w:cs="Times New Roman"/>
          <w:b w:val="0"/>
          <w:sz w:val="22"/>
          <w:szCs w:val="22"/>
          <w:u w:val="single"/>
        </w:rPr>
        <w:t>HIPAA-Eligible Services</w:t>
      </w:r>
      <w:r w:rsidRPr="00472BA8">
        <w:rPr>
          <w:rFonts w:ascii="Times New Roman" w:eastAsia="Times New Roman" w:hAnsi="Times New Roman" w:cs="Times New Roman"/>
          <w:b w:val="0"/>
          <w:sz w:val="22"/>
          <w:szCs w:val="22"/>
        </w:rPr>
        <w:t>” means the products and services listed in an ordering document that: (1) expressly references being governed by this BAA; and (2) expressly identifies the services as being “HIPAA-</w:t>
      </w:r>
      <w:r w:rsidR="00FD0EA4" w:rsidRPr="00472BA8">
        <w:rPr>
          <w:rFonts w:ascii="Times New Roman" w:eastAsia="Times New Roman" w:hAnsi="Times New Roman" w:cs="Times New Roman"/>
          <w:b w:val="0"/>
          <w:sz w:val="22"/>
          <w:szCs w:val="22"/>
        </w:rPr>
        <w:t>E</w:t>
      </w:r>
      <w:r w:rsidRPr="00472BA8">
        <w:rPr>
          <w:rFonts w:ascii="Times New Roman" w:eastAsia="Times New Roman" w:hAnsi="Times New Roman" w:cs="Times New Roman"/>
          <w:b w:val="0"/>
          <w:sz w:val="22"/>
          <w:szCs w:val="22"/>
        </w:rPr>
        <w:t>ligible services” or “Advanced Compliance services”, regardless of whether they are purchased individually or as a part of a service package.</w:t>
      </w:r>
    </w:p>
    <w:p w14:paraId="3F3EAD65" w14:textId="3605CAEB" w:rsidR="00CC582C" w:rsidRPr="00472BA8" w:rsidRDefault="00000000">
      <w:pPr>
        <w:pStyle w:val="Heading1"/>
        <w:numPr>
          <w:ilvl w:val="0"/>
          <w:numId w:val="1"/>
        </w:numPr>
        <w:spacing w:before="0"/>
        <w:jc w:val="left"/>
        <w:rPr>
          <w:rFonts w:ascii="Times New Roman" w:hAnsi="Times New Roman" w:cs="Times New Roman"/>
          <w:sz w:val="22"/>
          <w:szCs w:val="22"/>
        </w:rPr>
      </w:pPr>
      <w:r w:rsidRPr="00472BA8">
        <w:rPr>
          <w:rFonts w:ascii="Times New Roman" w:eastAsia="Times New Roman" w:hAnsi="Times New Roman" w:cs="Times New Roman"/>
          <w:b w:val="0"/>
          <w:sz w:val="22"/>
          <w:szCs w:val="22"/>
        </w:rPr>
        <w:t>“</w:t>
      </w:r>
      <w:r w:rsidRPr="00472BA8">
        <w:rPr>
          <w:rFonts w:ascii="Times New Roman" w:eastAsia="Times New Roman" w:hAnsi="Times New Roman" w:cs="Times New Roman"/>
          <w:b w:val="0"/>
          <w:sz w:val="22"/>
          <w:szCs w:val="22"/>
          <w:u w:val="single"/>
        </w:rPr>
        <w:t>Incident</w:t>
      </w:r>
      <w:r w:rsidRPr="00472BA8">
        <w:rPr>
          <w:rFonts w:ascii="Times New Roman" w:eastAsia="Times New Roman" w:hAnsi="Times New Roman" w:cs="Times New Roman"/>
          <w:b w:val="0"/>
          <w:sz w:val="22"/>
          <w:szCs w:val="22"/>
        </w:rPr>
        <w:t xml:space="preserve">” means any use or disclosure of PHI not provided for in this BAA, any Breach, or any successful Security Incident involving the PHI of Customer that </w:t>
      </w:r>
      <w:r w:rsidR="009C17C8" w:rsidRPr="00472BA8">
        <w:rPr>
          <w:rFonts w:ascii="Times New Roman" w:eastAsia="Times New Roman" w:hAnsi="Times New Roman" w:cs="Times New Roman"/>
          <w:b w:val="0"/>
          <w:sz w:val="22"/>
          <w:szCs w:val="22"/>
        </w:rPr>
        <w:t>Company</w:t>
      </w:r>
      <w:r w:rsidRPr="00472BA8">
        <w:rPr>
          <w:rFonts w:ascii="Times New Roman" w:eastAsia="Times New Roman" w:hAnsi="Times New Roman" w:cs="Times New Roman"/>
          <w:b w:val="0"/>
          <w:sz w:val="22"/>
          <w:szCs w:val="22"/>
        </w:rPr>
        <w:t xml:space="preserve">, or any subcontractor of </w:t>
      </w:r>
      <w:r w:rsidR="009C17C8" w:rsidRPr="00472BA8">
        <w:rPr>
          <w:rFonts w:ascii="Times New Roman" w:eastAsia="Times New Roman" w:hAnsi="Times New Roman" w:cs="Times New Roman"/>
          <w:b w:val="0"/>
          <w:sz w:val="22"/>
          <w:szCs w:val="22"/>
        </w:rPr>
        <w:t>Company</w:t>
      </w:r>
      <w:r w:rsidRPr="00472BA8">
        <w:rPr>
          <w:rFonts w:ascii="Times New Roman" w:eastAsia="Times New Roman" w:hAnsi="Times New Roman" w:cs="Times New Roman"/>
          <w:b w:val="0"/>
          <w:sz w:val="22"/>
          <w:szCs w:val="22"/>
        </w:rPr>
        <w:t>, becomes aware of.</w:t>
      </w:r>
    </w:p>
    <w:p w14:paraId="628EC276" w14:textId="4A0784CD" w:rsidR="00CC582C" w:rsidRPr="00472BA8" w:rsidRDefault="00000000">
      <w:pPr>
        <w:pStyle w:val="Heading1"/>
        <w:numPr>
          <w:ilvl w:val="0"/>
          <w:numId w:val="1"/>
        </w:numPr>
        <w:spacing w:before="0"/>
        <w:jc w:val="left"/>
        <w:rPr>
          <w:rFonts w:ascii="Times New Roman" w:hAnsi="Times New Roman" w:cs="Times New Roman"/>
          <w:sz w:val="22"/>
          <w:szCs w:val="22"/>
        </w:rPr>
      </w:pPr>
      <w:r w:rsidRPr="00472BA8">
        <w:rPr>
          <w:rFonts w:ascii="Times New Roman" w:eastAsia="Times New Roman" w:hAnsi="Times New Roman" w:cs="Times New Roman"/>
          <w:b w:val="0"/>
          <w:sz w:val="22"/>
          <w:szCs w:val="22"/>
        </w:rPr>
        <w:t>“</w:t>
      </w:r>
      <w:r w:rsidRPr="00472BA8">
        <w:rPr>
          <w:rFonts w:ascii="Times New Roman" w:eastAsia="Times New Roman" w:hAnsi="Times New Roman" w:cs="Times New Roman"/>
          <w:b w:val="0"/>
          <w:sz w:val="22"/>
          <w:szCs w:val="22"/>
          <w:u w:val="single"/>
        </w:rPr>
        <w:t>Individual</w:t>
      </w:r>
      <w:r w:rsidRPr="00472BA8">
        <w:rPr>
          <w:rFonts w:ascii="Times New Roman" w:eastAsia="Times New Roman" w:hAnsi="Times New Roman" w:cs="Times New Roman"/>
          <w:b w:val="0"/>
          <w:sz w:val="22"/>
          <w:szCs w:val="22"/>
        </w:rPr>
        <w:t>” shall have the meaning ascribed to it under 45 CFR 160.103 and shall include a person who qualifies as a personal representative in accordance with 45 CFR 164.502(g) or other applicable federal or state law.</w:t>
      </w:r>
    </w:p>
    <w:p w14:paraId="19C70508" w14:textId="77777777" w:rsidR="00CC582C" w:rsidRPr="00472BA8" w:rsidRDefault="00000000">
      <w:pPr>
        <w:numPr>
          <w:ilvl w:val="0"/>
          <w:numId w:val="1"/>
        </w:numPr>
        <w:pBdr>
          <w:top w:val="nil"/>
          <w:left w:val="nil"/>
          <w:bottom w:val="nil"/>
          <w:right w:val="nil"/>
          <w:between w:val="nil"/>
        </w:pBdr>
        <w:spacing w:after="240"/>
        <w:jc w:val="left"/>
        <w:rPr>
          <w:rFonts w:ascii="Times New Roman" w:hAnsi="Times New Roman" w:cs="Times New Roman"/>
          <w:color w:val="000000"/>
          <w:sz w:val="22"/>
          <w:szCs w:val="22"/>
        </w:rPr>
      </w:pPr>
      <w:r w:rsidRPr="00472BA8">
        <w:rPr>
          <w:rFonts w:ascii="Times New Roman" w:eastAsia="Times New Roman" w:hAnsi="Times New Roman" w:cs="Times New Roman"/>
          <w:color w:val="000000"/>
          <w:sz w:val="22"/>
          <w:szCs w:val="22"/>
        </w:rPr>
        <w:t>“</w:t>
      </w:r>
      <w:r w:rsidRPr="00472BA8">
        <w:rPr>
          <w:rFonts w:ascii="Times New Roman" w:eastAsia="Times New Roman" w:hAnsi="Times New Roman" w:cs="Times New Roman"/>
          <w:color w:val="000000"/>
          <w:sz w:val="22"/>
          <w:szCs w:val="22"/>
          <w:u w:val="single"/>
        </w:rPr>
        <w:t>Process</w:t>
      </w:r>
      <w:r w:rsidRPr="00472BA8">
        <w:rPr>
          <w:rFonts w:ascii="Times New Roman" w:eastAsia="Times New Roman" w:hAnsi="Times New Roman" w:cs="Times New Roman"/>
          <w:color w:val="000000"/>
          <w:sz w:val="22"/>
          <w:szCs w:val="22"/>
        </w:rPr>
        <w:t>” means any operation or set of operations that are performed on information or on sets of information,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0318C76C" w14:textId="77777777" w:rsidR="00CC582C" w:rsidRPr="00472BA8" w:rsidRDefault="00000000">
      <w:pPr>
        <w:pStyle w:val="Heading1"/>
        <w:numPr>
          <w:ilvl w:val="0"/>
          <w:numId w:val="1"/>
        </w:numPr>
        <w:spacing w:before="0"/>
        <w:jc w:val="left"/>
        <w:rPr>
          <w:rFonts w:ascii="Times New Roman" w:hAnsi="Times New Roman" w:cs="Times New Roman"/>
          <w:sz w:val="22"/>
          <w:szCs w:val="22"/>
        </w:rPr>
      </w:pPr>
      <w:r w:rsidRPr="00472BA8">
        <w:rPr>
          <w:rFonts w:ascii="Times New Roman" w:eastAsia="Times New Roman" w:hAnsi="Times New Roman" w:cs="Times New Roman"/>
          <w:b w:val="0"/>
          <w:sz w:val="22"/>
          <w:szCs w:val="22"/>
        </w:rPr>
        <w:t>“</w:t>
      </w:r>
      <w:r w:rsidRPr="00472BA8">
        <w:rPr>
          <w:rFonts w:ascii="Times New Roman" w:eastAsia="Times New Roman" w:hAnsi="Times New Roman" w:cs="Times New Roman"/>
          <w:b w:val="0"/>
          <w:sz w:val="22"/>
          <w:szCs w:val="22"/>
          <w:u w:val="single"/>
        </w:rPr>
        <w:t>Protected Health Information</w:t>
      </w:r>
      <w:r w:rsidRPr="00472BA8">
        <w:rPr>
          <w:rFonts w:ascii="Times New Roman" w:eastAsia="Times New Roman" w:hAnsi="Times New Roman" w:cs="Times New Roman"/>
          <w:b w:val="0"/>
          <w:sz w:val="22"/>
          <w:szCs w:val="22"/>
        </w:rPr>
        <w:t>” or “</w:t>
      </w:r>
      <w:r w:rsidRPr="00472BA8">
        <w:rPr>
          <w:rFonts w:ascii="Times New Roman" w:eastAsia="Times New Roman" w:hAnsi="Times New Roman" w:cs="Times New Roman"/>
          <w:b w:val="0"/>
          <w:sz w:val="22"/>
          <w:szCs w:val="22"/>
          <w:u w:val="single"/>
        </w:rPr>
        <w:t>PHI</w:t>
      </w:r>
      <w:r w:rsidRPr="00472BA8">
        <w:rPr>
          <w:rFonts w:ascii="Times New Roman" w:eastAsia="Times New Roman" w:hAnsi="Times New Roman" w:cs="Times New Roman"/>
          <w:b w:val="0"/>
          <w:sz w:val="22"/>
          <w:szCs w:val="22"/>
        </w:rPr>
        <w:t>” shall have the meaning ascribed to it in 45 CFR 160.103, but is limited to information Processed for, or on behalf of, Customer while providing HIPAA-Eligible Services.</w:t>
      </w:r>
    </w:p>
    <w:p w14:paraId="68A72098" w14:textId="77777777" w:rsidR="00CC582C" w:rsidRPr="00472BA8" w:rsidRDefault="00000000">
      <w:pPr>
        <w:pStyle w:val="Heading1"/>
        <w:numPr>
          <w:ilvl w:val="0"/>
          <w:numId w:val="1"/>
        </w:numPr>
        <w:spacing w:before="0"/>
        <w:jc w:val="left"/>
        <w:rPr>
          <w:rFonts w:ascii="Times New Roman" w:hAnsi="Times New Roman" w:cs="Times New Roman"/>
          <w:sz w:val="22"/>
          <w:szCs w:val="22"/>
        </w:rPr>
      </w:pPr>
      <w:r w:rsidRPr="00472BA8">
        <w:rPr>
          <w:rFonts w:ascii="Times New Roman" w:eastAsia="Times New Roman" w:hAnsi="Times New Roman" w:cs="Times New Roman"/>
          <w:b w:val="0"/>
          <w:sz w:val="22"/>
          <w:szCs w:val="22"/>
        </w:rPr>
        <w:t>“</w:t>
      </w:r>
      <w:r w:rsidRPr="00472BA8">
        <w:rPr>
          <w:rFonts w:ascii="Times New Roman" w:eastAsia="Times New Roman" w:hAnsi="Times New Roman" w:cs="Times New Roman"/>
          <w:b w:val="0"/>
          <w:sz w:val="22"/>
          <w:szCs w:val="22"/>
          <w:u w:val="single"/>
        </w:rPr>
        <w:t>Secure</w:t>
      </w:r>
      <w:r w:rsidRPr="00472BA8">
        <w:rPr>
          <w:rFonts w:ascii="Times New Roman" w:eastAsia="Times New Roman" w:hAnsi="Times New Roman" w:cs="Times New Roman"/>
          <w:b w:val="0"/>
          <w:sz w:val="22"/>
          <w:szCs w:val="22"/>
        </w:rPr>
        <w:t>” means to render unusable, unreadable, or indecipherable to unauthorized individuals through the use of a technology or methodology specified by the Secretary in the guidance issued under section 13402(h)(2) of the Health Information Technology for Economic and Clinical Health Act (the “</w:t>
      </w:r>
      <w:r w:rsidRPr="00472BA8">
        <w:rPr>
          <w:rFonts w:ascii="Times New Roman" w:eastAsia="Times New Roman" w:hAnsi="Times New Roman" w:cs="Times New Roman"/>
          <w:b w:val="0"/>
          <w:sz w:val="22"/>
          <w:szCs w:val="22"/>
          <w:u w:val="single"/>
        </w:rPr>
        <w:t>Guidance</w:t>
      </w:r>
      <w:r w:rsidRPr="00472BA8">
        <w:rPr>
          <w:rFonts w:ascii="Times New Roman" w:eastAsia="Times New Roman" w:hAnsi="Times New Roman" w:cs="Times New Roman"/>
          <w:b w:val="0"/>
          <w:sz w:val="22"/>
          <w:szCs w:val="22"/>
        </w:rPr>
        <w:t>”), as updated from time to time, which, in the case of electronic information, requires that it be encrypted in accordance with certain standards specified in the Guidance.</w:t>
      </w:r>
    </w:p>
    <w:p w14:paraId="6E9A676C" w14:textId="77777777" w:rsidR="00CC582C" w:rsidRPr="00472BA8" w:rsidRDefault="00000000">
      <w:pPr>
        <w:pStyle w:val="Heading1"/>
        <w:numPr>
          <w:ilvl w:val="0"/>
          <w:numId w:val="1"/>
        </w:numPr>
        <w:spacing w:before="0"/>
        <w:jc w:val="left"/>
        <w:rPr>
          <w:rFonts w:ascii="Times New Roman" w:hAnsi="Times New Roman" w:cs="Times New Roman"/>
          <w:sz w:val="22"/>
          <w:szCs w:val="22"/>
        </w:rPr>
      </w:pPr>
      <w:r w:rsidRPr="00472BA8">
        <w:rPr>
          <w:rFonts w:ascii="Times New Roman" w:eastAsia="Times New Roman" w:hAnsi="Times New Roman" w:cs="Times New Roman"/>
          <w:b w:val="0"/>
          <w:sz w:val="22"/>
          <w:szCs w:val="22"/>
        </w:rPr>
        <w:t>“</w:t>
      </w:r>
      <w:r w:rsidRPr="00472BA8">
        <w:rPr>
          <w:rFonts w:ascii="Times New Roman" w:eastAsia="Times New Roman" w:hAnsi="Times New Roman" w:cs="Times New Roman"/>
          <w:b w:val="0"/>
          <w:sz w:val="22"/>
          <w:szCs w:val="22"/>
          <w:u w:val="single"/>
        </w:rPr>
        <w:t>Security Incident</w:t>
      </w:r>
      <w:r w:rsidRPr="00472BA8">
        <w:rPr>
          <w:rFonts w:ascii="Times New Roman" w:eastAsia="Times New Roman" w:hAnsi="Times New Roman" w:cs="Times New Roman"/>
          <w:b w:val="0"/>
          <w:sz w:val="22"/>
          <w:szCs w:val="22"/>
        </w:rPr>
        <w:t>” means any access, use, disclosure, modification, transmission, or destruction, of PHI that is not authorized under the Services Agreement, this BAA, or is otherwise permissible under the HIPAA Rules.</w:t>
      </w:r>
    </w:p>
    <w:p w14:paraId="347E82E9" w14:textId="77777777" w:rsidR="00CC582C" w:rsidRPr="00472BA8" w:rsidRDefault="00000000">
      <w:pPr>
        <w:pStyle w:val="Heading1"/>
        <w:numPr>
          <w:ilvl w:val="0"/>
          <w:numId w:val="1"/>
        </w:numPr>
        <w:spacing w:before="0"/>
        <w:jc w:val="left"/>
        <w:rPr>
          <w:rFonts w:ascii="Times New Roman" w:hAnsi="Times New Roman" w:cs="Times New Roman"/>
          <w:sz w:val="22"/>
          <w:szCs w:val="22"/>
        </w:rPr>
      </w:pPr>
      <w:r w:rsidRPr="00472BA8">
        <w:rPr>
          <w:rFonts w:ascii="Times New Roman" w:eastAsia="Times New Roman" w:hAnsi="Times New Roman" w:cs="Times New Roman"/>
          <w:b w:val="0"/>
          <w:sz w:val="22"/>
          <w:szCs w:val="22"/>
        </w:rPr>
        <w:t>“</w:t>
      </w:r>
      <w:r w:rsidRPr="00472BA8">
        <w:rPr>
          <w:rFonts w:ascii="Times New Roman" w:eastAsia="Times New Roman" w:hAnsi="Times New Roman" w:cs="Times New Roman"/>
          <w:b w:val="0"/>
          <w:sz w:val="22"/>
          <w:szCs w:val="22"/>
          <w:u w:val="single"/>
        </w:rPr>
        <w:t>Unsecured PHI</w:t>
      </w:r>
      <w:r w:rsidRPr="00472BA8">
        <w:rPr>
          <w:rFonts w:ascii="Times New Roman" w:eastAsia="Times New Roman" w:hAnsi="Times New Roman" w:cs="Times New Roman"/>
          <w:b w:val="0"/>
          <w:sz w:val="22"/>
          <w:szCs w:val="22"/>
        </w:rPr>
        <w:t xml:space="preserve">” means PHI that is not rendered unusable, unreadable, or indecipherable to unauthorized persons </w:t>
      </w:r>
      <w:proofErr w:type="gramStart"/>
      <w:r w:rsidRPr="00472BA8">
        <w:rPr>
          <w:rFonts w:ascii="Times New Roman" w:eastAsia="Times New Roman" w:hAnsi="Times New Roman" w:cs="Times New Roman"/>
          <w:b w:val="0"/>
          <w:sz w:val="22"/>
          <w:szCs w:val="22"/>
        </w:rPr>
        <w:t>through the use of</w:t>
      </w:r>
      <w:proofErr w:type="gramEnd"/>
      <w:r w:rsidRPr="00472BA8">
        <w:rPr>
          <w:rFonts w:ascii="Times New Roman" w:eastAsia="Times New Roman" w:hAnsi="Times New Roman" w:cs="Times New Roman"/>
          <w:b w:val="0"/>
          <w:sz w:val="22"/>
          <w:szCs w:val="22"/>
        </w:rPr>
        <w:t xml:space="preserve"> a technology or methodology specified by the Secretary in the Guidance.</w:t>
      </w:r>
    </w:p>
    <w:p w14:paraId="7470F50A" w14:textId="77777777" w:rsidR="00CC582C" w:rsidRPr="00472BA8" w:rsidRDefault="00CC582C">
      <w:pPr>
        <w:pBdr>
          <w:top w:val="nil"/>
          <w:left w:val="nil"/>
          <w:bottom w:val="nil"/>
          <w:right w:val="nil"/>
          <w:between w:val="nil"/>
        </w:pBdr>
        <w:ind w:left="720"/>
        <w:rPr>
          <w:rFonts w:ascii="Times New Roman" w:hAnsi="Times New Roman" w:cs="Times New Roman"/>
          <w:color w:val="000000"/>
          <w:sz w:val="22"/>
          <w:szCs w:val="22"/>
        </w:rPr>
      </w:pPr>
    </w:p>
    <w:p w14:paraId="2C757D04" w14:textId="77777777" w:rsidR="00CC582C" w:rsidRPr="00472BA8" w:rsidRDefault="00CC582C">
      <w:pPr>
        <w:ind w:left="90"/>
        <w:jc w:val="left"/>
        <w:rPr>
          <w:rFonts w:ascii="Times New Roman" w:eastAsia="Calibri" w:hAnsi="Times New Roman" w:cs="Times New Roman"/>
          <w:b/>
          <w:sz w:val="22"/>
          <w:szCs w:val="22"/>
        </w:rPr>
      </w:pPr>
    </w:p>
    <w:sectPr w:rsidR="00CC582C" w:rsidRPr="00472BA8">
      <w:headerReference w:type="default" r:id="rId7"/>
      <w:footerReference w:type="even" r:id="rId8"/>
      <w:footerReference w:type="default" r:id="rId9"/>
      <w:headerReference w:type="first" r:id="rId10"/>
      <w:footerReference w:type="first" r:id="rId11"/>
      <w:pgSz w:w="11906" w:h="16838"/>
      <w:pgMar w:top="720" w:right="720" w:bottom="720" w:left="720" w:header="352" w:footer="6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95BB" w14:textId="77777777" w:rsidR="003A58EE" w:rsidRDefault="003A58EE">
      <w:r>
        <w:separator/>
      </w:r>
    </w:p>
  </w:endnote>
  <w:endnote w:type="continuationSeparator" w:id="0">
    <w:p w14:paraId="0FACC71E" w14:textId="77777777" w:rsidR="003A58EE" w:rsidRDefault="003A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832B" w14:textId="77777777" w:rsidR="00CC582C" w:rsidRDefault="00CC582C">
    <w:pPr>
      <w:pBdr>
        <w:top w:val="nil"/>
        <w:left w:val="nil"/>
        <w:bottom w:val="nil"/>
        <w:right w:val="nil"/>
        <w:between w:val="nil"/>
      </w:pBdr>
      <w:tabs>
        <w:tab w:val="center" w:pos="4320"/>
        <w:tab w:val="right" w:pos="8640"/>
      </w:tabs>
      <w:jc w:val="left"/>
      <w:rPr>
        <w:color w:val="000000"/>
        <w:sz w:val="12"/>
        <w:szCs w:val="12"/>
      </w:rPr>
    </w:pPr>
  </w:p>
  <w:p w14:paraId="77D02BAE" w14:textId="77777777" w:rsidR="0085090C" w:rsidRDefault="00000000">
    <w:pPr>
      <w:pBdr>
        <w:top w:val="nil"/>
        <w:left w:val="nil"/>
        <w:bottom w:val="nil"/>
        <w:right w:val="nil"/>
        <w:between w:val="nil"/>
      </w:pBdr>
      <w:tabs>
        <w:tab w:val="center" w:pos="4320"/>
        <w:tab w:val="right" w:pos="8640"/>
      </w:tabs>
      <w:jc w:val="center"/>
      <w:rPr>
        <w:b/>
        <w:color w:val="000000"/>
        <w:sz w:val="12"/>
        <w:szCs w:val="12"/>
        <w:highlight w:val="yellow"/>
      </w:rPr>
    </w:pPr>
    <w:r>
      <w:rPr>
        <w:color w:val="000000"/>
        <w:sz w:val="12"/>
        <w:szCs w:val="12"/>
      </w:rPr>
      <w:fldChar w:fldCharType="begin"/>
    </w:r>
    <w:r>
      <w:rPr>
        <w:color w:val="000000"/>
        <w:sz w:val="12"/>
        <w:szCs w:val="12"/>
      </w:rPr>
      <w:instrText>PAGE</w:instrText>
    </w:r>
    <w:r>
      <w:rPr>
        <w:color w:val="000000"/>
        <w:sz w:val="12"/>
        <w:szCs w:val="12"/>
      </w:rPr>
      <w:fldChar w:fldCharType="separate"/>
    </w:r>
    <w:r>
      <w:rPr>
        <w:color w:val="000000"/>
        <w:sz w:val="12"/>
        <w:szCs w:val="12"/>
      </w:rPr>
      <w:fldChar w:fldCharType="end"/>
    </w:r>
    <w:r>
      <w:rPr>
        <w:b/>
        <w:color w:val="000000"/>
        <w:sz w:val="12"/>
        <w:szCs w:val="12"/>
      </w:rPr>
      <w:t xml:space="preserve">template1 </w:t>
    </w:r>
    <w:r>
      <w:rPr>
        <w:b/>
        <w:color w:val="000000"/>
        <w:sz w:val="12"/>
        <w:szCs w:val="12"/>
        <w:highlight w:val="yellow"/>
      </w:rPr>
      <w:t>[</w:t>
    </w:r>
  </w:p>
  <w:p w14:paraId="1CE3F796" w14:textId="77777777" w:rsidR="0085090C" w:rsidRDefault="0085090C">
    <w:pPr>
      <w:pBdr>
        <w:top w:val="nil"/>
        <w:left w:val="nil"/>
        <w:bottom w:val="nil"/>
        <w:right w:val="nil"/>
        <w:between w:val="nil"/>
      </w:pBdr>
      <w:tabs>
        <w:tab w:val="center" w:pos="4320"/>
        <w:tab w:val="right" w:pos="8640"/>
      </w:tabs>
      <w:jc w:val="center"/>
      <w:rPr>
        <w:b/>
        <w:color w:val="000000"/>
        <w:sz w:val="12"/>
        <w:szCs w:val="12"/>
        <w:highlight w:val="yellow"/>
      </w:rPr>
    </w:pPr>
  </w:p>
  <w:p w14:paraId="032BBFD9" w14:textId="0828B63D" w:rsidR="00CC582C" w:rsidRDefault="00000000">
    <w:pPr>
      <w:pBdr>
        <w:top w:val="nil"/>
        <w:left w:val="nil"/>
        <w:bottom w:val="nil"/>
        <w:right w:val="nil"/>
        <w:between w:val="nil"/>
      </w:pBdr>
      <w:tabs>
        <w:tab w:val="center" w:pos="4320"/>
        <w:tab w:val="right" w:pos="8640"/>
      </w:tabs>
      <w:jc w:val="center"/>
      <w:rPr>
        <w:color w:val="000000"/>
        <w:sz w:val="12"/>
        <w:szCs w:val="12"/>
      </w:rPr>
    </w:pPr>
    <w:proofErr w:type="spellStart"/>
    <w:proofErr w:type="gramStart"/>
    <w:r>
      <w:rPr>
        <w:b/>
        <w:color w:val="000000"/>
        <w:sz w:val="12"/>
        <w:szCs w:val="12"/>
        <w:highlight w:val="yellow"/>
      </w:rPr>
      <w:t>taylor.wessing</w:t>
    </w:r>
    <w:proofErr w:type="spellEnd"/>
    <w:proofErr w:type="gramEnd"/>
    <w:r>
      <w:rPr>
        <w:b/>
        <w:color w:val="000000"/>
        <w:sz w:val="12"/>
        <w:szCs w:val="12"/>
        <w:highlight w:val="yellow"/>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6009" w14:textId="77777777" w:rsidR="00CC582C" w:rsidRDefault="00000000">
    <w:pPr>
      <w:pBdr>
        <w:top w:val="nil"/>
        <w:left w:val="nil"/>
        <w:bottom w:val="nil"/>
        <w:right w:val="nil"/>
        <w:between w:val="nil"/>
      </w:pBdr>
      <w:tabs>
        <w:tab w:val="center" w:pos="4320"/>
        <w:tab w:val="right" w:pos="8640"/>
        <w:tab w:val="left" w:pos="-92"/>
        <w:tab w:val="center" w:pos="4680"/>
      </w:tabs>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E7583B">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E7583B">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6A7E313A" w14:textId="77777777" w:rsidR="00CC582C" w:rsidRDefault="00CC582C">
    <w:pPr>
      <w:pBdr>
        <w:top w:val="nil"/>
        <w:left w:val="nil"/>
        <w:bottom w:val="nil"/>
        <w:right w:val="nil"/>
        <w:between w:val="nil"/>
      </w:pBdr>
      <w:tabs>
        <w:tab w:val="center" w:pos="4320"/>
        <w:tab w:val="right" w:pos="8640"/>
      </w:tabs>
      <w:ind w:left="-751"/>
      <w:rPr>
        <w:color w:val="000000"/>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AF2C" w14:textId="77777777" w:rsidR="00CC582C" w:rsidRDefault="00CC582C">
    <w:pPr>
      <w:pBdr>
        <w:top w:val="nil"/>
        <w:left w:val="nil"/>
        <w:bottom w:val="nil"/>
        <w:right w:val="nil"/>
        <w:between w:val="nil"/>
      </w:pBdr>
      <w:tabs>
        <w:tab w:val="center" w:pos="4320"/>
        <w:tab w:val="right" w:pos="8640"/>
      </w:tabs>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3EF6" w14:textId="77777777" w:rsidR="003A58EE" w:rsidRDefault="003A58EE">
      <w:r>
        <w:separator/>
      </w:r>
    </w:p>
  </w:footnote>
  <w:footnote w:type="continuationSeparator" w:id="0">
    <w:p w14:paraId="2F1E58D8" w14:textId="77777777" w:rsidR="003A58EE" w:rsidRDefault="003A5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E8A8" w14:textId="7D27C306" w:rsidR="00CC582C" w:rsidRPr="009C17C8" w:rsidRDefault="00022A02" w:rsidP="009C17C8">
    <w:pPr>
      <w:jc w:val="center"/>
      <w:rPr>
        <w:rFonts w:ascii="Times New Roman" w:eastAsia="Calibri" w:hAnsi="Times New Roman" w:cs="Times New Roman"/>
        <w:color w:val="000000"/>
        <w:sz w:val="18"/>
        <w:szCs w:val="18"/>
      </w:rPr>
    </w:pPr>
    <w:r w:rsidRPr="009C17C8">
      <w:rPr>
        <w:rFonts w:ascii="Times New Roman" w:eastAsia="Calibri" w:hAnsi="Times New Roman" w:cs="Times New Roman"/>
        <w:color w:val="000000"/>
        <w:sz w:val="18"/>
        <w:szCs w:val="18"/>
      </w:rPr>
      <w:t>This BAA for AI SaaS companies does not constitute legal advic</w:t>
    </w:r>
    <w:r w:rsidR="009C17C8" w:rsidRPr="009C17C8">
      <w:rPr>
        <w:rFonts w:ascii="Times New Roman" w:eastAsia="Calibri" w:hAnsi="Times New Roman" w:cs="Times New Roman"/>
        <w:color w:val="000000"/>
        <w:sz w:val="18"/>
        <w:szCs w:val="18"/>
      </w:rPr>
      <w:t>e. Consult a lawyer before using.</w:t>
    </w:r>
    <w:r w:rsidRPr="009C17C8">
      <w:rPr>
        <w:rFonts w:ascii="Times New Roman" w:eastAsia="Calibri" w:hAnsi="Times New Roman" w:cs="Times New Roman"/>
        <w:color w:val="000000"/>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61C6" w14:textId="77777777" w:rsidR="00CC582C" w:rsidRDefault="00CC582C">
    <w:pPr>
      <w:pBdr>
        <w:top w:val="nil"/>
        <w:left w:val="nil"/>
        <w:bottom w:val="nil"/>
        <w:right w:val="nil"/>
        <w:between w:val="nil"/>
      </w:pBdr>
      <w:ind w:left="6480" w:firstLin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736C"/>
    <w:multiLevelType w:val="multilevel"/>
    <w:tmpl w:val="70C4AF4A"/>
    <w:lvl w:ilvl="0">
      <w:start w:val="1"/>
      <w:numFmt w:val="lowerLetter"/>
      <w:lvlText w:val="%1."/>
      <w:lvlJc w:val="left"/>
      <w:pPr>
        <w:ind w:left="450" w:hanging="360"/>
      </w:pPr>
      <w:rPr>
        <w:rFonts w:ascii="Times New Roman" w:eastAsia="Times New Roman" w:hAnsi="Times New Roman" w:cs="Times New Roman"/>
        <w:b w:val="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4DD238EE"/>
    <w:multiLevelType w:val="multilevel"/>
    <w:tmpl w:val="6F3476B4"/>
    <w:lvl w:ilvl="0">
      <w:start w:val="1"/>
      <w:numFmt w:val="decimal"/>
      <w:lvlText w:val="%1"/>
      <w:lvlJc w:val="left"/>
      <w:pPr>
        <w:ind w:left="0" w:firstLine="0"/>
      </w:pPr>
    </w:lvl>
    <w:lvl w:ilvl="1">
      <w:start w:val="1"/>
      <w:numFmt w:val="decimal"/>
      <w:lvlText w:val="%2."/>
      <w:lvlJc w:val="left"/>
      <w:pPr>
        <w:ind w:left="720" w:hanging="720"/>
      </w:pPr>
    </w:lvl>
    <w:lvl w:ilvl="2">
      <w:start w:val="1"/>
      <w:numFmt w:val="decimal"/>
      <w:lvlText w:val="%2.%3"/>
      <w:lvlJc w:val="left"/>
      <w:pPr>
        <w:ind w:left="720" w:hanging="720"/>
      </w:pPr>
      <w:rPr>
        <w:rFonts w:ascii="Times New Roman" w:eastAsia="Times New Roman" w:hAnsi="Times New Roman" w:cs="Times New Roman"/>
        <w:b w:val="0"/>
        <w:i w:val="0"/>
        <w:sz w:val="20"/>
        <w:szCs w:val="20"/>
      </w:rPr>
    </w:lvl>
    <w:lvl w:ilvl="3">
      <w:start w:val="1"/>
      <w:numFmt w:val="lowerLetter"/>
      <w:lvlText w:val="(%4)"/>
      <w:lvlJc w:val="left"/>
      <w:pPr>
        <w:ind w:left="1440" w:hanging="720"/>
      </w:pPr>
      <w:rPr>
        <w:b w:val="0"/>
        <w:i w:val="0"/>
      </w:rPr>
    </w:lvl>
    <w:lvl w:ilvl="4">
      <w:start w:val="1"/>
      <w:numFmt w:val="lowerRoman"/>
      <w:lvlText w:val="(%5)"/>
      <w:lvlJc w:val="left"/>
      <w:pPr>
        <w:ind w:left="2160" w:hanging="720"/>
      </w:pPr>
      <w:rPr>
        <w:b w:val="0"/>
        <w:i w:val="0"/>
        <w:u w:val="none"/>
      </w:rPr>
    </w:lvl>
    <w:lvl w:ilvl="5">
      <w:start w:val="1"/>
      <w:numFmt w:val="upperLetter"/>
      <w:lvlText w:val="(%6)"/>
      <w:lvlJc w:val="left"/>
      <w:pPr>
        <w:ind w:left="2880" w:hanging="720"/>
      </w:pPr>
      <w:rPr>
        <w:b w:val="0"/>
        <w:i w:val="0"/>
      </w:rPr>
    </w:lvl>
    <w:lvl w:ilvl="6">
      <w:start w:val="1"/>
      <w:numFmt w:val="upperRoman"/>
      <w:lvlText w:val="(%7)"/>
      <w:lvlJc w:val="left"/>
      <w:pPr>
        <w:ind w:left="3600" w:hanging="720"/>
      </w:pPr>
    </w:lvl>
    <w:lvl w:ilvl="7">
      <w:start w:val="1"/>
      <w:numFmt w:val="decimal"/>
      <w:lvlText w:val=""/>
      <w:lvlJc w:val="left"/>
      <w:pPr>
        <w:ind w:left="4321" w:hanging="721"/>
      </w:pPr>
    </w:lvl>
    <w:lvl w:ilvl="8">
      <w:start w:val="1"/>
      <w:numFmt w:val="decimal"/>
      <w:lvlText w:val=""/>
      <w:lvlJc w:val="left"/>
      <w:pPr>
        <w:ind w:left="5041" w:hanging="720"/>
      </w:pPr>
    </w:lvl>
  </w:abstractNum>
  <w:num w:numId="1" w16cid:durableId="1468158546">
    <w:abstractNumId w:val="0"/>
  </w:num>
  <w:num w:numId="2" w16cid:durableId="65615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82C"/>
    <w:rsid w:val="00022A02"/>
    <w:rsid w:val="00053208"/>
    <w:rsid w:val="00083A2D"/>
    <w:rsid w:val="00193787"/>
    <w:rsid w:val="001B0F93"/>
    <w:rsid w:val="002760D0"/>
    <w:rsid w:val="00295EFB"/>
    <w:rsid w:val="0037244E"/>
    <w:rsid w:val="003A1A73"/>
    <w:rsid w:val="003A58EE"/>
    <w:rsid w:val="003D36A3"/>
    <w:rsid w:val="003F2897"/>
    <w:rsid w:val="00471FA8"/>
    <w:rsid w:val="00472BA8"/>
    <w:rsid w:val="004B668A"/>
    <w:rsid w:val="004E565F"/>
    <w:rsid w:val="004F190F"/>
    <w:rsid w:val="005844EE"/>
    <w:rsid w:val="005D7902"/>
    <w:rsid w:val="0065495C"/>
    <w:rsid w:val="006E3FF6"/>
    <w:rsid w:val="0085090C"/>
    <w:rsid w:val="008A2D32"/>
    <w:rsid w:val="00904DAB"/>
    <w:rsid w:val="00914B66"/>
    <w:rsid w:val="0093799E"/>
    <w:rsid w:val="009C17C8"/>
    <w:rsid w:val="00A00C93"/>
    <w:rsid w:val="00AF2A40"/>
    <w:rsid w:val="00B85B62"/>
    <w:rsid w:val="00B911E2"/>
    <w:rsid w:val="00BA5A0B"/>
    <w:rsid w:val="00BB7595"/>
    <w:rsid w:val="00C80C14"/>
    <w:rsid w:val="00C9597C"/>
    <w:rsid w:val="00CC582C"/>
    <w:rsid w:val="00CE0F30"/>
    <w:rsid w:val="00D33107"/>
    <w:rsid w:val="00DB1411"/>
    <w:rsid w:val="00E7583B"/>
    <w:rsid w:val="00F85357"/>
    <w:rsid w:val="00FD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066C"/>
  <w15:docId w15:val="{95CDC0BA-D1CE-E645-B685-64222604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240"/>
      <w:ind w:left="1440" w:hanging="720"/>
      <w:outlineLvl w:val="0"/>
    </w:pPr>
    <w:rPr>
      <w:b/>
    </w:rPr>
  </w:style>
  <w:style w:type="paragraph" w:styleId="Heading2">
    <w:name w:val="heading 2"/>
    <w:basedOn w:val="Normal"/>
    <w:next w:val="Normal"/>
    <w:uiPriority w:val="9"/>
    <w:semiHidden/>
    <w:unhideWhenUsed/>
    <w:qFormat/>
    <w:pPr>
      <w:keepNext/>
      <w:spacing w:after="240"/>
      <w:ind w:left="2160" w:hanging="720"/>
      <w:outlineLvl w:val="1"/>
    </w:pPr>
    <w:rPr>
      <w:i/>
    </w:rPr>
  </w:style>
  <w:style w:type="paragraph" w:styleId="Heading3">
    <w:name w:val="heading 3"/>
    <w:basedOn w:val="Normal"/>
    <w:next w:val="Normal"/>
    <w:uiPriority w:val="9"/>
    <w:semiHidden/>
    <w:unhideWhenUsed/>
    <w:qFormat/>
    <w:pPr>
      <w:keepNext/>
      <w:spacing w:after="240"/>
      <w:ind w:left="2880" w:hanging="720"/>
      <w:outlineLvl w:val="2"/>
    </w:pPr>
    <w:rPr>
      <w:i/>
    </w:rPr>
  </w:style>
  <w:style w:type="paragraph" w:styleId="Heading4">
    <w:name w:val="heading 4"/>
    <w:basedOn w:val="Normal"/>
    <w:next w:val="Normal"/>
    <w:uiPriority w:val="9"/>
    <w:semiHidden/>
    <w:unhideWhenUsed/>
    <w:qFormat/>
    <w:pPr>
      <w:keepNext/>
      <w:spacing w:after="240"/>
      <w:ind w:left="3600" w:hanging="720"/>
      <w:outlineLvl w:val="3"/>
    </w:pPr>
    <w:rPr>
      <w:i/>
    </w:rPr>
  </w:style>
  <w:style w:type="paragraph" w:styleId="Heading5">
    <w:name w:val="heading 5"/>
    <w:basedOn w:val="Normal"/>
    <w:next w:val="Normal"/>
    <w:uiPriority w:val="9"/>
    <w:semiHidden/>
    <w:unhideWhenUsed/>
    <w:qFormat/>
    <w:pPr>
      <w:keepNext/>
      <w:spacing w:after="240"/>
      <w:ind w:left="4320" w:hanging="720"/>
      <w:outlineLvl w:val="4"/>
    </w:pPr>
    <w:rPr>
      <w:i/>
    </w:rPr>
  </w:style>
  <w:style w:type="paragraph" w:styleId="Heading6">
    <w:name w:val="heading 6"/>
    <w:basedOn w:val="Normal"/>
    <w:next w:val="Normal"/>
    <w:uiPriority w:val="9"/>
    <w:semiHidden/>
    <w:unhideWhenUsed/>
    <w:qFormat/>
    <w:pPr>
      <w:spacing w:after="240"/>
      <w:outlineLvl w:val="5"/>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spacing w:before="240" w:after="240"/>
      <w:jc w:val="center"/>
    </w:pPr>
    <w:rPr>
      <w:b/>
    </w:rPr>
  </w:style>
  <w:style w:type="paragraph" w:styleId="Subtitle">
    <w:name w:val="Subtitle"/>
    <w:basedOn w:val="Normal"/>
    <w:next w:val="Normal"/>
    <w:uiPriority w:val="11"/>
    <w:qFormat/>
    <w:pPr>
      <w:spacing w:after="60"/>
      <w:jc w:val="center"/>
    </w:p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F2A40"/>
    <w:pPr>
      <w:tabs>
        <w:tab w:val="center" w:pos="4680"/>
        <w:tab w:val="right" w:pos="9360"/>
      </w:tabs>
    </w:pPr>
  </w:style>
  <w:style w:type="character" w:customStyle="1" w:styleId="HeaderChar">
    <w:name w:val="Header Char"/>
    <w:basedOn w:val="DefaultParagraphFont"/>
    <w:link w:val="Header"/>
    <w:uiPriority w:val="99"/>
    <w:rsid w:val="00AF2A40"/>
  </w:style>
  <w:style w:type="paragraph" w:styleId="CommentSubject">
    <w:name w:val="annotation subject"/>
    <w:basedOn w:val="CommentText"/>
    <w:next w:val="CommentText"/>
    <w:link w:val="CommentSubjectChar"/>
    <w:uiPriority w:val="99"/>
    <w:semiHidden/>
    <w:unhideWhenUsed/>
    <w:rsid w:val="003A1A73"/>
    <w:rPr>
      <w:b/>
      <w:bCs/>
    </w:rPr>
  </w:style>
  <w:style w:type="character" w:customStyle="1" w:styleId="CommentSubjectChar">
    <w:name w:val="Comment Subject Char"/>
    <w:basedOn w:val="CommentTextChar"/>
    <w:link w:val="CommentSubject"/>
    <w:uiPriority w:val="99"/>
    <w:semiHidden/>
    <w:rsid w:val="003A1A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2749</Words>
  <Characters>15671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Ridge</dc:creator>
  <cp:lastModifiedBy>General Legal</cp:lastModifiedBy>
  <cp:revision>2</cp:revision>
  <dcterms:created xsi:type="dcterms:W3CDTF">2026-02-18T04:32:00Z</dcterms:created>
  <dcterms:modified xsi:type="dcterms:W3CDTF">2026-02-18T04:32:00Z</dcterms:modified>
</cp:coreProperties>
</file>