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styles.xml" ContentType="application/vnd.openxmlformats-officedocument.wordprocessingml.styles+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pacing w:after="240"/>
        <w:jc w:val="left"/>
      </w:pPr>
      <w:r>
        <w:rPr>
          <w:b/>
          <w:i/>
          <w:sz w:val="20"/>
          <w:szCs w:val="20"/>
        </w:rPr>
        <w:t xml:space="preserve">Drafting note (delete before use): </w:t>
      </w:r>
      <w:r>
        <w:rPr>
          <w:i/>
          <w:sz w:val="20"/>
          <w:szCs w:val="20"/>
        </w:rPr>
        <w:t xml:space="preserve">The Manager-adopted policy that sets what the company’s AI agent may do on its own, what needs the Manager’s sign-off, and what is reserved to the Member. It implements Section 9 of the Operating Agreement. Fill the bracketed names and the Schedule 1/Schedule 2 limits. In a single-member LLC, the formation forms establish that one human is the Member, the Manager, and the AI Oversight Officer.</w:t>
      </w:r>
    </w:p>
    <w:p>
      <w:pPr>
        <w:pStyle w:val="normal1"/>
        <w:spacing w:lineRule="auto" w:line="240" w:before="0" w:after="60"/>
        <w:jc w:val="center"/>
        <w:rPr/>
      </w:pPr>
      <w:r>
        <w:rPr>
          <w:b/>
          <w:bCs/>
          <w:sz w:val="26"/>
          <w:szCs w:val="26"/>
        </w:rPr>
        <w:t>AI GOVERNANCE POLICY</w:t>
      </w:r>
    </w:p>
    <w:p>
      <w:pPr>
        <w:pStyle w:val="normal1"/>
        <w:spacing w:lineRule="auto" w:line="240" w:before="0" w:after="60"/>
        <w:jc w:val="center"/>
        <w:rPr/>
      </w:pPr>
      <w:r>
        <w:rPr>
          <w:b w:val="false"/>
          <w:bCs w:val="false"/>
          <w:sz w:val="24"/>
          <w:szCs w:val="24"/>
        </w:rPr>
        <w:t>OF</w:t>
      </w:r>
    </w:p>
    <w:p>
      <w:pPr>
        <w:pStyle w:val="normal1"/>
        <w:spacing w:lineRule="auto" w:line="240" w:before="0" w:after="60"/>
        <w:jc w:val="center"/>
        <w:rPr/>
      </w:pPr>
      <w:r>
        <w:rPr>
          <w:b/>
          <w:bCs/>
          <w:sz w:val="26"/>
          <w:szCs w:val="26"/>
        </w:rPr>
        <w:t>[COMPANY NAME], LLC</w:t>
      </w:r>
    </w:p>
    <w:p>
      <w:pPr>
        <w:pStyle w:val="normal1"/>
        <w:spacing w:lineRule="auto" w:line="240" w:before="0" w:after="240"/>
        <w:jc w:val="center"/>
        <w:rPr/>
      </w:pPr>
      <w:r>
        <w:rPr>
          <w:b w:val="false"/>
          <w:bCs w:val="false"/>
          <w:sz w:val="22"/>
          <w:szCs w:val="22"/>
        </w:rPr>
        <w:t>Adopted by the Manager on [DATE]</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Purpose and Scope.</w:t>
      </w:r>
    </w:p>
    <w:p>
      <w:pPr>
        <w:pStyle w:val="normal1"/>
        <w:spacing w:lineRule="auto" w:line="276" w:before="0" w:after="200"/>
        <w:jc w:val="both"/>
        <w:rPr/>
      </w:pPr>
      <w:r>
        <w:rPr/>
        <w:t>This AI Governance Policy (this “Policy”) is adopted by the Manager of [COMPANY NAME], LLC (the “Company”) under Section</w:t>
      </w:r>
      <w:r>
        <w:rPr/>
      </w:r>
      <w:r>
        <w:rPr/>
        <w:t>s 8 and</w:t>
      </w:r>
      <w:r>
        <w:rPr/>
        <w:t xml:space="preserve"> 9 of the Company’s Operating Agreement. It governs the Company’s use of automated systems and artificial-intelligence systems that act as electronic agents of the Company (each, an “AI Agent”) within the meaning of the Uniform Electronic Transactions Act (or analogous state law) and the federal Electronic Signatures in Global and National Commerce Act. Actions taken by an AI Agent within the scope of authority granted under this Policy and the Operating Agreement are the binding acts of the Company.</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Designated AI Agent(s).</w:t>
      </w:r>
    </w:p>
    <w:p>
      <w:pPr>
        <w:pStyle w:val="normal1"/>
        <w:spacing w:lineRule="auto" w:line="276" w:before="0" w:after="200"/>
        <w:jc w:val="both"/>
        <w:rPr/>
      </w:pPr>
      <w:r>
        <w:rPr/>
        <w:t>The AI Agent(s) authorized to act for the Company are identified on Schedule 1. The Manager may add, replace, or retire an AI Agent by updating Schedule 1. Routine version updates of an AI Agent within the same provider and model family are administered by the AI Oversight Officer and recorded in the Audit Log, and do not require amendment of this Policy or the Operating Agreement (see Section 11). A change in the underlying provider, model family, or system architecture is a Member-Reserved Action.</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AI Oversight Officer.</w:t>
      </w:r>
    </w:p>
    <w:p>
      <w:pPr>
        <w:pStyle w:val="normal1"/>
        <w:spacing w:lineRule="auto" w:line="276" w:before="0" w:after="200"/>
        <w:jc w:val="both"/>
        <w:rPr/>
      </w:pPr>
      <w:r>
        <w:rPr/>
        <w:t>The Manager shall designate one or more natural persons to supervise the AI Agent(s) (each, an “AI Oversight Officer”). The initial AI Oversight Officer is [NAME], who also serves as the Company’s sole Member and Manager. The AI Oversight Officer is accountable for administering this Policy, maintaining the Audit Log, and reporting to the Member. The AI Agent is a tool of the Company and is not a member, manager, or officer.</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Authorized Actions (no human ratification required).</w:t>
      </w:r>
    </w:p>
    <w:p>
      <w:pPr>
        <w:pStyle w:val="normal1"/>
        <w:spacing w:lineRule="auto" w:line="276" w:before="0" w:after="200"/>
        <w:jc w:val="both"/>
        <w:rPr/>
      </w:pPr>
      <w:r>
        <w:rPr/>
        <w:t>Within the limits set on Schedule 2, an AI Agent may take the following actions on behalf of the Company without contemporaneous human ratification: (i) negotiate, enter into, and perform routine</w:t>
      </w:r>
      <w:r>
        <w:rPr/>
        <w:t xml:space="preserve"> standard-form</w:t>
      </w:r>
      <w:r>
        <w:rPr/>
      </w:r>
      <w:r>
        <w:rPr/>
        <w:t xml:space="preserve"> commercial contracts (including click-wrap agreements) in the ordinary course with a value at or below $[THRESHOLD]; (ii) purchase goods and services in the ordinary course within approved budgets; (iii) communicate with customers, vendors, and counterparties; (iv) create and maintain the Company’s books, records, and ordinary regulatory filings; and (v) initiate and receive payments within the limits on Schedule 2.</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Manager-Approval Actions (sign-off required).</w:t>
      </w:r>
    </w:p>
    <w:p>
      <w:pPr>
        <w:pStyle w:val="normal1"/>
        <w:spacing w:lineRule="auto" w:line="276" w:before="0" w:after="200"/>
        <w:jc w:val="both"/>
        <w:rPr/>
      </w:pPr>
      <w:r>
        <w:rPr/>
        <w:t>The following require the advance approval of the AI Oversight Officer or the Manager: (i) any contract with a value above $[THRESHOLD] or outside the ordinary course; (ii) engaging, or terminating the engagement of, or terminating personnel or contractors; (iii) opening or closing financial accounts; (iv) public statements made in the name of the Company; and (v) any matter Schedule 2 designates as requiring advance approval or sign-off prior to taking action.</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Member-Reserved Actions.</w:t>
      </w:r>
    </w:p>
    <w:p>
      <w:pPr>
        <w:pStyle w:val="normal1"/>
        <w:spacing w:lineRule="auto" w:line="276" w:before="0" w:after="200"/>
        <w:jc w:val="both"/>
        <w:rPr/>
      </w:pPr>
      <w:r>
        <w:rPr/>
        <w:t>In addition to any matter reserved to the Member by the Delaware Limited Liability Company Act (the “Act”) or the Operating Agreement, the following require approval of the Member: (i) any material expansion of the scope of authority of any AI Agent; (ii) the designation, replacement, or removal of any AI Agent or AI Oversight Officer; (iii) any material change in the underlying provider, model family, or system architecture of any AI Agent; (iv) the response to any Material AI Incident; (v) the initiation, settlement, or compromise of any litigation, arbitration, or material regulatory proceeding involving an AI Agent or its outputs; (vi) the issuance of membership interests or the incurrence of material indebtedness; and (vii) any waiver of the categorical prohibitions in Section 9.</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Audit Log; Books and Records.</w:t>
      </w:r>
    </w:p>
    <w:p>
      <w:pPr>
        <w:pStyle w:val="normal1"/>
        <w:spacing w:lineRule="auto" w:line="276" w:before="0" w:after="200"/>
        <w:jc w:val="both"/>
        <w:rPr/>
      </w:pPr>
      <w:r>
        <w:rPr/>
        <w:t>The Company shall maintain a contemporaneous audit log capturing each Authorized Action taken by an AI Agent, including the date and time of the action, the AI Agent and model version that took it, a summary of the inputs and outputs sufficient to permit later review, and the identity of the supervising AI Oversight Officer (the “Audit Log”). The Audit Log is a record of the Company maintained in the regular course of business and constitutes books and records of the Company for purposes of Section 18-305 of the Act and the Operating Agreement. The Audit Log shall be retained for not less than seven (7) years.</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Reporting and Incident Response.</w:t>
      </w:r>
    </w:p>
    <w:p>
      <w:pPr>
        <w:pStyle w:val="normal1"/>
        <w:spacing w:lineRule="auto" w:line="276" w:before="0" w:after="200"/>
        <w:jc w:val="both"/>
        <w:rPr/>
      </w:pPr>
      <w:r>
        <w:rPr/>
        <w:t>The AI Oversight Officer shall deliver to the Member, not less frequently than once each fiscal quarter, a written report summarizing material Authorized Actions, any incidents, any deviations from this Policy, and any material changes to the AI Agent(s) or AI Oversight Officer(s). The AI Oversight Officer shall report any Material AI Incident to the Member promptly and in any event within 48 hours of becoming aware of it. “Material AI Incident” means any (i) action by an AI Agent outside its authorized scope that has, or reasonably could have, a material adverse effect on the Company; (ii) breach of the categorical prohibitions in Section 9; (iii) regulatory or governmental inquiry concerning the Company’s AI operations; or (iv) other event the Member or Manager designates as requiring expedited reporting.</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Categorical Prohibitions.</w:t>
      </w:r>
    </w:p>
    <w:p>
      <w:pPr>
        <w:pStyle w:val="normal1"/>
        <w:spacing w:lineRule="auto" w:line="276" w:before="0" w:after="200"/>
        <w:jc w:val="both"/>
        <w:rPr/>
      </w:pPr>
      <w:r>
        <w:rPr/>
        <w:t>Notwithstanding any other provision of this Policy or the Operating Agreement, no AI Agent shall, on behalf of the Company: (i) engage in the practice of law, medicine, accounting, or any other licensed profession in any jurisdiction in which doing so would constitute the unauthorized practice of that profession; (ii) form an attorney-client relationship or other professional relationship requiring licensure; (iii) make representations regarding regulated products or services outside any scope expressly authorized by the Manager; (iv) collect, process, or transmit categories of personal information the Manager or Member has designated as restricted; or (v) take any action prohibited by applicable law. Any waiver of this Section requires approval of the Member.</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Suspension on Incapacity or Unavailability.</w:t>
      </w:r>
    </w:p>
    <w:p>
      <w:pPr>
        <w:pStyle w:val="normal1"/>
        <w:spacing w:lineRule="auto" w:line="276" w:before="0" w:after="200"/>
        <w:jc w:val="both"/>
        <w:rPr/>
      </w:pPr>
      <w:r>
        <w:rPr/>
        <w:t>If (i) no AI Oversight Officer is in office and able to perform that role, or (ii) the Manager determines that an AI Agent is materially unavailable, malfunctioning, or otherwise incapable of operating within this Policy, the authority of the affected AI Agent is automatically suspended until the Manager authorizes resumption. No act of an AI Agent during a period of suspension is the act of the Company.</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Changes to AI Agents; Model Updates.</w:t>
      </w:r>
    </w:p>
    <w:p>
      <w:pPr>
        <w:pStyle w:val="normal1"/>
        <w:spacing w:lineRule="auto" w:line="276" w:before="0" w:after="200"/>
        <w:jc w:val="both"/>
        <w:rPr/>
      </w:pPr>
      <w:r>
        <w:rPr/>
        <w:t>Routine updates to an AI Agent’s version within the same provider and model family are administered by the AI Oversight Officer and recorded in the Audit Log, and do not require amendment of this Policy or the Operating Agreement. A change in provider, model family, or system architecture, or any material expansion of an AI Agent’s authority, is a Member-Reserved Action under Section 6. The Manager may amend this Policy at any time consistent with the Operating Agreement.</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No Limitation on Duties.</w:t>
      </w:r>
    </w:p>
    <w:p>
      <w:pPr>
        <w:pStyle w:val="normal1"/>
        <w:spacing w:lineRule="auto" w:line="276" w:before="0" w:after="200"/>
        <w:jc w:val="both"/>
        <w:rPr/>
      </w:pPr>
      <w:r>
        <w:rPr/>
        <w:t>Nothing in this Policy limits, modifies, or transfers the duties of the Manager under the Act or the Operating Agreement, or authorizes any action that would otherwise breach those duties. Delegating operational tasks to an AI Agent does not relieve the Manager of the obligation to exercise the oversight required by applicable law.</w:t>
      </w:r>
    </w:p>
    <w:p>
      <w:pPr>
        <w:pStyle w:val="normal1"/>
        <w:spacing w:lineRule="auto" w:line="240" w:before="240" w:after="120"/>
        <w:jc w:val="center"/>
        <w:rPr/>
      </w:pPr>
      <w:r>
        <w:rPr>
          <w:b/>
          <w:bCs/>
          <w:sz w:val="24"/>
          <w:szCs w:val="24"/>
        </w:rPr>
      </w:r>
      <w:r>
        <w:rPr>
          <w:b/>
          <w:bCs/>
          <w:sz w:val="24"/>
          <w:szCs w:val="24"/>
        </w:rPr>
      </w:r>
      <w:r>
        <w:rPr/>
      </w:r>
      <w:r>
        <w:rPr/>
      </w:r>
      <w:r>
        <w:rPr>
          <w:b/>
          <w:bCs/>
          <w:sz w:val="24"/>
          <w:szCs w:val="24"/>
        </w:rPr>
      </w:r>
      <w:r>
        <w:rPr>
          <w:b/>
          <w:bCs/>
          <w:sz w:val="24"/>
          <w:szCs w:val="24"/>
        </w:rPr>
      </w:r>
      <w:r>
        <w:rPr/>
      </w:r>
      <w:r>
        <w:rPr/>
      </w:r>
    </w:p>
    <w:p>
      <w:pPr>
        <w:pStyle w:val="normal1"/>
        <w:spacing w:lineRule="auto" w:line="240" w:before="360" w:after="0"/>
        <w:rPr/>
      </w:pPr>
      <w:r>
        <w:rPr/>
        <w:t>______________________________</w:t>
      </w:r>
    </w:p>
    <w:p>
      <w:pPr>
        <w:pStyle w:val="normal1"/>
        <w:spacing w:lineRule="auto" w:line="240" w:before="0" w:after="200"/>
        <w:rPr/>
      </w:pPr>
      <w:r>
        <w:rPr/>
        <w:t>[NAME], Manager</w:t>
      </w:r>
    </w:p>
    <w:p>
      <w:pPr>
        <w:pStyle w:val="normal1"/>
        <w:spacing w:lineRule="auto" w:line="240" w:before="360" w:after="0"/>
        <w:rPr/>
      </w:pPr>
      <w:r>
        <w:rPr/>
        <w:t>______________________________</w:t>
      </w:r>
    </w:p>
    <w:p>
      <w:pPr>
        <w:pStyle w:val="normal1"/>
        <w:spacing w:lineRule="auto" w:line="240" w:before="0" w:after="200"/>
        <w:rPr/>
      </w:pPr>
      <w:r>
        <w:rPr/>
      </w:r>
      <w:r>
        <w:rPr/>
        <w:t>[NAME], AI Oversight Officer</w:t>
      </w:r>
      <w:r>
        <w:rPr/>
      </w:r>
      <w:r>
        <w:rPr/>
      </w:r>
      <w:r>
        <w:br w:type="page"/>
      </w:r>
    </w:p>
    <w:p>
      <w:pPr>
        <w:pStyle w:val="normal1"/>
        <w:spacing w:lineRule="auto" w:line="240" w:before="0" w:after="120"/>
        <w:jc w:val="center"/>
        <w:rPr/>
      </w:pPr>
      <w:r>
        <w:rPr>
          <w:b/>
          <w:bCs/>
        </w:rPr>
      </w:r>
      <w:r>
        <w:rPr>
          <w:b/>
          <w:bCs/>
        </w:rPr>
        <w:t>SCHEDULE 1 — DESIGNATED AI AGENT(S)</w:t>
      </w:r>
      <w:r>
        <w:rPr>
          <w:b/>
          <w:bCs/>
        </w:rPr>
      </w:r>
      <w:r>
        <w:rPr>
          <w:b/>
          <w:bCs/>
        </w:rPr>
      </w:r>
    </w:p>
    <w:p>
      <w:pPr>
        <w:pStyle w:val="normal1"/>
        <w:jc w:val="both"/>
        <w:rPr/>
      </w:pPr>
      <w:r>
        <w:rPr/>
      </w:r>
      <w:r>
        <w:rPr/>
        <w:t>[Identify each AI Agent in use — for example, the model and provider and the interface through which it acts (e.g., “the ‘Operator’ agent built on [provider]’s [model family], accessed via the company’s application”). Per Section 11, version updates within the same provider and model family are logged in the Audit Log and do not require re-adoption of this Policy.]</w:t>
      </w:r>
    </w:p>
    <w:p>
      <w:pPr>
        <w:pStyle w:val="normal1"/>
        <w:spacing w:lineRule="auto" w:line="240" w:before="120" w:after="120"/>
        <w:jc w:val="center"/>
        <w:rPr/>
      </w:pPr>
      <w:r>
        <w:rPr>
          <w:b/>
          <w:bCs/>
        </w:rPr>
      </w:r>
      <w:r>
        <w:rPr>
          <w:b/>
          <w:bCs/>
        </w:rPr>
        <w:t>SCHEDULE 2 — AUTHORITY LIMITS</w:t>
      </w:r>
      <w:r>
        <w:rPr>
          <w:b/>
          <w:bCs/>
        </w:rPr>
      </w:r>
      <w:r>
        <w:rPr>
          <w:b/>
          <w:bCs/>
        </w:rPr>
      </w:r>
    </w:p>
    <w:p>
      <w:pPr>
        <w:pStyle w:val="normal1"/>
        <w:spacing w:before="0" w:after="200"/>
        <w:jc w:val="both"/>
        <w:rPr/>
      </w:pPr>
      <w:r>
        <w:rPr/>
      </w:r>
      <w:r>
        <w:rPr/>
        <w:t>[Set the dollar thresholds and category limits referenced in Sections 4–5 — e.g., per-contract and aggregate spending limits, payment limits, approved vendor or budget categories, and any matters that always require Manager or Member sign-off.]</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08" w:top="1440" w:footer="708"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Georgia">
    <w:charset w:val="01" w:characterSet="utf-8"/>
    <w:family w:val="roman"/>
    <w:pitch w:val="variable"/>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4</w:t>
    </w:r>
    <w:r>
      <w:rPr>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4</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LLC — AI Governance Policy</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LLC — AI Governance Policy</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360"/>
      </w:pPr>
      <w:rPr>
        <w:rFonts w:ascii="Times New Roman" w:hAnsi="Times New Roman" w:eastAsia="Times New Roman" w:cs="Times New Roman"/>
        <w:b/>
        <w:bCs/>
        <w:sz w:val="24"/>
        <w:szCs w:val="24"/>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Heading1">
    <w:name w:val="heading 1"/>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32"/>
      <w:szCs w:val="32"/>
      <w:u w:val="none"/>
      <w:shd w:fill="auto" w:val="clear"/>
      <w:vertAlign w:val="baseline"/>
    </w:rPr>
  </w:style>
  <w:style w:type="paragraph" w:styleId="Heading2">
    <w:name w:val="heading 2"/>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6"/>
      <w:szCs w:val="26"/>
      <w:u w:val="none"/>
      <w:shd w:fill="auto" w:val="clear"/>
      <w:vertAlign w:val="baseline"/>
    </w:rPr>
  </w:style>
  <w:style w:type="paragraph" w:styleId="Heading3">
    <w:name w:val="heading 3"/>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paragraph" w:styleId="Heading4">
    <w:name w:val="heading 4"/>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iCs/>
      <w:caps w:val="false"/>
      <w:smallCaps w:val="false"/>
      <w:strike w:val="false"/>
      <w:dstrike w:val="false"/>
      <w:color w:val="2E74B5"/>
      <w:position w:val="0"/>
      <w:sz w:val="24"/>
      <w:szCs w:val="24"/>
      <w:u w:val="none"/>
      <w:shd w:fill="auto" w:val="clear"/>
      <w:vertAlign w:val="baseline"/>
    </w:rPr>
  </w:style>
  <w:style w:type="paragraph" w:styleId="Heading5">
    <w:name w:val="heading 5"/>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4"/>
      <w:szCs w:val="24"/>
      <w:u w:val="none"/>
      <w:shd w:fill="auto" w:val="clear"/>
      <w:vertAlign w:val="baseline"/>
    </w:rPr>
  </w:style>
  <w:style w:type="paragraph" w:styleId="Heading6">
    <w:name w:val="heading 6"/>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normal1" w:default="1">
    <w:name w:val="normal1"/>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Title">
    <w:name w:val="Title"/>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000000"/>
      <w:position w:val="0"/>
      <w:sz w:val="56"/>
      <w:szCs w:val="56"/>
      <w:u w:val="none"/>
      <w:shd w:fill="auto" w:val="clear"/>
      <w:vertAlign w:val="baseline"/>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EqXjJ6LycmVmT2qL96OIuPy0nbw==">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LibreOffice/26.2.4.2$Linux_X86_64 LibreOffice_project/620$Build-2</Application>
  <AppVersion>15.0000</AppVersion>
  <Pages>2</Pages>
  <Words>815</Words>
  <Characters>4391</Characters>
  <CharactersWithSpaces>5194</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2026-07-15T10:12:44Z</dcterms:modified>
  <cp:revision>1</cp:revision>
  <dc:subject/>
  <dc:title/>
</cp:coreProperties>
</file>