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pacing w:after="240"/>
        <w:jc w:val="left"/>
      </w:pPr>
      <w:r>
        <w:rPr>
          <w:b/>
          <w:i/>
          <w:sz w:val="20"/>
          <w:szCs w:val="20"/>
        </w:rPr>
        <w:t xml:space="preserve">Drafting note (delete before use): </w:t>
      </w:r>
      <w:r>
        <w:rPr>
          <w:i/>
          <w:sz w:val="20"/>
          <w:szCs w:val="20"/>
        </w:rPr>
        <w:t xml:space="preserve">Bylaws for a Delaware C-corporation built to be operated day-to-day by an AI agent under human oversight: Article XII establishes the AI-governance regime (electronic-agent authority, board-adopted AI Governance Policy, audit log, officer supervision). Adopt via the Action of Incorporator; pair with the AI Governance Policy. Section numbers are literal text, so update cross-references if you add or remove sections. Replace bracketed terms.</w:t>
      </w:r>
    </w:p>
    <w:p>
      <w:pPr>
        <w:pStyle w:val="normal1"/>
        <w:spacing w:lineRule="auto" w:line="240" w:before="0" w:after="120"/>
        <w:jc w:val="center"/>
        <w:rPr/>
      </w:pPr>
      <w:r>
        <w:rPr>
          <w:b/>
          <w:bCs/>
          <w:smallCaps/>
          <w:u w:val="single"/>
        </w:rPr>
        <w:t>[COMPANY NAME], INC.</w:t>
      </w:r>
    </w:p>
    <w:p>
      <w:pPr>
        <w:pStyle w:val="normal1"/>
        <w:jc w:val="center"/>
        <w:rPr/>
      </w:pPr>
      <w:r>
        <w:rPr/>
        <w:t>a Delaware corporation</w:t>
      </w:r>
    </w:p>
    <w:p>
      <w:pPr>
        <w:pStyle w:val="normal1"/>
        <w:spacing w:lineRule="auto" w:line="240" w:before="0" w:after="120"/>
        <w:jc w:val="center"/>
        <w:rPr/>
      </w:pPr>
      <w:r>
        <w:rPr>
          <w:b/>
          <w:bCs/>
          <w:u w:val="single"/>
        </w:rPr>
        <w:t>BYLAWS</w:t>
      </w:r>
    </w:p>
    <w:p>
      <w:pPr>
        <w:pStyle w:val="normal1"/>
        <w:jc w:val="center"/>
        <w:rPr/>
      </w:pPr>
      <w:r>
        <w:rPr/>
        <w:t>As Adopted [INCORPORATION DATE]</w:t>
      </w:r>
    </w:p>
    <w:p>
      <w:pPr>
        <w:pStyle w:val="normal1"/>
        <w:jc w:val="center"/>
        <w:rPr/>
      </w:pPr>
      <w:r>
        <w:rPr/>
      </w:r>
    </w:p>
    <w:p>
      <w:pPr>
        <w:pStyle w:val="Heading1"/>
        <w:numPr>
          <w:ilvl w:val="0"/>
          <w:numId w:val="0"/>
        </w:numPr>
        <w:ind w:hanging="0" w:start="0"/>
        <w:rPr/>
      </w:pPr>
      <w:bookmarkStart w:id="0" w:name="_heading=h.vtlk1om38vrs"/>
      <w:bookmarkEnd w:id="0"/>
      <w:r>
        <w:rPr/>
        <w:t xml:space="preserve">ARTICLE I: </w:t>
        <w:tab/>
        <w:t>STOCKHOLDERS</w:t>
      </w:r>
    </w:p>
    <w:p>
      <w:pPr>
        <w:pStyle w:val="normal1"/>
        <w:ind w:firstLine="0"/>
        <w:rPr/>
      </w:pPr>
      <w:bookmarkStart w:id="1" w:name="_heading=h.nm8835ij25vt"/>
      <w:bookmarkEnd w:id="1"/>
      <w:r>
        <w:rPr/>
      </w:r>
      <w:r>
        <w:rPr/>
      </w:r>
      <w:r>
        <w:rPr/>
        <w:t xml:space="preserve">Section 1.1: </w:t>
      </w:r>
      <w:r>
        <w:rPr>
          <w:rFonts w:eastAsia="Times New Roman" w:cs="Times New Roman"/>
          <w:b/>
          <w:bCs/>
          <w:color w:val="000000"/>
          <w:sz w:val="24"/>
          <w:szCs w:val="24"/>
          <w:u w:val="single"/>
        </w:rPr>
        <w:t>Annual Meetings</w:t>
      </w:r>
      <w:r>
        <w:rPr>
          <w:b/>
          <w:bCs/>
        </w:rPr>
        <w:t>.</w:t>
      </w:r>
      <w:r>
        <w:rPr/>
        <w:t xml:space="preserve">  Unless members of the Board of Directors (the “</w:t>
      </w:r>
      <w:r>
        <w:rPr>
          <w:b/>
          <w:bCs/>
          <w:i/>
          <w:iCs/>
        </w:rPr>
        <w:t>Board</w:t>
      </w:r>
      <w:r>
        <w:rPr/>
        <w:t>”) of [COMPANY NAME], Inc. (the “</w:t>
      </w:r>
      <w:r>
        <w:rPr>
          <w:b/>
          <w:bCs/>
          <w:i/>
          <w:iCs/>
        </w:rPr>
        <w:t>Corporation</w:t>
      </w:r>
      <w:r>
        <w:rPr/>
        <w:t>”) are elected by written consent in lieu of an annual meeting pursuant to Section 211(b) of the General Corporation Law of the State of Delaware as it may be amended from time to time (as so amended from time to time, the “</w:t>
      </w:r>
      <w:r>
        <w:rPr>
          <w:b/>
          <w:bCs/>
          <w:i/>
          <w:iCs/>
        </w:rPr>
        <w:t>DGCL</w:t>
      </w:r>
      <w:r>
        <w:rPr/>
        <w:t>”), an annual meeting of stockholders shall be held for the election of directors at such date and time as the Board shall each year fix.  The meeting may be held either at a place, within or outside of the State of Delaware, or by means of remote communication, as the Board in its sole discretion may determine.  Any proper business may be transacted at the annual meeting.</w:t>
      </w:r>
      <w:r>
        <w:rPr/>
      </w:r>
    </w:p>
    <w:p>
      <w:pPr>
        <w:pStyle w:val="normal1"/>
        <w:ind w:firstLine="0"/>
        <w:rPr/>
      </w:pPr>
      <w:bookmarkStart w:id="2" w:name="_heading=h.eicstzf9urg2"/>
      <w:bookmarkEnd w:id="2"/>
      <w:r>
        <w:rPr/>
        <w:t xml:space="preserve">Section 1.2: </w:t>
      </w:r>
      <w:r>
        <w:rPr>
          <w:rFonts w:eastAsia="Times New Roman" w:cs="Times New Roman"/>
          <w:b/>
          <w:bCs/>
          <w:color w:val="000000"/>
          <w:sz w:val="24"/>
          <w:szCs w:val="24"/>
          <w:u w:val="single"/>
        </w:rPr>
        <w:t>Special Meetings</w:t>
      </w:r>
      <w:r>
        <w:rPr>
          <w:b/>
          <w:bCs/>
        </w:rPr>
        <w:t>.</w:t>
      </w:r>
      <w:r>
        <w:rPr/>
        <w:t xml:space="preserve">  Special meetings of stockholders, for any purpose or purposes prescribed in the notice of the meeting, may be called by the Chairperson of the Board, the Chief Executive Officer, the holders of shares of the Corporation that are entitled to cast not less than 20% of the total number of votes entitled to be cast by all stockholders at such meeting (assuming the record date for determining stockholders entitled to vote at such meeting was the date the request to call such meeting was delivered to the Board as required herein), or by a majority of the members of the Board.  Special meetings may not be called by any other person or persons.  If a special meeting of stockholders is called by any person or persons other than by a majority of the members of the Board, then such person or persons shall request such meeting by delivering a written request to call such meeting to each member of the Board, and the Board shall then determine the time and date of such special meeting, which shall be held not more than 120 days nor less than 35 days after the written request to call such special meeting was delivered to each member of the Board.  The special meeting may be held either at a place, within or outside of the State of Delaware, or by means of remote communication, as the Board in its sole discretion may determine.  Business transacted at any special meeting of stockholders shall be limited to the purpose or purposes stated in the notice of the meeting, unless all stockholders entitled to vote are present and consent.  If any stockholder seeks to send a request to call such a special meeting, neither the Corporation nor any of its directors shall be required to accept delivery of such request unless the request is in writing exclusively (and not in an electronic transmission) and delivered exclusively by hand (including, without limitation, overnight courier service) or by certified or registered mail, return receipt requested.  </w:t>
      </w:r>
    </w:p>
    <w:p>
      <w:pPr>
        <w:pStyle w:val="normal1"/>
        <w:ind w:firstLine="0"/>
        <w:rPr/>
      </w:pPr>
      <w:bookmarkStart w:id="3" w:name="_heading=h.mn7vfbxnkvte"/>
      <w:bookmarkEnd w:id="3"/>
      <w:r>
        <w:rPr/>
        <w:t xml:space="preserve">Section 1.3: </w:t>
      </w:r>
      <w:r>
        <w:rPr>
          <w:rFonts w:eastAsia="Times New Roman" w:cs="Times New Roman"/>
          <w:b/>
          <w:bCs/>
          <w:color w:val="000000"/>
          <w:sz w:val="24"/>
          <w:szCs w:val="24"/>
          <w:u w:val="single"/>
        </w:rPr>
        <w:t>Notice of Meetings</w:t>
      </w:r>
      <w:r>
        <w:rPr>
          <w:b/>
          <w:bCs/>
        </w:rPr>
        <w:t>.</w:t>
      </w:r>
      <w:r>
        <w:rPr/>
        <w:t xml:space="preserve">  Whenever stockholders are required or permitted to take any action at a meeting, a notice of the meeting shall be given in accordance with Article VII of these Bylaws, and such notice shall state the place, if any, date and time of the meeting, the means of remote communications, if any, by which stockholders and proxy holders may be deemed to be present in person and vote at such meeting, the record date for determining the stockholders entitled to vote at the meeting, if such date is different from the record date for determining stockholders entitled to notice of the meeting, and, in the case of a special meeting, the purpose or purposes for which the meeting is called.  Unless otherwise required by applicable law or the Certificate of Incorporation of the Corporation, as the same may be amended and/or restated from time to time (as so amended or restated from time to time, the “</w:t>
      </w:r>
      <w:r>
        <w:rPr>
          <w:b/>
          <w:bCs/>
          <w:i/>
          <w:iCs/>
        </w:rPr>
        <w:t>Certificate of Incorporation</w:t>
      </w:r>
      <w:r>
        <w:rPr/>
        <w:t xml:space="preserve">”), such notice shall be given not less than 10 nor more than 60 days before the date of the meeting to each stockholder entitled to vote at such meeting as of the record date for determining the stockholders entitled to notice of the meeting.  </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4" w:name="_heading=h.hu8a15p4kb8a"/>
      <w:bookmarkEnd w:id="4"/>
      <w:r>
        <w:rPr/>
        <w:t xml:space="preserve">Section 1.4: </w:t>
      </w:r>
      <w:r>
        <w:rPr>
          <w:rFonts w:eastAsia="Times New Roman" w:cs="Times New Roman"/>
          <w:b/>
          <w:bCs/>
          <w:color w:val="000000"/>
          <w:sz w:val="24"/>
          <w:szCs w:val="24"/>
          <w:u w:val="single"/>
        </w:rPr>
        <w:t>Adjournments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chairperson of the meeting and the holders of a majority of the voting power of the shares entitled to vote who are present, in person or by proxy, whether at an annual or special meeting, shall have the power to adjourn the meeting to another time, date and place, if any.  When a meeting is adjourned to another time or place (including an adjournment taken to address a technical failure to convene or continue a meeting using remote communication), notice need not be given of the adjourned meeting if the time, place, if any, thereof, and the means of remote communications, if any, by which stockholders and proxy holders may be deemed to be present in person and vote at such adjourned meeting are (i) announced at the meeting at which the adjournment is taken, (ii) displayed, during the time scheduled for the meeting, on the same electronic network used to enable stockholders and proxy holders to participate in the meeting by means of remote communication or (iii) set forth in the notice of meeting given in accordance with </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Section 1.3 of these Bylaws</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If the adjournment is for more than 30 days, a notice of the adjourned meeting shall be given to each stockholder of record entitled to vote at the meeting.  If after the adjournment a new record date for stockholders entitled to vote is fixed for the adjourned meeting, the Board shall fix a new record date for notice of such adjourned meeting in accordance with Section 1.8.1 of these Bylaws, and shall give notice of the adjourned meeting to each stockholder of record entitled to vote at such adjourned meeting as of the record date fixed for notice of such adjourned meeting.  At the adjourned meeting, the Corporation may transact any business that might have been transacted at the original meeting.  To the fullest extent permitted by law, the Board may cancel, postpone or reschedule any previously scheduled special or annual meeting of stockholders before it is to be held, in which case notice shall be provided to the stockholders of the new date, time and place, if any, of the meeting in accordance with Section 1.3 above.</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5" w:name="_heading=h.rtofqlkq9ns4"/>
      <w:bookmarkEnd w:id="5"/>
      <w:r>
        <w:rPr/>
        <w:t xml:space="preserve">Section 1.5: </w:t>
      </w:r>
      <w:r>
        <w:rPr>
          <w:rFonts w:eastAsia="Times New Roman" w:cs="Times New Roman"/>
          <w:b/>
          <w:bCs/>
          <w:color w:val="000000"/>
          <w:sz w:val="24"/>
          <w:szCs w:val="24"/>
          <w:u w:val="single"/>
        </w:rPr>
        <w:t>Quorum</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At each meeting of stockholders, the holders of a majority of the voting power of the shares of stock entitled to vote at the meeting, present in person or by remote communication (if applicable) or represented by proxy, shall constitute a quorum for the transaction of business, unless otherwise required by applicable law, the Certificate of Incorporation or these Bylaws.  Where a separate vote by a class or series or classes or series is required, a majority of the voting power of the outstanding shares of such class or series or classes or series, present in person or by remote communication (if applicable) or represented by proxy, shall constitute a quorum entitled to take action with respect to that vote on that matter.</w:t>
      </w:r>
    </w:p>
    <w:p>
      <w:pPr>
        <w:pStyle w:val="normal1"/>
        <w:keepNext w:val="false"/>
        <w:keepLines w:val="false"/>
        <w:pageBreakBefore w:val="false"/>
        <w:widowControl/>
        <w:pBdr/>
        <w:shd w:val="clear" w:fill="auto"/>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If a quorum shall fail to attend any meeting, the chairperson of the meeting or the holders of a majority of the voting power of the shares entitled to vote who are present, in person or by proxy, at the meeting may adjourn the meeting to another place, if any, date and time.</w:t>
      </w:r>
    </w:p>
    <w:p>
      <w:pPr>
        <w:pStyle w:val="normal1"/>
        <w:keepNext w:val="false"/>
        <w:keepLines w:val="false"/>
        <w:pageBreakBefore w:val="false"/>
        <w:widowControl/>
        <w:pBdr/>
        <w:shd w:val="clear" w:fill="auto"/>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Shares of the Corporation’s stock belonging to (i) the Corporation, (ii) another corporation, if a majority of the voting power of the shares entitled to vote in the election of directors of such other corporation is held, directly or indirectly, by the Corporation, or (iii) any other entity, if a majority of the voting power of such other entity is held, directly or indirectly, by the Corporation or if such other entity is otherwise controlled, directly or indirectly, by the Corporation, shall neither be entitled to vote nor be counted for quorum purposes; </w:t>
      </w:r>
      <w:r>
        <w:rPr>
          <w:rFonts w:eastAsia="Times New Roman" w:cs="Times New Roman"/>
          <w:b w:val="false"/>
          <w:bCs w:val="false"/>
          <w:i/>
          <w:iCs/>
          <w:caps w:val="false"/>
          <w:smallCaps w:val="false"/>
          <w:strike w:val="false"/>
          <w:dstrike w:val="false"/>
          <w:color w:val="000000"/>
          <w:position w:val="0"/>
          <w:sz w:val="24"/>
          <w:szCs w:val="24"/>
          <w:u w:val="single"/>
          <w:shd w:fill="auto" w:val="clear"/>
          <w:vertAlign w:val="baseline"/>
        </w:rPr>
        <w:t>provided</w:t>
      </w:r>
      <w:r>
        <w:rPr>
          <w:rFonts w:eastAsia="Times New Roman" w:cs="Times New Roman"/>
          <w:b w:val="false"/>
          <w:bCs w:val="false"/>
          <w:i w:val="false"/>
          <w:iCs w:val="false"/>
          <w:caps w:val="false"/>
          <w:smallCaps w:val="false"/>
          <w:strike w:val="false"/>
          <w:dstrike w:val="false"/>
          <w:color w:val="000000"/>
          <w:position w:val="0"/>
          <w:sz w:val="24"/>
          <w:szCs w:val="24"/>
          <w:u w:val="singl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b w:val="false"/>
          <w:bCs w:val="false"/>
          <w:i/>
          <w:iCs/>
          <w:caps w:val="false"/>
          <w:smallCaps w:val="false"/>
          <w:strike w:val="false"/>
          <w:dstrike w:val="false"/>
          <w:color w:val="000000"/>
          <w:position w:val="0"/>
          <w:sz w:val="24"/>
          <w:szCs w:val="24"/>
          <w:u w:val="single"/>
          <w:shd w:fill="auto" w:val="clear"/>
          <w:vertAlign w:val="baseline"/>
        </w:rPr>
        <w:t>however</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that the foregoing shall not limit the right of any corporation (including the Corporation) or, to the fullest extent permitted by law, any other entity, to vote any shares of the Corporation’s stock held by it in a fiduciary capacity and to count such shares for purposes of determining a quorum.</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6" w:name="_heading=h.x6g1hchdzwyy"/>
      <w:bookmarkEnd w:id="6"/>
      <w:r>
        <w:rPr/>
        <w:t xml:space="preserve">Section 1.6: </w:t>
      </w:r>
      <w:r>
        <w:rPr>
          <w:rFonts w:eastAsia="Times New Roman" w:cs="Times New Roman"/>
          <w:b/>
          <w:bCs/>
          <w:color w:val="000000"/>
          <w:sz w:val="24"/>
          <w:szCs w:val="24"/>
          <w:u w:val="single"/>
        </w:rPr>
        <w:t>Organization</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Meetings of stockholders shall be presided over by such person as the Board may designate, or, in the absence of such person, the Chairperson of the Board, or, in the absence of such person, the Chief Executive Officer of the Corporation, or, in the absence of such person, such person as may be chosen by the holders of a majority of the voting power of the shares entitled to vote who are present, in person or by proxy, at the meeting.  Such person shall be chairperson of the meeting and shall determine the order of business and the procedure at the meeting, including such regulation of the manner of voting and the conduct of discussion as seem to such chairperson to be in order.  The Secretary of the Corporation shall act as secretary of the meeting.  In the absence of the Secretary of the Corporation, the secretary of the meeting shall be such person as the chairperson of the meeting appoints.</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7" w:name="_heading=h.kqllapd50nl0"/>
      <w:bookmarkEnd w:id="7"/>
      <w:r>
        <w:rPr/>
        <w:t xml:space="preserve">Section 1.7: </w:t>
      </w:r>
      <w:r>
        <w:rPr>
          <w:rFonts w:eastAsia="Times New Roman" w:cs="Times New Roman"/>
          <w:b/>
          <w:bCs/>
          <w:color w:val="000000"/>
          <w:sz w:val="24"/>
          <w:szCs w:val="24"/>
          <w:u w:val="single"/>
        </w:rPr>
        <w:t>Voting and Proxies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Each stockholder entitled to vote at a meeting of stockholders or to express consent or dissent to corporate action in writing without a meeting may authorize another person or persons to act for such stockholder by proxy, but no such proxy shall be voted or acted upon after three years from its date, unless the proxy provides for a longer period.  Such a proxy may be prepared, transmitted and delivered in any manner permitted by applicable law.  Each stockholder shall be entitled to one vote for each share of voting stock held by such stockholder, unless otherwise provided in the DGCL or the Certificate of Incorporation.  A duly executed proxy shall be irrevocable if it states that it is irrevocable and if, and only as long as, it is coupled with an interest sufficient in law to support an irrevocable power. A proxy may be made irrevocable regardless of whether the interest with which it is coupled is an interest in the stock itself or an interest in the Corporation generally.</w:t>
      </w:r>
    </w:p>
    <w:p>
      <w:pPr>
        <w:pStyle w:val="normal1"/>
        <w:keepNext w:val="false"/>
        <w:keepLines w:val="false"/>
        <w:pageBreakBefore w:val="false"/>
        <w:widowControl/>
        <w:pBdr/>
        <w:shd w:val="clear" w:fill="auto"/>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Except as may be required in the Certificate of Incorporation, directors shall be elected by a plurality of the votes of the shares present in person or represented by proxy at the meeting and entitled to vote on the election of directors.  Unless otherwise provided by applicable law, the Certificate of Incorporation or these Bylaws, all other matters shall be determined by the affirmative vote of a majority of the voting power of the shares of stock entitled to vote on such matter that are present in person or represented by proxy at the meeting and are voted for or against such matter; provided, that where a separate vote by a class or series or classes or series is required, the affirmative vote of the majority of the voting power of the shares of such class or series or classes or series present in person or represented by proxy at the meeting shall be the act of such class or series or classes or series.</w:t>
      </w:r>
    </w:p>
    <w:p>
      <w:pPr>
        <w:pStyle w:val="normal1"/>
        <w:numPr>
          <w:ilvl w:val="0"/>
          <w:numId w:val="0"/>
        </w:numPr>
        <w:ind w:hanging="0" w:start="0" w:firstLine="0"/>
        <w:rPr/>
      </w:pPr>
      <w:bookmarkStart w:id="8" w:name="_heading=h.ddl0ndpitcdj"/>
      <w:bookmarkEnd w:id="8"/>
      <w:r>
        <w:rPr/>
        <w:t xml:space="preserve">Section 1.8: </w:t>
      </w:r>
      <w:r>
        <w:rPr>
          <w:u w:val="single"/>
          <w:b/>
        </w:rPr>
        <w:t>Fixing Date for Determination of Stockholders of Record</w:t>
      </w:r>
      <w:r>
        <w:rPr>
          <w:b/>
        </w:rPr>
        <w:t>.</w:t>
      </w:r>
    </w:p>
    <w:p>
      <w:pPr>
        <w:pStyle w:val="normal1"/>
        <w:numPr>
          <w:ilvl w:val="0"/>
          <w:numId w:val="0"/>
        </w:numPr>
        <w:ind w:firstLine="720" w:start="0"/>
        <w:jc w:val="both"/>
        <w:rPr/>
      </w:pPr>
      <w:r>
        <w:rPr/>
        <w:t xml:space="preserve">1.8.1 </w:t>
      </w:r>
      <w:r>
        <w:rPr>
          <w:u w:val="single"/>
        </w:rPr>
        <w:t>Meeting of Stockholders</w:t>
      </w:r>
      <w:r>
        <w:rPr/>
        <w:t>.  In order that the Corporation may determine the stockholders entitled to notice of any meeting of stockholders or any adjournment thereof, the Board may fix a record date, which record date shall not precede the date upon which the resolution fixing the record date is adopted by the Board, and which record date shall not be more than 60 nor less than 10 days before the date of such meeting. If the Board so fixes a date, such date shall also be the record date for determining the stockholders entitled to vote at such meeting unless the Board determines, at the time it fixes such record date, that a later date on or before the date of the meeting shall be the date for making such determination. If no record date is fixed by the Board, the record date for determining stockholders entitled to notice of and to vote at a meeting of stockholders shall be at the close of business on the day next preceding the day on which notice is given, or, if notice is waived, at the close of business on the day next preceding the day on which the meeting is held.  A determination of stockholders of record entitled to notice of or to vote at a meeting of stockholders shall apply to any adjournment of the meeting; provided, however, that the Board may fix a new record date for determination of stockholders entitled to vote at the adjourned meeting, and in such case shall also fix as the record date for stockholders entitled to notice of such adjourned meeting the same or an earlier date as that fixed for determination of stockholders entitled to vote in accordance with the foregoing provisions of this Section 1.8.1 at the adjourned meeting.</w:t>
      </w:r>
    </w:p>
    <w:p>
      <w:pPr>
        <w:pStyle w:val="normal1"/>
        <w:numPr>
          <w:ilvl w:val="0"/>
          <w:numId w:val="0"/>
        </w:numPr>
        <w:ind w:firstLine="720" w:start="0"/>
        <w:jc w:val="both"/>
        <w:rPr/>
      </w:pPr>
      <w:r>
        <w:rPr/>
        <w:t xml:space="preserve">1.8.2 </w:t>
      </w:r>
      <w:r>
        <w:rPr>
          <w:u w:val="single"/>
        </w:rPr>
        <w:t>Payment of Dividends; Other Lawful Action</w:t>
      </w:r>
      <w:r>
        <w:rPr/>
        <w:t>.  In order that the Corporation may determine the stockholders entitled to receive payment of any dividend or other distribution or allotment of any rights or the stockholders entitled to exercise any rights in respect of any change, conversion or exchange of stock, or for the purpose of any other lawful action, the Board may fix a record date, which record date shall not precede the date upon which the resolution fixing the record date is adopted, and which record date shall be not more than 60 days prior to such action. If no record date is fixed, the record date for determining stockholders for any such purpose shall be at the close of business on the day on which the Board adopts the resolution relating thereto.</w:t>
      </w:r>
    </w:p>
    <w:p>
      <w:pPr>
        <w:pStyle w:val="normal1"/>
        <w:numPr>
          <w:ilvl w:val="0"/>
          <w:numId w:val="0"/>
        </w:numPr>
        <w:ind w:firstLine="720" w:start="0"/>
        <w:jc w:val="both"/>
        <w:rPr/>
      </w:pPr>
      <w:r>
        <w:rPr/>
        <w:t xml:space="preserve">1.8.3 </w:t>
      </w:r>
      <w:r>
        <w:rPr>
          <w:u w:val="single"/>
        </w:rPr>
        <w:t>Action by Written Consent</w:t>
      </w:r>
      <w:r>
        <w:rPr/>
        <w:t>.  Unless otherwise restricted by the Certificate of Incorporation, in order that the Corporation may determine the stockholders entitled to consent to corporate action without a meeting in accordance with Section 228 of the DGCL, the Board may fix a record date, which record date shall not precede the date upon which the resolution fixing the record date is adopted by the Board, and which date shall not be more than ten (10) days after the date upon which the resolution fixing the record date is adopted by the Board.  If no record date has been fixed by the Board, the record date for determining stockholders entitled to consent to corporate action without a meeting, when no prior action by the Board is required by the DGCL, shall be the first date on which a signed consent setting forth the action taken or proposed to be taken is delivered to the Corporation in accordance with Section 228(d) of the DGCL. If no record date has been fixed by the Board and prior action by the Board is required by the DGCL, the record date for determining stockholders entitled to consent to corporate action in writing without a meeting shall be at the close of business on the day on which the Board adopts the resolution taking such prior action.</w:t>
      </w:r>
    </w:p>
    <w:p>
      <w:pPr>
        <w:pStyle w:val="normal1"/>
        <w:ind w:firstLine="0"/>
        <w:rPr/>
      </w:pPr>
      <w:bookmarkStart w:id="9" w:name="_heading=h.d9bbcxu0msyo"/>
      <w:bookmarkEnd w:id="9"/>
      <w:r>
        <w:rPr/>
        <w:t xml:space="preserve">Section 1.9: </w:t>
      </w:r>
      <w:r>
        <w:rPr>
          <w:rFonts w:eastAsia="Times New Roman" w:cs="Times New Roman"/>
          <w:b/>
          <w:bCs/>
          <w:color w:val="000000"/>
          <w:sz w:val="24"/>
          <w:szCs w:val="24"/>
          <w:u w:val="single"/>
        </w:rPr>
        <w:t>List of Stockholders Entitled to Vote</w:t>
      </w:r>
      <w:r>
        <w:rPr>
          <w:rFonts w:eastAsia="Times New Roman" w:cs="Times New Roman"/>
          <w:b/>
          <w:bCs/>
          <w:color w:val="000000"/>
          <w:sz w:val="24"/>
          <w:szCs w:val="24"/>
          <w:u w:val="none"/>
        </w:rPr>
        <w:t>.</w:t>
      </w:r>
      <w:r>
        <w:rPr/>
        <w:t xml:space="preserve">  The Corporation shall prepare, no later than the 10th day before each meeting of stockholders, a complete list of the stockholders entitled to vote at the meeting; provided, however, if the record date for determining the stockholders entitled to vote is less than 10 days before the meeting date, the list shall reflect the stockholders entitled to vote as of the 10th day before the meeting date, arranged in alphabetical order, and showing the address of each stockholder and the number of shares registered in the name of each stockholder.  Nothing contained in this Section 1.9 shall require the Corporation to include electronic mail addresses or other electronic contact information on such list.  Such list shall be open to the examination of any stockholder for any purpose germane to the meeting for a period of 10 days ending on the day before the meeting date: (i) on a reasonably accessible electronic network, provided that the information required to gain access to such list is provided with the notice of the meeting, or (ii) during ordinary business hours, at the principal place of business of the Corporation. In the event that the Corporation determines to make the list available on an electronic network, the Corporation may take reasonable steps to ensure that such information is available only to stockholders of the Corporation.</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0" w:name="_heading=h.aglmbphoba36"/>
      <w:bookmarkEnd w:id="10"/>
      <w:r>
        <w:rPr/>
        <w:t xml:space="preserve">Section 1.10: </w:t>
      </w:r>
      <w:r>
        <w:rPr>
          <w:rFonts w:eastAsia="Times New Roman" w:cs="Times New Roman"/>
          <w:b/>
          <w:bCs/>
          <w:color w:val="000000"/>
          <w:sz w:val="24"/>
          <w:szCs w:val="24"/>
          <w:u w:val="single"/>
        </w:rPr>
        <w:t>Consent of Stockholders in Lieu of Meeting</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p>
    <w:p>
      <w:pPr>
        <w:pStyle w:val="normal1"/>
        <w:numPr>
          <w:ilvl w:val="0"/>
          <w:numId w:val="0"/>
        </w:numPr>
        <w:ind w:firstLine="720" w:start="0"/>
        <w:jc w:val="both"/>
        <w:rPr/>
      </w:pPr>
      <w:r>
        <w:rPr/>
        <w:t xml:space="preserve">1.10.1 </w:t>
      </w:r>
      <w:r>
        <w:rPr>
          <w:u w:val="single"/>
        </w:rPr>
        <w:t>Procedure</w:t>
      </w:r>
      <w:r>
        <w:rPr/>
        <w:t>.  Unless otherwise provided in the Certificate of Incorporation, any action required or permitted to be taken at any annual or special meeting of stockholders may be taken without a meeting, without prior notice and without a vote, if a consent or consents, setting forth the action so taken, shall be signed by the holders of outstanding stock having not less than the minimum number of votes that would be necessary to authorize or take such action at a meeting at which all shares entitled to vote thereon were present and voted and shall be delivered to the Corporation in the manner required by Section 1.10.3 below.</w:t>
      </w:r>
    </w:p>
    <w:p>
      <w:pPr>
        <w:pStyle w:val="normal1"/>
        <w:numPr>
          <w:ilvl w:val="0"/>
          <w:numId w:val="0"/>
        </w:numPr>
        <w:ind w:firstLine="720" w:start="0"/>
        <w:jc w:val="both"/>
        <w:rPr/>
      </w:pPr>
      <w:r>
        <w:rPr/>
        <w:t xml:space="preserve">1.10.2 </w:t>
      </w:r>
      <w:r>
        <w:rPr>
          <w:u w:val="single"/>
        </w:rPr>
        <w:t>Form of Consent</w:t>
      </w:r>
      <w:r>
        <w:rPr/>
        <w:t>. A consent must be set forth in writing or in an electronic transmission. No consent shall be effective to take the corporate action referred to therein unless consents signed by a sufficient number of holders to take action are delivered to the Corporation in the manner required by Section 1.10.3 below within 60 days of the first date on which a consent is so delivered to the Corporation.  Any person executing a consent may provide, whether through instruction to an agent or otherwise, that such consent will be effective at a future time, including a time determined upon the happening of an event, occurring not later than 60 days after such instruction is given or such provision is made, if evidence of the instruction or provision is provided to the Corporation.  If the person is not a stockholder of record when the consent is executed, the consent shall not be valid unless the person is a stockholder of record as of the record date for determining stockholders entitled to consent to the action. Unless otherwise provided, any such consent shall be revocable prior to it becoming effective. All references to a “consent” in this section means a consent permitted by this section.</w:t>
      </w:r>
    </w:p>
    <w:p>
      <w:pPr>
        <w:pStyle w:val="normal1"/>
        <w:numPr>
          <w:ilvl w:val="0"/>
          <w:numId w:val="0"/>
        </w:numPr>
        <w:ind w:firstLine="720" w:start="0"/>
        <w:jc w:val="both"/>
        <w:rPr/>
      </w:pPr>
      <w:r>
        <w:rPr/>
        <w:t xml:space="preserve">1.10.3 </w:t>
      </w:r>
      <w:r>
        <w:rPr>
          <w:u w:val="single"/>
        </w:rPr>
        <w:t>Delivery</w:t>
      </w:r>
      <w:r>
        <w:rPr/>
        <w:t>. A consent shall be delivered in any manner permitted by the DGCL, including: (i) to the principal place of business of the Corporation; (ii) to an officer or agent of the Corporation having custody of the book in which proceedings of meetings of stockholders are recorded; (iii) to the registered office of the Corporation in Delaware by hand or by certified or registered mail, return receipt requested; or (iv) subject to the next sentence, in accordance with Section 116 of the DGCL to an information processing system, if any, designated by the Corporation for receiving such consents. In the case of delivery pursuant to the foregoing clause (iv), such consent must set forth or be delivered with information that enables the Corporation to determine the date of delivery of such consent and the identity of the person giving such consent, and, if such consent is given by a person authorized to act for a stockholder as proxy, such consent must comply with the applicable provisions of Sections 212(c)(2) and (3) of the DGCL.  Any copy, facsimile or other reliable reproduction of a consent in writing may be substituted or used in lieu of the original writing for any and all purposes for which the original writing could be used, provided that such copy, facsimile or other reproduction shall be a complete reproduction of the entire original writing. A consent may be documented and signed in accordance with Section 116 of the DGCL, and when so documented or signed shall be deemed to be in writing for purposes of this Section 1.10.</w:t>
      </w:r>
    </w:p>
    <w:p>
      <w:pPr>
        <w:pStyle w:val="normal1"/>
        <w:numPr>
          <w:ilvl w:val="0"/>
          <w:numId w:val="0"/>
        </w:numPr>
        <w:ind w:firstLine="720" w:start="0"/>
        <w:jc w:val="both"/>
        <w:rPr/>
      </w:pPr>
      <w:r>
        <w:rPr/>
        <w:t xml:space="preserve">1.10.4 </w:t>
      </w:r>
      <w:r>
        <w:rPr>
          <w:u w:val="single"/>
        </w:rPr>
        <w:t>Notice of Consent</w:t>
      </w:r>
      <w:r>
        <w:rPr/>
        <w:t>.  If an action by consent under Sections 228(a) or (b) of the DGCL has been taken by stockholders by less-than-unanimous consent, prompt notice of the taking of the action by consent shall be given to those stockholders as of the record date for the action by consent who have not consented and who would have been entitled to notice of the meeting if the action had been taken at a meeting and the record date for the notice of the meeting were the record date for the action by consent. This notice may be provided by a notice which constitutes a notice of internet availability of proxy materials under rules promulgated under the Securities Exchange Act of 1934, 15 U.S.C. § 78a et seq.</w:t>
      </w:r>
    </w:p>
    <w:p>
      <w:pPr>
        <w:pStyle w:val="Heading1"/>
        <w:numPr>
          <w:ilvl w:val="0"/>
          <w:numId w:val="0"/>
        </w:numPr>
        <w:ind w:hanging="0" w:start="0"/>
        <w:rPr/>
      </w:pPr>
      <w:bookmarkStart w:id="11" w:name="_heading=h.x7svmcbxm0mc"/>
      <w:bookmarkEnd w:id="11"/>
      <w:r>
        <w:rPr/>
        <w:t>ARTICLE II: BOARD OF DIRECTORS</w:t>
      </w:r>
    </w:p>
    <w:p>
      <w:pPr>
        <w:pStyle w:val="normal1"/>
        <w:ind w:firstLine="0"/>
        <w:rPr/>
      </w:pPr>
      <w:bookmarkStart w:id="12" w:name="_heading=h.7vbcmxct63ig"/>
      <w:bookmarkEnd w:id="12"/>
      <w:r>
        <w:rPr/>
        <w:t xml:space="preserve">Section 2.1: </w:t>
      </w:r>
      <w:r>
        <w:rPr>
          <w:rFonts w:eastAsia="Times New Roman" w:cs="Times New Roman"/>
          <w:b/>
          <w:bCs/>
          <w:color w:val="000000"/>
          <w:sz w:val="24"/>
          <w:szCs w:val="24"/>
          <w:u w:val="single"/>
        </w:rPr>
        <w:t>Number; Qualifications</w:t>
      </w:r>
      <w:r>
        <w:rPr>
          <w:b/>
          <w:bCs/>
        </w:rPr>
        <w:t>.</w:t>
      </w:r>
      <w:r>
        <w:rPr/>
        <w:t xml:space="preserve">  The Board shall consist of one or more members, each of whom shall be a natural person.  The initial number of directors shall be one.  Thereafter, unless otherwise required by law or the Certificate of Incorporation, the number of directors shall be fixed from time to time by (i) resolution of the Board or (ii) the stockholders of the Corporation holding at least a majority of the voting power of the Corporation’s outstanding stock then entitled to vote at an election of directors.  No decrease in the authorized number of directors constituting the Board shall shorten the term of any incumbent director.  Directors need not be stockholders of the Corporation.</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3" w:name="_heading=h.ou3jh0wh4n31"/>
      <w:bookmarkEnd w:id="13"/>
      <w:r>
        <w:rPr/>
        <w:t xml:space="preserve">Section 2.2: </w:t>
      </w:r>
      <w:r>
        <w:rPr>
          <w:rFonts w:eastAsia="Times New Roman" w:cs="Times New Roman"/>
          <w:b/>
          <w:bCs/>
          <w:color w:val="000000"/>
          <w:sz w:val="24"/>
          <w:szCs w:val="24"/>
          <w:u w:val="single"/>
        </w:rPr>
        <w:t>Election; Resignation; Removal; Vacancies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Board shall initially consist of the person or persons elected by the incorporator or named in the Corporation’s initial Certificate of Incorporation.  Unless otherwise provided by the Certificate of Incorporation, each director shall hold office until such director’s successor is elected and qualified or until such director’s earlier death, resignation or removal.  Any director may resign at any time upon notice given in writing or by electronic transmission to the Corporation, which will be effective when the resignation is delivered unless the resignation specifies a later effective date or an effective date determined upon the happening of an event or events.  Except as otherwise provided by the Certificate of Incorporation or applicable law, any director or the entire Board may be removed, with or without cause, by the holders of a majority of the voting power of the shares then entitled to vote at an election of directors; provided, that, whenever the holders of any class or series are entitled to elect one or more directors by the Certificate of Incorporation, this sentence shall apply, in respect to the removal without cause of a director or directors so elected, to the vote of the holders of the outstanding shares of that class or series and not to the vote of the outstanding shares as a whole. Vacancies and newly created directorships resulting from any increase in the authorized number of directors elected by stockholders having the right to vote as a single class may be filled by (i) the stockholders, (ii) a majority of the directors then in office, although less than a quorum, or (iii) a sole remaining director.</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4" w:name="_heading=h.3n8cmszbci74"/>
      <w:bookmarkEnd w:id="14"/>
      <w:r>
        <w:rPr/>
        <w:t xml:space="preserve">Section 2.3: </w:t>
      </w:r>
      <w:r>
        <w:rPr>
          <w:rFonts w:eastAsia="Times New Roman" w:cs="Times New Roman"/>
          <w:b/>
          <w:bCs/>
          <w:color w:val="000000"/>
          <w:sz w:val="24"/>
          <w:szCs w:val="24"/>
          <w:u w:val="single"/>
        </w:rPr>
        <w:t>Regular Meetings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Regular meetings of the Board shall be held at such place or places, if any, within or outside of the State of Delaware, or by means of remote communication, on such date or dates, and at such time or times as shall have been established by the Board and publicized among all directors.  A notice of each regular meeting shall not be required.</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5" w:name="_heading=h.wwwmxitud6k2"/>
      <w:bookmarkEnd w:id="15"/>
      <w:r>
        <w:rPr/>
        <w:t xml:space="preserve">Section 2.4: </w:t>
      </w:r>
      <w:r>
        <w:rPr>
          <w:rFonts w:eastAsia="Times New Roman" w:cs="Times New Roman"/>
          <w:b/>
          <w:bCs/>
          <w:color w:val="000000"/>
          <w:sz w:val="24"/>
          <w:szCs w:val="24"/>
          <w:u w:val="single"/>
        </w:rPr>
        <w:t>Special Meetings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Special meetings of the Board may be called by the Chairperson of the Board, the Chief Executive Officer or a majority of the members of the Board then in office and may be held at any time, date or place, if any, within or outside of the State of Delaware, or by means of remote communication, as the person or persons calling the meeting shall fix.  Notice of the place, if any, date, and time of each such special meeting shall be given to each director by whom it is not waived by providing written notice in accordance with Section 7.1.1(a).  Unless otherwise indicated in the notice, any and all business may be transacted at a special meeting.</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6" w:name="_heading=h.991qbmxkbb9y"/>
      <w:bookmarkEnd w:id="16"/>
      <w:r>
        <w:rPr/>
        <w:t xml:space="preserve">Section 2.5: </w:t>
      </w:r>
      <w:r>
        <w:rPr>
          <w:rFonts w:eastAsia="Times New Roman" w:cs="Times New Roman"/>
          <w:b/>
          <w:bCs/>
          <w:color w:val="000000"/>
          <w:sz w:val="24"/>
          <w:szCs w:val="24"/>
          <w:u w:val="single"/>
        </w:rPr>
        <w:t>Remote Participation Permitted</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Members of the Board, or any committee of the Board, may participate in a meeting of the Board or such committee by means of conference telephone or other communications equipment by means of which all persons participating in the meeting can hear each other, and participation in a meeting pursuant to conference telephone or other communications equipment shall constitute presence in person at such meeting.</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7" w:name="_heading=h.6irq54sfk67e"/>
      <w:bookmarkEnd w:id="17"/>
      <w:r>
        <w:rPr/>
        <w:t xml:space="preserve">Section 2.6: </w:t>
      </w:r>
      <w:r>
        <w:rPr>
          <w:rFonts w:eastAsia="Times New Roman" w:cs="Times New Roman"/>
          <w:b/>
          <w:bCs/>
          <w:color w:val="000000"/>
          <w:sz w:val="24"/>
          <w:szCs w:val="24"/>
          <w:u w:val="single"/>
        </w:rPr>
        <w:t>Quorum; Vote Required for Action</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Subject to Section 2.2 above regarding the ability of the members of the Board to fill a vacancy or newly-created directorship on the Board, at all meetings of the Board, the presence a majority of the then current members of the Board shall constitute a quorum for the transaction of business; </w:t>
      </w:r>
      <w:r>
        <w:rPr>
          <w:rFonts w:eastAsia="Times New Roman" w:cs="Times New Roman"/>
          <w:b w:val="false"/>
          <w:bCs w:val="false"/>
          <w:i/>
          <w:iCs/>
          <w:caps w:val="false"/>
          <w:smallCaps w:val="false"/>
          <w:strike w:val="false"/>
          <w:dstrike w:val="false"/>
          <w:color w:val="000000"/>
          <w:position w:val="0"/>
          <w:sz w:val="24"/>
          <w:szCs w:val="24"/>
          <w:u w:val="single"/>
          <w:shd w:fill="auto" w:val="clear"/>
          <w:vertAlign w:val="baseline"/>
        </w:rPr>
        <w:t>provided</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w:t>
      </w:r>
      <w:r>
        <w:rPr>
          <w:rFonts w:eastAsia="Times New Roman" w:cs="Times New Roman"/>
          <w:b w:val="false"/>
          <w:bCs w:val="false"/>
          <w:i/>
          <w:iCs/>
          <w:caps w:val="false"/>
          <w:smallCaps w:val="false"/>
          <w:strike w:val="false"/>
          <w:dstrike w:val="false"/>
          <w:color w:val="000000"/>
          <w:position w:val="0"/>
          <w:sz w:val="24"/>
          <w:szCs w:val="24"/>
          <w:u w:val="single"/>
          <w:shd w:fill="auto" w:val="clear"/>
          <w:vertAlign w:val="baseline"/>
        </w:rPr>
        <w:t>however</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that such majority must constitute at least 1/3 of the total number of authorized directors whether or not there exist any vacancies in previously authorized directorships.  If a quorum shall fail to attend any meeting, a majority of those present may adjourn the meeting to another place, if any, date or time without further notice or waiver thereof.  Except as otherwise provided herein or in the Certificate of Incorporation, or required by law, the affirmative vote of a majority of the directors present at a meeting at which a quorum is present shall be the act of the Board.</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8" w:name="_heading=h.pibvo3qqk0ai"/>
      <w:bookmarkEnd w:id="18"/>
      <w:r>
        <w:rPr/>
        <w:t xml:space="preserve">Section 2.7: </w:t>
      </w:r>
      <w:r>
        <w:rPr>
          <w:rFonts w:eastAsia="Times New Roman" w:cs="Times New Roman"/>
          <w:b/>
          <w:bCs/>
          <w:color w:val="000000"/>
          <w:sz w:val="24"/>
          <w:szCs w:val="24"/>
          <w:u w:val="single"/>
        </w:rPr>
        <w:t>Organization</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Meetings of the Board shall be presided over by the Chairperson of the Board, or in such person’s absence by the Chief Executive Officer, or in such person’s absence by a chairperson chosen at the meeting.  The Secretary shall act as secretary of the meeting, but in such person’s absence the chairperson of the meeting may appoint any person to act as secretary of the meeting.</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19" w:name="_heading=h.31ntkxlup068"/>
      <w:bookmarkEnd w:id="19"/>
      <w:r>
        <w:rPr/>
        <w:t xml:space="preserve">Section 2.8: </w:t>
      </w:r>
      <w:r>
        <w:rPr>
          <w:rFonts w:eastAsia="Times New Roman" w:cs="Times New Roman"/>
          <w:b/>
          <w:bCs/>
          <w:color w:val="000000"/>
          <w:sz w:val="24"/>
          <w:szCs w:val="24"/>
          <w:u w:val="single"/>
        </w:rPr>
        <w:t>Written Action by Directors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Any action required or permitted to be taken at any meeting of the Board or of any committee thereof may be taken without a meeting if all members of the Board or committee, as the case may be, consent thereto in writing, or by electronic transmission.  Such consent may be documented, signed and delivered in any manner permitted by Section 116 of the DGCL.  Any person (whether or not then a director) may provide, whether through instruction to an agent or otherwise, that a consent to action will be effective at a future time (including a time determined upon the happening of an event), no later than 60 days after such instruction is given or such provision is made and such consent shall be deemed to have been given for purposes of this Section 2.8 at such effective time so long as such person is then a director and did not revoke the consent prior to such time. Any such consent shall be revocable prior to it becoming effective. After an action is taken, the consent or consents relating thereto shall be filed with the minutes of the proceedings of the Board, or the committee thereof, in the same paper or electronic form as the minutes are maintained.</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20" w:name="_heading=h.28b915z21iqj"/>
      <w:bookmarkEnd w:id="20"/>
      <w:r>
        <w:rPr/>
        <w:t xml:space="preserve">Section 2.9: </w:t>
      </w:r>
      <w:r>
        <w:rPr>
          <w:rFonts w:eastAsia="Times New Roman" w:cs="Times New Roman"/>
          <w:b/>
          <w:bCs/>
          <w:color w:val="000000"/>
          <w:sz w:val="24"/>
          <w:szCs w:val="24"/>
          <w:u w:val="single"/>
        </w:rPr>
        <w:t>Compensation of Directors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Members of the Board, as such, may receive, pursuant to a resolution of the Board, fees and other compensation for their services as directors, including without limitation their services as members of committees of the Board.</w:t>
      </w:r>
    </w:p>
    <w:p>
      <w:pPr>
        <w:pStyle w:val="Heading1"/>
        <w:numPr>
          <w:ilvl w:val="0"/>
          <w:numId w:val="0"/>
        </w:numPr>
        <w:ind w:hanging="0" w:start="0"/>
        <w:rPr/>
      </w:pPr>
      <w:bookmarkStart w:id="21" w:name="_heading=h.rey3am1sr27n"/>
      <w:bookmarkEnd w:id="21"/>
      <w:r>
        <w:rPr/>
        <w:t>ARTICLE III: COMMITTEES</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22" w:name="_heading=h.rcb4rbsllxov"/>
      <w:bookmarkEnd w:id="22"/>
      <w:r>
        <w:rPr/>
        <w:t xml:space="preserve">Section 3.1: </w:t>
      </w:r>
      <w:r>
        <w:rPr>
          <w:rFonts w:eastAsia="Times New Roman" w:cs="Times New Roman"/>
          <w:b/>
          <w:bCs/>
          <w:color w:val="000000"/>
          <w:sz w:val="24"/>
          <w:szCs w:val="24"/>
          <w:u w:val="single"/>
        </w:rPr>
        <w:t>Committees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Board may designate one or more committees, each committee to consist of one or more of the directors of the Corporation. The Board may designate one or more directors as alternate members of any committee, who may replace any absent or disqualified member at any meeting of the committee. In the absence or disqualification of a member of a committee, the member or members present at any meeting and not disqualified from voting, whether or not such member or members constitute a quorum, may unanimously appoint another member of the Board to act at the meeting in the place of any such absent or disqualified member. Any such committee, to the extent provided in the resolution of the Board shall have and may exercise all the powers and authority of the Board in the management of the business and affairs of the Corporation, and may authorize the seal of the Corporation to be affixed to all papers which may require it; but no such committee shall have the power or authority in reference to: (i) approving or adopting, or recommending to the stockholders, any action or matter (other than the election or removal of directors) expressly required by the DGCL to be submitted to stockholders for approval or (ii) adopting, amending or repealing any Bylaws.</w:t>
      </w:r>
    </w:p>
    <w:p>
      <w:pPr>
        <w:pStyle w:val="normal1"/>
        <w:ind w:firstLine="0"/>
        <w:rPr/>
      </w:pPr>
      <w:bookmarkStart w:id="23" w:name="_heading=h.sslca9jkor0w"/>
      <w:bookmarkEnd w:id="23"/>
      <w:r>
        <w:rPr/>
      </w:r>
      <w:r>
        <w:rPr/>
      </w:r>
      <w:r>
        <w:rPr/>
        <w:t xml:space="preserve">Section 3.2: </w:t>
      </w:r>
      <w:r>
        <w:rPr>
          <w:rFonts w:eastAsia="Times New Roman" w:cs="Times New Roman"/>
          <w:b/>
          <w:bCs/>
          <w:color w:val="000000"/>
          <w:sz w:val="24"/>
          <w:szCs w:val="24"/>
          <w:u w:val="single"/>
        </w:rPr>
        <w:t>Subcommittees</w:t>
      </w:r>
      <w:r>
        <w:rPr>
          <w:rFonts w:eastAsia="Times New Roman" w:cs="Times New Roman"/>
          <w:b/>
          <w:bCs/>
          <w:color w:val="000000"/>
          <w:sz w:val="24"/>
          <w:szCs w:val="24"/>
          <w:u w:val="none"/>
        </w:rPr>
        <w:t>.</w:t>
      </w:r>
      <w:r>
        <w:rPr/>
        <w:t xml:space="preserve">  A committee may create one or more subcommittees, each subcommittee to consist of one or more members of the committee, and delegate to a subcommittee any or all of the powers and authority of the committee.</w:t>
      </w:r>
      <w:r>
        <w:rPr/>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24" w:name="_heading=h.wyf8ir93p0gd"/>
      <w:bookmarkEnd w:id="24"/>
      <w:r>
        <w:rPr/>
        <w:t xml:space="preserve">Section 3.3: </w:t>
      </w:r>
      <w:r>
        <w:rPr>
          <w:rFonts w:eastAsia="Times New Roman" w:cs="Times New Roman"/>
          <w:b/>
          <w:bCs/>
          <w:color w:val="000000"/>
          <w:sz w:val="24"/>
          <w:szCs w:val="24"/>
          <w:u w:val="single"/>
        </w:rPr>
        <w:t>Committee Rules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Unless the Board otherwise provides, each committee designated by the Board may make, alter and repeal rules for the conduct of its business.  In the absence of such rules each committee shall conduct its business in the same manner as the Board conducts its business pursuant to Article II of these Bylaws.</w:t>
      </w:r>
    </w:p>
    <w:p>
      <w:pPr>
        <w:pStyle w:val="Heading1"/>
        <w:numPr>
          <w:ilvl w:val="0"/>
          <w:numId w:val="0"/>
        </w:numPr>
        <w:ind w:hanging="0" w:start="0"/>
        <w:rPr/>
      </w:pPr>
      <w:bookmarkStart w:id="25" w:name="_heading=h.9ysiud1w5zeh"/>
      <w:bookmarkEnd w:id="25"/>
      <w:r>
        <w:rPr/>
        <w:t>ARTICLE IV: OFFICERS</w:t>
      </w:r>
    </w:p>
    <w:p>
      <w:pPr>
        <w:pStyle w:val="normal1"/>
        <w:ind w:firstLine="0"/>
        <w:rPr/>
      </w:pPr>
      <w:bookmarkStart w:id="26" w:name="_heading=h.l6rtwa3zlrtr"/>
      <w:bookmarkEnd w:id="26"/>
      <w:r>
        <w:rPr/>
        <w:t xml:space="preserve">Section 4.1: </w:t>
      </w:r>
      <w:r>
        <w:rPr>
          <w:rFonts w:eastAsia="Times New Roman" w:cs="Times New Roman"/>
          <w:b/>
          <w:bCs/>
          <w:color w:val="000000"/>
          <w:sz w:val="24"/>
          <w:szCs w:val="24"/>
          <w:u w:val="single"/>
        </w:rPr>
        <w:t>Generally</w:t>
      </w:r>
      <w:r>
        <w:rPr>
          <w:b/>
          <w:bCs/>
        </w:rPr>
        <w:t>.</w:t>
      </w:r>
      <w:r>
        <w:rPr/>
        <w:t xml:space="preserve">  Officers of the Corporation shall be appointed by the Board (or its designee).  The officers of the Corporation shall include a Chief Executive Officer, a Secretary, and a Treasurer. The Board (or its designee) may also appoint a Chairperson of the Board, a President, one or more Vice-Presidents, Assistant Secretaries or Assistant Treasurers and such other officers and agents as it may deem appropriate.  Each officer shall hold office until such person’s successor is appointed and qualified or until such person’s earlier resignation, death or removal.  Any number of offices may be held by the same person.  Any officer may resign at any time upon notice given in writing or by electronic transmission to the Corporation.  In addition to natural-person officers, the Board (or its designee) may, subject to policies adopted by the Board (including any AI Governance Policy), authorize one or more officers of the Corporation to designate, supervise, and act through automated systems or artificial intelligence systems serving as electronic agents of the Corporation within the meaning of the Uniform Electronic Transactions Act (or analogous state law) and the federal Electronic Signatures in Global and National Commerce Act.  Acts taken by such an electronic agent within the scope of authority granted under this Section 4.1 and any policies adopted by the Board shall be the binding acts of the Corporation, and the supervising officer shall remain responsible to the Board for the performance and oversight of such electronic agent.</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27" w:name="_heading=h.kdx0yq6v1o9g"/>
      <w:bookmarkEnd w:id="27"/>
      <w:r>
        <w:rPr/>
        <w:t xml:space="preserve">Section 4.2: </w:t>
      </w:r>
      <w:r>
        <w:rPr>
          <w:rFonts w:eastAsia="Times New Roman" w:cs="Times New Roman"/>
          <w:b/>
          <w:bCs/>
          <w:color w:val="000000"/>
          <w:sz w:val="24"/>
          <w:szCs w:val="24"/>
          <w:u w:val="single"/>
        </w:rPr>
        <w:t>Chief Executive Officer</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Subject to the control of the Board and such supervisory powers, if any, as may be given by the Board, the powers and duties of the Chief Executive Officer of the Corporation are:</w:t>
      </w:r>
      <w:r>
        <w:t xml:space="preserve">  (i) To act as the general manager and, subject to the control of the Board, to have general supervision, direction and control of the business and affairs of the Corporation; (ii) Subject to Article I, Section 1.6, to preside at all meetings of the stockholders; (iii) Subject to Article I, Section 1.2, to call special meetings of the stockholders; and; and (iv) To affix the signature of the Corporation to all deeds, conveyances, mortgages, guarantees, leases, obligations, bonds, certificates and other papers and instruments in writing which have been authorized by the Board or which, in the judgment of the Chief Executive Officer, should be executed on behalf of the Corporation; to sign certificates for shares of stock of the Corporation; and, subject to the direction of the Board, to have general charge of the property of the Corporation and to supervise and control all officers, agents and employees of the Corporation.</w:t>
      </w:r>
    </w:p>
    <w:p>
      <w:pPr>
        <w:pStyle w:val="normal1"/>
        <w:keepNext w:val="false"/>
        <w:keepLines w:val="false"/>
        <w:pageBreakBefore w:val="false"/>
        <w:widowControl/>
        <w:pBdr/>
        <w:shd w:val="clear" w:fill="auto"/>
        <w:spacing w:lineRule="auto" w:line="240" w:before="0" w:after="240"/>
        <w:ind w:firstLine="144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The Chief Executive Officer of the Corporation shall serve as the President of the Corporation unless the Board shall designate another officer to be the President.</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28" w:name="_heading=h.lrhlib9ix01q"/>
      <w:bookmarkEnd w:id="28"/>
      <w:r>
        <w:rPr/>
        <w:t xml:space="preserve">Section 4.3: </w:t>
      </w:r>
      <w:r>
        <w:rPr>
          <w:rFonts w:eastAsia="Times New Roman" w:cs="Times New Roman"/>
          <w:b/>
          <w:bCs/>
          <w:color w:val="000000"/>
          <w:sz w:val="24"/>
          <w:szCs w:val="24"/>
          <w:u w:val="single"/>
        </w:rPr>
        <w:t>Chairperson of the Board</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Chairperson of the Board shall be chosen from among the members of the Board and shall have the power to preside at all meetings of the Board and shall have such other powers and duties as provided in these Bylaws and as the Board may from time to time prescribe.</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29" w:name="_heading=h.2lvr1is9366m"/>
      <w:bookmarkEnd w:id="29"/>
      <w:r>
        <w:rPr/>
        <w:t xml:space="preserve">Section 4.4: </w:t>
      </w:r>
      <w:r>
        <w:rPr>
          <w:rFonts w:eastAsia="Times New Roman" w:cs="Times New Roman"/>
          <w:b/>
          <w:bCs/>
          <w:color w:val="000000"/>
          <w:sz w:val="24"/>
          <w:szCs w:val="24"/>
          <w:u w:val="single"/>
        </w:rPr>
        <w:t>President</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Subject to the provisions of these Bylaws and to the direction of the Board, and subject to the supervisory powers of the Chief Executive Officer (if the Chief Executive Officer is an officer other than the President), and subject to such supervisory powers and authority as may be given by the Board to the Chairperson of the Board (if the Chairperson of the Board is a person other than the President), the President shall perform all duties and have all powers which are commonly incident to the office of president or such other duties and such other powers as the Board may from time to time prescribe.  The President shall perform the duties and exercise the powers of the Chief Executive Officer and of the Treasurer in the event of a vacancy in the office of Chief Executive Officer or Treasurer, or in the event of either such person’s absence or disability.</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0" w:name="_heading=h.ihbit05c3znf"/>
      <w:bookmarkEnd w:id="30"/>
      <w:r>
        <w:rPr/>
        <w:t xml:space="preserve">Section 4.5: </w:t>
      </w:r>
      <w:r>
        <w:rPr>
          <w:rFonts w:eastAsia="Times New Roman" w:cs="Times New Roman"/>
          <w:b/>
          <w:bCs/>
          <w:color w:val="000000"/>
          <w:sz w:val="24"/>
          <w:szCs w:val="24"/>
          <w:u w:val="single"/>
        </w:rPr>
        <w:t>Vice President</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Each Vice President shall have such powers and duties as  the Board (or its designee) may from time to time prescribe. One Vice President may be designated by the Board (or its designee) to perform the duties and exercise the powers of the President in the event of the President’s absence or disability.</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1" w:name="_heading=h.7v1udgqzrg5f"/>
      <w:bookmarkEnd w:id="31"/>
      <w:r>
        <w:rPr/>
        <w:t xml:space="preserve">Section 4.6: </w:t>
      </w:r>
      <w:r>
        <w:rPr>
          <w:rFonts w:eastAsia="Times New Roman" w:cs="Times New Roman"/>
          <w:b/>
          <w:bCs/>
          <w:color w:val="000000"/>
          <w:sz w:val="24"/>
          <w:szCs w:val="24"/>
          <w:u w:val="single"/>
        </w:rPr>
        <w:t>Treasurer</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Treasurer of the Corporation shall be the Chief Financial Officer unless the Board shall have designated another officer as the Chief Financial Officer of the Corporation.  The Treasurer shall have the responsibility for maintaining the financial records of the Corporation.  The Treasurer shall make such disbursements of the funds of the Corporation as are authorized and shall render to the Board from time to time an account of all such transactions and of the financial condition of the Corporation.  The Treasurer shall also perform such other duties and have such other powers as the Board (or its designee) may from time to time prescribe.</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2" w:name="_heading=h.fkmlj85ujpmc"/>
      <w:bookmarkEnd w:id="32"/>
      <w:r>
        <w:rPr/>
        <w:t xml:space="preserve">Section 4.7: </w:t>
      </w:r>
      <w:r>
        <w:rPr>
          <w:rFonts w:eastAsia="Times New Roman" w:cs="Times New Roman"/>
          <w:b/>
          <w:bCs/>
          <w:color w:val="000000"/>
          <w:sz w:val="24"/>
          <w:szCs w:val="24"/>
          <w:u w:val="single"/>
        </w:rPr>
        <w:t>Secretary</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Secretary shall issue or cause to be issued all authorized notices for, and shall keep minutes of, all meetings of the stockholders and the Board.  The Secretary shall have charge of the corporate books, shall have power to sign all stock certificates, and shall perform such other duties as the Board (or its designee) may from time to time prescribe.</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3" w:name="_heading=h.nltt6dslfxsp"/>
      <w:bookmarkEnd w:id="33"/>
      <w:r>
        <w:rPr/>
        <w:t xml:space="preserve">Section 4.8: </w:t>
      </w:r>
      <w:r>
        <w:rPr>
          <w:rFonts w:eastAsia="Times New Roman" w:cs="Times New Roman"/>
          <w:b/>
          <w:bCs/>
          <w:color w:val="000000"/>
          <w:sz w:val="24"/>
          <w:szCs w:val="24"/>
          <w:u w:val="single"/>
        </w:rPr>
        <w:t>Delegation of Authority</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Board (or its designee) may from time-to-time delegate the powers or duties of any officer to any other officers or agents, notwithstanding any provision hereof.</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4" w:name="_heading=h.3uhy91etgn0d"/>
      <w:bookmarkEnd w:id="34"/>
      <w:r>
        <w:rPr/>
        <w:t xml:space="preserve">Section 4.9: </w:t>
      </w:r>
      <w:r>
        <w:rPr>
          <w:rFonts w:eastAsia="Times New Roman" w:cs="Times New Roman"/>
          <w:b/>
          <w:bCs/>
          <w:color w:val="000000"/>
          <w:sz w:val="24"/>
          <w:szCs w:val="24"/>
          <w:u w:val="single"/>
        </w:rPr>
        <w:t>Removal</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Any officer of the Corporation shall serve at the pleasure of the Board and may be removed at any time, with or without cause, by the Board (or its designee) provided that, subject to the Certificate of Incorporation, if the Board has delegated the power to the Chief Executive Officer to appoint any Vice Presidents of the Corporation, then such Vice Presidents may be removed by the Chief Executive Officer.  Such removal shall be without prejudice to the contractual rights of such officer, if any, with the Corporation.</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5" w:name="_heading=h.38iy85qprtxr"/>
      <w:bookmarkEnd w:id="35"/>
      <w:r>
        <w:rPr/>
        <w:t xml:space="preserve">Section 4.10: </w:t>
      </w:r>
      <w:r>
        <w:rPr>
          <w:rFonts w:eastAsia="Times New Roman" w:cs="Times New Roman"/>
          <w:b/>
          <w:bCs/>
          <w:color w:val="000000"/>
          <w:sz w:val="24"/>
          <w:szCs w:val="24"/>
          <w:u w:val="single"/>
        </w:rPr>
        <w:t>Action with Respect to Securities of Other Entities</w:t>
      </w:r>
      <w:r>
        <w:rPr>
          <w:rFonts w:eastAsia="Times New Roman" w:cs="Times New Roman"/>
          <w:b/>
          <w:bCs/>
          <w:color w:val="000000"/>
          <w:sz w:val="24"/>
          <w:szCs w:val="24"/>
          <w:u w:val="no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Unless otherwise directed by the Board, the Chief Executive Officer (or any officer of the Corporation authorized by the Chief Executive Officer) shall have power to vote and otherwise act on behalf of the Corporation, in person or by proxy, at any meeting of equity holders, or with respect to any action of equity holders, of any other entity in which this Corporation may hold securities and otherwise to exercise any and all rights and powers which this Corporation may possess by reason of its ownership of securities in such other entity.</w:t>
      </w:r>
    </w:p>
    <w:p>
      <w:pPr>
        <w:pStyle w:val="Heading1"/>
        <w:numPr>
          <w:ilvl w:val="0"/>
          <w:numId w:val="0"/>
        </w:numPr>
        <w:ind w:hanging="0" w:start="0"/>
        <w:rPr/>
      </w:pPr>
      <w:bookmarkStart w:id="36" w:name="_heading=h.262kwsb5bl1b"/>
      <w:bookmarkEnd w:id="36"/>
      <w:r>
        <w:rPr/>
        <w:t>ARTICLE V: STOCK</w:t>
      </w:r>
    </w:p>
    <w:p>
      <w:pPr>
        <w:pStyle w:val="normal1"/>
        <w:keepNext w:val="tru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7" w:name="_heading=h.3g84dl234pgq"/>
      <w:bookmarkEnd w:id="37"/>
      <w:r>
        <w:rPr/>
        <w:t xml:space="preserve">Section 5.1: </w:t>
      </w:r>
      <w:r>
        <w:rPr>
          <w:rFonts w:eastAsia="Times New Roman" w:cs="Times New Roman"/>
          <w:b/>
          <w:bCs/>
          <w:color w:val="000000"/>
          <w:sz w:val="24"/>
          <w:szCs w:val="24"/>
          <w:u w:val="single"/>
        </w:rPr>
        <w:t>Certificates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shares of the Corporation shall be represented by certificates, provided that the Board may provide by resolution or resolutions that some or all of any or all classes or series of the Corporation’s stock shall be uncertificated shares. Any such resolution shall not apply to shares represented by a certificate until such certificate is surrendered to the Corporation (or the transfer agent or registrar, as the case may be).  Every holder of stock represented by certificates shall be entitled to have a certificate signed by, or in the name of, the Corporation by any two authorized officers of the Corporation (which, for the avoidance of doubt, includes the Chief Executive Officer and the Secretary) representing the number of shares registered in certificate form. Any or all the signatures on the certificate may be a facsimile. In case any officer, transfer agent or registrar who has signed or whose facsimile signature has been placed upon a certificate shall have ceased to be such officer, transfer agent or registrar before such certificate is issued, it may be issued by the Corporation with the same effect as if such person were such officer, transfer agent or registrar at the date of issue. The Corporation shall not have the power to issue a certificate in bearer form.</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8" w:name="_heading=h.tofidg8dr4rh"/>
      <w:bookmarkEnd w:id="38"/>
      <w:r>
        <w:rPr>
          <w:rFonts w:eastAsia="Times New Roman" w:cs="Times New Roman"/>
          <w:color w:val="000000"/>
          <w:sz w:val="24"/>
          <w:szCs w:val="24"/>
          <w:u w:val="none"/>
        </w:rPr>
        <w:t xml:space="preserve">Section 5.2: </w:t>
        <w:tab/>
      </w:r>
      <w:r>
        <w:rPr>
          <w:rFonts w:eastAsia="Times New Roman" w:cs="Times New Roman"/>
          <w:b/>
          <w:bCs/>
          <w:color w:val="000000"/>
          <w:sz w:val="24"/>
          <w:szCs w:val="24"/>
          <w:u w:val="single"/>
        </w:rPr>
        <w:t>Lost, Stolen or Destroyed Stock Certificates; Issuance of New Certificates or Uncertificated Shares</w:t>
      </w:r>
      <w:r>
        <w:rPr>
          <w:rFonts w:eastAsia="Times New Roman" w:cs="Times New Roman"/>
          <w:b/>
          <w:bCs/>
          <w:i w:val="false"/>
          <w:iCs w:val="false"/>
          <w:caps w:val="false"/>
          <w:smallCaps w:val="false"/>
          <w:strike w:val="false"/>
          <w:dstrike w:val="false"/>
          <w:color w:val="000000"/>
          <w:position w:val="0"/>
          <w:sz w:val="24"/>
          <w:szCs w:val="24"/>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Corporation may issue a new certificate of stock or uncertificated shares in place of any certificate theretofore issued by it, alleged to have been lost, stolen or destroyed, and the Corporation may require the owner of the lost, stolen or destroyed certificate, or such owner’s legal representative to give the Corporation a bond sufficient to indemnify it against any claim that may be made against it on account of the alleged loss, theft or destruction of any such certificate or the issuance of such new certificate or uncertificated shares.</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39" w:name="_heading=h.wutj9lsf7pko"/>
      <w:bookmarkEnd w:id="39"/>
      <w:r>
        <w:rPr/>
        <w:t xml:space="preserve">Section 5.3: </w:t>
      </w:r>
      <w:r>
        <w:rPr>
          <w:rFonts w:eastAsia="Times New Roman" w:cs="Times New Roman"/>
          <w:b/>
          <w:bCs/>
          <w:color w:val="000000"/>
          <w:sz w:val="24"/>
          <w:szCs w:val="24"/>
          <w:u w:val="single"/>
        </w:rPr>
        <w:t>Other Regulations</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  The issue, transfer, conversion and registration of stock certificates and uncertificated securities shall be governed by such other regulations as the Board (or its designee) may establish.</w:t>
      </w:r>
    </w:p>
    <w:p>
      <w:pPr>
        <w:pStyle w:val="Heading1"/>
        <w:numPr>
          <w:ilvl w:val="0"/>
          <w:numId w:val="0"/>
        </w:numPr>
        <w:ind w:hanging="0" w:start="0"/>
        <w:rPr/>
      </w:pPr>
      <w:bookmarkStart w:id="40" w:name="_heading=h.foicw59bhbds"/>
      <w:bookmarkEnd w:id="40"/>
      <w:r>
        <w:rPr/>
        <w:t>ARTICLE VI: INDEMNIFICATION AND ADVANCEMENT</w:t>
      </w:r>
    </w:p>
    <w:p>
      <w:pPr>
        <w:pStyle w:val="normal1"/>
        <w:ind w:firstLine="0"/>
        <w:rPr/>
      </w:pPr>
      <w:bookmarkStart w:id="41" w:name="_heading=h.6tk91r3wv28u"/>
      <w:bookmarkEnd w:id="41"/>
      <w:r>
        <w:rPr/>
        <w:t xml:space="preserve">Section 6.1: </w:t>
      </w:r>
      <w:r>
        <w:rPr>
          <w:rFonts w:eastAsia="Times New Roman" w:cs="Times New Roman"/>
          <w:b/>
          <w:bCs/>
          <w:color w:val="000000"/>
          <w:sz w:val="24"/>
          <w:szCs w:val="24"/>
          <w:u w:val="single"/>
        </w:rPr>
        <w:t>Indemnification of Officers and Directors</w:t>
      </w:r>
      <w:r>
        <w:rPr>
          <w:rFonts w:eastAsia="Times New Roman" w:cs="Times New Roman"/>
          <w:b/>
          <w:bCs/>
          <w:color w:val="000000"/>
          <w:sz w:val="24"/>
          <w:szCs w:val="24"/>
          <w:u w:val="none"/>
        </w:rPr>
        <w:t>.</w:t>
      </w:r>
      <w:r>
        <w:rPr/>
        <w:t xml:space="preserve">  Each person who was or is a party or is threatened to be made a party to, or is otherwise involved in, any threatened, pending or completed action, suit or proceeding, whether civil, criminal, administrative or investigative (a “</w:t>
      </w:r>
      <w:r>
        <w:rPr>
          <w:b/>
          <w:bCs/>
          <w:i/>
          <w:iCs/>
        </w:rPr>
        <w:t>Proceeding</w:t>
      </w:r>
      <w:r>
        <w:rPr/>
        <w:t>”), by reason of the fact that such person (or a person of whom such person is the legal representative), is or was a director or officer of the Corporation or, while serving as a director or officer of the Corporation is or was serving at the request of the Corporation as a director, officer, employee, agent or trustee of another corporation, partnership, joint venture, trust or other enterprise, including service with respect to employee benefit plans (for purposes of this Article VI, an “</w:t>
      </w:r>
      <w:r>
        <w:rPr>
          <w:b/>
          <w:bCs/>
          <w:i/>
          <w:iCs/>
        </w:rPr>
        <w:t>Indemnitee</w:t>
      </w:r>
      <w:r>
        <w:rPr/>
        <w:t>”), whether the basis of such proceeding is alleged action in an official capacity or in any other capacity while serving as a director or officer of the Corporation, shall be indemnified and held harmless by the Corporation to the fullest extent permitted by applicable law, as the same exists or may hereafter be amended (but, in the case of any such amendment, only to the extent that such amendment permits the Corporation to provide broader indemnification rights than such law permitted the Corporation to provide prior to such amendment), against all expenses, liability and loss (including attorneys’ fees, judgments, fines, ERISA excise taxes and penalties and amounts paid or to be paid in settlement) actually and reasonably incurred or suffered by such Indemnitee in connection with such Proceeding, provided such Indemnitee acted in good faith and in a manner that the Indemnitee reasonably believed to be in or not opposed to the best interests of the Corporation, and, with respect to any criminal Proceeding, had no reasonable cause to believe the Indemnitee’s conduct was unlawful.  A person who acted in good faith and in a manner such person reasonably believed to be in the interest of the participants and beneficiaries of an employee benefit plan shall be deemed to have acted in a manner “not opposed to the best interests of the Corporation” as referred to in this section.  Notwithstanding the foregoing, except as set forth in Section 6.6, the Corporation shall indemnify any such Indemnitee seeking indemnity in connection with a Proceeding (or part thereof) initiated by such Indemnitee only if such Proceeding (or part thereof) was authorized by the Board.  For purposes of this Article VI, “officers” shall include only those persons defined as officers in Section 145(c)(1) of the DGCL.</w:t>
      </w:r>
    </w:p>
    <w:p>
      <w:pPr>
        <w:pStyle w:val="normal1"/>
        <w:ind w:firstLine="0"/>
        <w:rPr/>
      </w:pPr>
      <w:bookmarkStart w:id="42" w:name="_heading=h.sqh4uuleizds"/>
      <w:bookmarkEnd w:id="42"/>
      <w:r>
        <w:rPr/>
        <w:t xml:space="preserve">Section 6.2: </w:t>
      </w:r>
      <w:r>
        <w:rPr>
          <w:rFonts w:eastAsia="Times New Roman" w:cs="Times New Roman"/>
          <w:b/>
          <w:bCs/>
          <w:color w:val="000000"/>
          <w:sz w:val="24"/>
          <w:szCs w:val="24"/>
          <w:u w:val="single"/>
        </w:rPr>
        <w:t>Advance of Expenses</w:t>
      </w:r>
      <w:r>
        <w:rPr>
          <w:rFonts w:eastAsia="Times New Roman" w:cs="Times New Roman"/>
          <w:b/>
          <w:bCs/>
          <w:color w:val="000000"/>
          <w:sz w:val="24"/>
          <w:szCs w:val="24"/>
          <w:u w:val="none"/>
        </w:rPr>
        <w:t>.</w:t>
      </w:r>
      <w:r>
        <w:rPr/>
        <w:t xml:space="preserve">  The Corporation shall pay all expenses (including attorneys’ fees) incurred by such an Indemnitee in defending any such Proceeding as they are incurred in advance of its final disposition; </w:t>
      </w:r>
      <w:r>
        <w:rPr>
          <w:i/>
          <w:iCs/>
          <w:u w:val="single"/>
        </w:rPr>
        <w:t>provided</w:t>
      </w:r>
      <w:r>
        <w:rPr/>
        <w:t xml:space="preserve">, </w:t>
      </w:r>
      <w:r>
        <w:rPr>
          <w:i/>
          <w:iCs/>
          <w:u w:val="single"/>
        </w:rPr>
        <w:t>however</w:t>
      </w:r>
      <w:r>
        <w:rPr/>
        <w:t>, that (i) if the DGCL then so requires, the payment of such expenses incurred by such an Indemnitee in advance of the final disposition of such Proceeding shall be made only upon delivery to the Corporation of an undertaking, by or on behalf of such Indemnitee, to repay all amounts so advanced if it shall be determined ultimately that such Indemnitee is not entitled to be indemnified under this Article VI or otherwise; and (ii) the Corporation shall not be required to advance any expenses to a person against whom the Corporation directly brings a claim, in a Proceeding, alleging that such person has breached such person’s duty of loyalty to the Corporation, committed an act or omission not in good faith or that involves intentional misconduct or a knowing violation of law, or derived an improper personal benefit from a transaction.</w:t>
      </w:r>
    </w:p>
    <w:p>
      <w:pPr>
        <w:pStyle w:val="normal1"/>
        <w:ind w:firstLine="0"/>
        <w:rPr/>
      </w:pPr>
      <w:bookmarkStart w:id="43" w:name="_heading=h.s7rknm7q0651"/>
      <w:bookmarkEnd w:id="43"/>
      <w:r>
        <w:rPr/>
        <w:t xml:space="preserve">Section 6.3: </w:t>
      </w:r>
      <w:r>
        <w:rPr>
          <w:rFonts w:eastAsia="Times New Roman" w:cs="Times New Roman"/>
          <w:b/>
          <w:bCs/>
          <w:color w:val="000000"/>
          <w:sz w:val="24"/>
          <w:szCs w:val="24"/>
          <w:u w:val="single"/>
        </w:rPr>
        <w:t>Non-Exclusivity of Rights</w:t>
      </w:r>
      <w:r>
        <w:rPr>
          <w:rFonts w:eastAsia="Times New Roman" w:cs="Times New Roman"/>
          <w:b/>
          <w:bCs/>
          <w:color w:val="000000"/>
          <w:sz w:val="24"/>
          <w:szCs w:val="24"/>
          <w:u w:val="none"/>
        </w:rPr>
        <w:t>.</w:t>
      </w:r>
      <w:r>
        <w:rPr/>
        <w:t xml:space="preserve">  The rights conferred on any person in this Article VI shall not be exclusive of any other right that such person may have or hereafter acquire under any statute, provision of the Certificate of Incorporation, provision of these Bylaws, agreement, vote or consent of stockholders or disinterested directors, or otherwise.  Additionally, nothing in this Article VI shall limit the ability of the Corporation, in its discretion, to indemnify or advance expenses to persons whom the Corporation is not obligated to indemnify or advance expenses pursuant to this Article VI.  </w:t>
      </w:r>
    </w:p>
    <w:p>
      <w:pPr>
        <w:pStyle w:val="normal1"/>
        <w:ind w:firstLine="0"/>
        <w:rPr/>
      </w:pPr>
      <w:bookmarkStart w:id="44" w:name="_heading=h.sf72ki35l7yj"/>
      <w:bookmarkEnd w:id="44"/>
      <w:r>
        <w:rPr/>
        <w:t xml:space="preserve">Section 6.4: </w:t>
      </w:r>
      <w:r>
        <w:rPr>
          <w:rFonts w:eastAsia="Times New Roman" w:cs="Times New Roman"/>
          <w:b/>
          <w:bCs/>
          <w:color w:val="000000"/>
          <w:sz w:val="24"/>
          <w:szCs w:val="24"/>
          <w:u w:val="single"/>
        </w:rPr>
        <w:t>Insurance</w:t>
      </w:r>
      <w:r>
        <w:rPr>
          <w:rFonts w:eastAsia="Times New Roman" w:cs="Times New Roman"/>
          <w:b/>
          <w:bCs/>
          <w:color w:val="000000"/>
          <w:sz w:val="24"/>
          <w:szCs w:val="24"/>
          <w:u w:val="none"/>
        </w:rPr>
        <w:t>.</w:t>
      </w:r>
      <w:r>
        <w:rPr/>
        <w:t xml:space="preserve">  The Board may, to the full extent permitted by applicable law as it presently exists, or may hereafter be amended from time to time, authorize an appropriate officer or officers to purchase and maintain at the Corporation’s expense insurance:  (i) to indemnify the Corporation for any obligation which it incurs as a result of the indemnification of directors and officers and any other person under the provisions of this Article VI or otherwise and (ii) to indemnify or insure directors, officers and employees against liability, including in instances in which they may not otherwise be indemnified by the Corporation under the provisions of this Article VI.</w:t>
      </w:r>
    </w:p>
    <w:p>
      <w:pPr>
        <w:pStyle w:val="normal1"/>
        <w:ind w:firstLine="0"/>
        <w:rPr/>
      </w:pPr>
      <w:bookmarkStart w:id="45" w:name="_heading=h.nwp43dicij1"/>
      <w:bookmarkEnd w:id="45"/>
      <w:r>
        <w:rPr/>
        <w:t xml:space="preserve">Section 6.5: </w:t>
      </w:r>
      <w:r>
        <w:rPr>
          <w:rFonts w:eastAsia="Times New Roman" w:cs="Times New Roman"/>
          <w:b/>
          <w:bCs/>
          <w:color w:val="000000"/>
          <w:sz w:val="24"/>
          <w:szCs w:val="24"/>
          <w:u w:val="single"/>
        </w:rPr>
        <w:t>Right of Indemnitee to Bring Suit</w:t>
      </w:r>
      <w:r>
        <w:rPr>
          <w:rFonts w:eastAsia="Times New Roman" w:cs="Times New Roman"/>
          <w:b/>
          <w:bCs/>
          <w:color w:val="000000"/>
          <w:sz w:val="24"/>
          <w:szCs w:val="24"/>
          <w:u w:val="none"/>
        </w:rPr>
        <w:t>.</w:t>
      </w:r>
      <w:r>
        <w:rPr/>
        <w:t xml:space="preserve">  The following shall apply to the extent not in conflict with any indemnification contract provided for in Section 6.3 above.</w:t>
      </w:r>
    </w:p>
    <w:p>
      <w:pPr>
        <w:pStyle w:val="normal1"/>
        <w:numPr>
          <w:ilvl w:val="0"/>
          <w:numId w:val="0"/>
        </w:numPr>
        <w:ind w:firstLine="720" w:start="0"/>
        <w:jc w:val="both"/>
        <w:rPr/>
      </w:pPr>
      <w:r>
        <w:rPr/>
      </w:r>
      <w:r>
        <w:rPr/>
      </w:r>
      <w:r>
        <w:rPr/>
        <w:t xml:space="preserve">6.5.1 </w:t>
      </w:r>
      <w:r>
        <w:rPr>
          <w:u w:val="single"/>
        </w:rPr>
        <w:t>Right to Bring Suit</w:t>
      </w:r>
      <w:r>
        <w:rPr/>
        <w:t xml:space="preserve">.  </w:t>
      </w:r>
      <w:r>
        <w:rPr/>
      </w:r>
      <w:r>
        <w:rPr/>
        <w:t>If a claim under Section 6.1 or 6.2 of this Article VI is not paid in full by the Corporation within 60 days after a written claim has been received by the Corporation (except in the case of a claim for an advancement of expenses, in which case the applicable period shall be 20 days), the Indemnitee may at any time thereafter bring suit against the Corporation to recover the unpaid amount of the claim.  To the fullest extent permitted by law, if successful in whole or in part in any such suit, or in a suit brought by the Corporation to recover an advancement of expenses, the Indemnitee shall be entitled to be paid also the expense of prosecuting or defending such suit.  In (i) any suit brought by the Indemnitee to enforce a right to indemnification hereunder (but not in a suit brought by the Indemnitee to enforce a right to an advancement of expenses) it shall be a defense that, and (ii) in any suit brought by the Corporation to recover an advancement of expenses, the Corporation shall be entitled to recover such expenses upon a final adjudication that, the Indemnitee has not met any applicable standard for indemnification set forth in applicable law.</w:t>
      </w:r>
    </w:p>
    <w:p>
      <w:pPr>
        <w:pStyle w:val="normal1"/>
        <w:numPr>
          <w:ilvl w:val="0"/>
          <w:numId w:val="0"/>
        </w:numPr>
        <w:ind w:firstLine="720" w:start="0"/>
        <w:jc w:val="both"/>
        <w:rPr/>
      </w:pPr>
      <w:r>
        <w:rPr/>
        <w:t xml:space="preserve">6.5.2 </w:t>
      </w:r>
      <w:r>
        <w:rPr>
          <w:u w:val="single"/>
        </w:rPr>
        <w:t>Effect of Determination</w:t>
      </w:r>
      <w:r>
        <w:rPr/>
        <w:t>.  Neither the failure of the Corporation (including its directors who are not parties to such action, a committee of such directors, independent legal counsel or its stockholders) to have made a determination prior to the commencement of such suit that indemnification of the Indemnitee is proper in the circumstances because the Indemnitee has met the applicable standard of conduct set forth in applicable law, nor an actual determination by the Corporation (including its directors who are not parties to such action, a committee of such directors, independent legal counsel or its stockholders) that the Indemnitee has not met such applicable standard of conduct, shall create a presumption that the Indemnitee has not met the applicable standard of conduct or, in the case of such a suit brought by the Indemnitee, be a defense to such suit.</w:t>
      </w:r>
    </w:p>
    <w:p>
      <w:pPr>
        <w:pStyle w:val="normal1"/>
        <w:numPr>
          <w:ilvl w:val="0"/>
          <w:numId w:val="0"/>
        </w:numPr>
        <w:ind w:firstLine="720" w:start="0"/>
        <w:jc w:val="both"/>
        <w:rPr/>
      </w:pPr>
      <w:r>
        <w:rPr/>
        <w:t xml:space="preserve">6.5.3 </w:t>
      </w:r>
      <w:r>
        <w:rPr>
          <w:u w:val="single"/>
        </w:rPr>
        <w:t>Burden of Proof</w:t>
      </w:r>
      <w:r>
        <w:rPr/>
        <w:t>.  In any suit brought by the Indemnitee to enforce a right to indemnification or to an advancement of expenses hereunder, or brought by the Corporation to recover an advancement of expenses, the burden of proving that the Indemnitee is not entitled to be indemnified, or to such advancement of expenses, under this Article VI, or otherwise, shall be on the Corporation.</w:t>
      </w:r>
    </w:p>
    <w:p>
      <w:pPr>
        <w:pStyle w:val="normal1"/>
        <w:ind w:firstLine="0"/>
        <w:rPr/>
      </w:pPr>
      <w:bookmarkStart w:id="46" w:name="_heading=h.gdmtyum0rb8x"/>
      <w:bookmarkEnd w:id="46"/>
      <w:r>
        <w:rPr/>
        <w:t xml:space="preserve">Section 6.6: </w:t>
      </w:r>
      <w:r>
        <w:rPr>
          <w:rFonts w:eastAsia="Times New Roman" w:cs="Times New Roman"/>
          <w:b/>
          <w:bCs/>
          <w:color w:val="000000"/>
          <w:sz w:val="24"/>
          <w:szCs w:val="24"/>
          <w:u w:val="single"/>
        </w:rPr>
        <w:t>Nature of Rights</w:t>
      </w:r>
      <w:r>
        <w:rPr>
          <w:rFonts w:eastAsia="Times New Roman" w:cs="Times New Roman"/>
          <w:b/>
          <w:bCs/>
          <w:color w:val="000000"/>
          <w:sz w:val="24"/>
          <w:szCs w:val="24"/>
          <w:u w:val="none"/>
        </w:rPr>
        <w:t>.</w:t>
      </w:r>
      <w:r>
        <w:rPr/>
        <w:t xml:space="preserve">  The rights conferred upon Indemnitees in this Article VI shall be contractual rights, shall continue as to an Indemnitee who has ceased to be a director or officer and shall inure to the benefit of the Indemnitee’s heirs, executors and administrators.  Any amendment, repeal or modification of any provision of this Article VI that adversely affects any right of an Indemnitee or an Indemnitee’s successors shall be prospective only and shall not adversely affect any right or protection conferred on a person pursuant to this Article VI and existing at the time of such amendment, repeal or modification.</w:t>
      </w:r>
    </w:p>
    <w:p>
      <w:pPr>
        <w:pStyle w:val="Heading1"/>
        <w:numPr>
          <w:ilvl w:val="0"/>
          <w:numId w:val="0"/>
        </w:numPr>
        <w:ind w:hanging="0" w:start="0"/>
        <w:rPr/>
      </w:pPr>
      <w:bookmarkStart w:id="47" w:name="_heading=h.i7jaurzek8qw"/>
      <w:bookmarkEnd w:id="47"/>
      <w:r>
        <w:rPr/>
        <w:t>ARTICLE VII: NOTICES</w:t>
      </w:r>
    </w:p>
    <w:p>
      <w:pPr>
        <w:pStyle w:val="normal1"/>
        <w:keepNext w:val="false"/>
        <w:keepLines w:val="false"/>
        <w:pageBreakBefore w:val="false"/>
        <w:widowControl/>
        <w:pBdr/>
        <w:shd w:val="clear" w:fill="auto"/>
        <w:spacing w:lineRule="auto" w:line="240" w:before="0" w:after="240"/>
        <w:ind w:firstLine="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bookmarkStart w:id="48" w:name="_heading=h.kzvyrzqznssn"/>
      <w:bookmarkEnd w:id="48"/>
      <w:r>
        <w:rPr/>
        <w:t xml:space="preserve">Section 7.1: </w:t>
      </w:r>
      <w:r>
        <w:rPr>
          <w:rFonts w:eastAsia="Times New Roman" w:cs="Times New Roman"/>
          <w:b/>
          <w:bCs/>
          <w:color w:val="000000"/>
          <w:sz w:val="24"/>
          <w:szCs w:val="24"/>
          <w:u w:val="single"/>
        </w:rPr>
        <w:t>Notice</w:t>
      </w: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w:t>
      </w:r>
    </w:p>
    <w:p>
      <w:pPr>
        <w:pStyle w:val="normal1"/>
        <w:numPr>
          <w:ilvl w:val="0"/>
          <w:numId w:val="0"/>
        </w:numPr>
        <w:ind w:firstLine="720" w:start="0"/>
        <w:jc w:val="both"/>
        <w:rPr/>
      </w:pPr>
      <w:r>
        <w:rPr/>
      </w:r>
      <w:r>
        <w:rPr/>
      </w:r>
      <w:r>
        <w:rPr/>
        <w:t xml:space="preserve">7.1.1 </w:t>
      </w:r>
      <w:r>
        <w:rPr>
          <w:u w:val="single"/>
        </w:rPr>
        <w:t>Form and Delivery</w:t>
      </w:r>
      <w:r>
        <w:rPr/>
        <w:t>.  Except as otherwise specifically required in these Bylaws (including, without limitation, Section 7.1.3 below and the last sentence of Section 1.2 above) or by law, all notices required to be given pursuant to these Bylaws may,</w:t>
      </w:r>
    </w:p>
    <w:p>
      <w:pPr>
        <w:pStyle w:val="normal1"/>
        <w:keepNext w:val="false"/>
        <w:keepLines w:val="false"/>
        <w:pageBreakBefore w:val="false"/>
        <w:widowControl/>
        <w:numPr>
          <w:ilvl w:val="0"/>
          <w:numId w:val="1"/>
        </w:numPr>
        <w:pBdr/>
        <w:shd w:val="clear" w:fill="auto"/>
        <w:spacing w:lineRule="auto" w:line="240" w:before="0" w:after="240"/>
        <w:ind w:firstLine="216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in connection with any delivery to a member of the Board, be effectively given by hand delivery, by depositing such notice in the U.S. mail, postage prepaid, or by sending such notice by courier service, electronic mail, or other form of electronic transmission, provided if such notice is delivered pursuant to Section 2.4 to call a special meeting of the Board, delivery of such notice must occur not less than five days before the meeting or by electronic transmission of the same not less than 24 hours before the meeting; and </w:t>
      </w: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r>
    </w:p>
    <w:p>
      <w:pPr>
        <w:pStyle w:val="normal1"/>
        <w:keepNext w:val="false"/>
        <w:keepLines w:val="false"/>
        <w:pageBreakBefore w:val="false"/>
        <w:widowControl/>
        <w:numPr>
          <w:ilvl w:val="0"/>
          <w:numId w:val="1"/>
        </w:numPr>
        <w:pBdr/>
        <w:shd w:val="clear" w:fill="auto"/>
        <w:spacing w:lineRule="auto" w:line="240" w:before="0" w:after="240"/>
        <w:ind w:firstLine="216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be effectively delivered to a stockholder when given by hand delivery, by depositing such notice in the U.S. mail, postage prepaid, by courier service, by direction to such stockholder’s electronic mail address or, if specifically consented to by the stockholder as described in Section 7.1.2 of this Article VII, by sending such notice by facsimile, posting such notice on an electronic network together with separate notice to the stockholder of such specific posting, or any other form of electronic transmission.  The notice shall be given (i) in the case of hand delivery, when received by the person to whom notice is to be given or by any person accepting such notice on behalf of such person, (ii) in the case of delivery by U.S. mail, upon deposit in the U.S. mail, postage prepaid, (iii) in the case of delivery by courier service, the earlier of when the notice is received or left at such stockholder’s address, (iv) if given by electronic mail, when directed to such stockholder’s electronic mail address unless the stockholder has notified the Corporation in writing or by electronic transmission of an objection to receiving notice by electronic mail or such notice is prohibited by Section 7.1.3 below; and (v) in the case of delivery via facsimile or other form of electronic transmission, in accordance with Section 7.1.2 of this Article VII.  </w:t>
      </w:r>
    </w:p>
    <w:p>
      <w:pPr>
        <w:pStyle w:val="normal1"/>
        <w:numPr>
          <w:ilvl w:val="0"/>
          <w:numId w:val="0"/>
        </w:numPr>
        <w:ind w:firstLine="720" w:start="0"/>
        <w:jc w:val="both"/>
        <w:rPr/>
      </w:pPr>
      <w:r>
        <w:rPr/>
        <w:t xml:space="preserve">7.1.2 </w:t>
      </w:r>
      <w:r>
        <w:rPr>
          <w:u w:val="single"/>
        </w:rPr>
        <w:t>Electronic Transmission</w:t>
      </w:r>
      <w:r>
        <w:rPr/>
        <w:t>.  Without limiting the manner by which notice otherwise may be given effectively to stockholders, but subject to Section 7.1.3 below, any notice to stockholders given by the Corporation under any provision of the DGCL, the Certificate of Incorporation, or these Bylaws shall be effective if given by a form of electronic transmission consented to by the stockholder to whom the notice is given.  Any such consent shall be revocable by the stockholder by written notice or electronic transmission to the Corporation.  The Corporation may give a notice by electronic mail in accordance with Section 7.1.1 without obtaining the consent required by this Section 7.1.2.  Notice given pursuant to this Section 7.1.2 shall be deemed given: (i) if by facsimile telecommunication, when directed to a number at which the stockholder has consented to receive notice; (ii) if by a posting on an electronic network together with separate notice to the stockholder of such specific posting, upon the later of such posting and the giving of such separate notice; and (iii) if by any other form of electronic transmission, when directed to the stockholder.</w:t>
      </w:r>
    </w:p>
    <w:p>
      <w:pPr>
        <w:pStyle w:val="normal1"/>
        <w:numPr>
          <w:ilvl w:val="0"/>
          <w:numId w:val="0"/>
        </w:numPr>
        <w:ind w:firstLine="720" w:start="0"/>
        <w:jc w:val="both"/>
        <w:rPr/>
      </w:pPr>
      <w:r>
        <w:rPr/>
        <w:t xml:space="preserve">7.1.3 </w:t>
      </w:r>
      <w:r>
        <w:rPr>
          <w:u w:val="single"/>
        </w:rPr>
        <w:t>Exceptions To Delivery by Electronic Transmission</w:t>
      </w:r>
      <w:r>
        <w:rPr/>
        <w:t xml:space="preserve">.  Notwithstanding anything in this Article VII to the contrary, a notice may not be given by an electronic transmission from and after the time that: (i) the Corporation is unable to deliver by such electronic transmission two consecutive notices given by the Corporation and (ii) such inability becomes known to the Secretary or an Assistant Secretary of the Corporation or to the transfer agent, or other person responsible for the giving of notice, </w:t>
      </w:r>
      <w:r>
        <w:rPr>
          <w:i/>
          <w:iCs/>
          <w:u w:val="single"/>
        </w:rPr>
        <w:t>provided</w:t>
      </w:r>
      <w:r>
        <w:rPr/>
        <w:t xml:space="preserve">, </w:t>
      </w:r>
      <w:r>
        <w:rPr>
          <w:i/>
          <w:iCs/>
          <w:u w:val="single"/>
        </w:rPr>
        <w:t>however</w:t>
      </w:r>
      <w:r>
        <w:rPr/>
        <w:t>, the inadvertent failure to discover such inability shall not invalidate any meeting or other action.</w:t>
      </w:r>
    </w:p>
    <w:p>
      <w:pPr>
        <w:pStyle w:val="normal1"/>
        <w:numPr>
          <w:ilvl w:val="0"/>
          <w:numId w:val="0"/>
        </w:numPr>
        <w:ind w:firstLine="720" w:start="0"/>
        <w:jc w:val="both"/>
        <w:rPr/>
      </w:pPr>
      <w:r>
        <w:rPr/>
        <w:t xml:space="preserve">7.1.4 </w:t>
      </w:r>
      <w:r>
        <w:rPr>
          <w:u w:val="single"/>
        </w:rPr>
        <w:t>Affidavit of Giving Notice</w:t>
      </w:r>
      <w:r>
        <w:rPr/>
        <w:t>.  An affidavit of the Secretary or an Assistant Secretary or of the transfer agent or other agent of the Corporation that the notice has been given shall, in the absence of fraud, be prima facie evidence of the facts stated therein.</w:t>
      </w:r>
    </w:p>
    <w:p>
      <w:pPr>
        <w:pStyle w:val="normal1"/>
        <w:numPr>
          <w:ilvl w:val="0"/>
          <w:numId w:val="0"/>
        </w:numPr>
        <w:ind w:firstLine="720" w:start="0"/>
        <w:jc w:val="both"/>
        <w:rPr/>
      </w:pPr>
      <w:r>
        <w:rPr/>
        <w:t xml:space="preserve">7.1.5 </w:t>
      </w:r>
      <w:r>
        <w:rPr>
          <w:u w:val="single"/>
        </w:rPr>
        <w:t>Definitions</w:t>
      </w:r>
      <w:r>
        <w:rPr/>
        <w:t>.  The terms “electronic transmission”, “electronic mail” and “electronic mail address” shall have the meanings given to such terms in Section 232 of the DGCL.</w:t>
      </w:r>
    </w:p>
    <w:p>
      <w:pPr>
        <w:pStyle w:val="normal1"/>
        <w:numPr>
          <w:ilvl w:val="0"/>
          <w:numId w:val="0"/>
        </w:numPr>
        <w:ind w:firstLine="720" w:start="0"/>
        <w:jc w:val="both"/>
        <w:rPr/>
      </w:pPr>
      <w:r>
        <w:rPr/>
        <w:t xml:space="preserve">7.1.6 </w:t>
      </w:r>
      <w:r>
        <w:rPr>
          <w:u w:val="single"/>
        </w:rPr>
        <w:t>Limitation</w:t>
      </w:r>
      <w:r>
        <w:rPr/>
        <w:t>.  To the extent Section 232 of the DGCL is inapplicable to Sections 164, 296, 311, 312 or 324 of the DGCL, this Article VII shall be similarly inapplicable.</w:t>
      </w:r>
    </w:p>
    <w:p>
      <w:pPr>
        <w:pStyle w:val="normal1"/>
        <w:ind w:firstLine="0"/>
        <w:rPr/>
      </w:pPr>
      <w:bookmarkStart w:id="49" w:name="_heading=h.6gba9jx7tf6b"/>
      <w:bookmarkEnd w:id="49"/>
      <w:r>
        <w:rPr/>
        <w:t xml:space="preserve">Section 7.2: </w:t>
      </w:r>
      <w:r>
        <w:rPr>
          <w:rFonts w:eastAsia="Times New Roman" w:cs="Times New Roman"/>
          <w:b/>
          <w:bCs/>
          <w:color w:val="000000"/>
          <w:sz w:val="24"/>
          <w:szCs w:val="24"/>
          <w:u w:val="single"/>
        </w:rPr>
        <w:t>Waiver of Notice</w:t>
      </w:r>
      <w:r>
        <w:rPr>
          <w:rFonts w:eastAsia="Times New Roman" w:cs="Times New Roman"/>
          <w:b/>
          <w:bCs/>
          <w:color w:val="000000"/>
          <w:sz w:val="24"/>
          <w:szCs w:val="24"/>
          <w:u w:val="none"/>
        </w:rPr>
        <w:t>.</w:t>
      </w:r>
      <w:r>
        <w:rPr/>
        <w:t xml:space="preserve">  Whenever notice is required to be given under any provision of the DGCL or the Certificate of Incorporation or these Bylaws, a written waiver, signed by the person entitled to notice, or a waiver by electronic transmission by the person entitled to notice, whether before or after the time stated therein, shall be deemed equivalent to notice. Attendance of a person at a meeting shall constitute a waiver of notice of such meeting, except when the person attends a meeting for the express purpose of objecting at the beginning of the meeting, to the transaction of any business because the meeting is not lawfully called or convened. Neither the business to be transacted at, nor the purpose of, any regular or special meeting of the stockholders, directors or members of a committee of directors need be specified in any written waiver of notice or any waiver by electronic transmission unless so required by the Certificate of Incorporation or these Bylaws.</w:t>
      </w:r>
    </w:p>
    <w:p>
      <w:pPr>
        <w:pStyle w:val="Heading1"/>
        <w:numPr>
          <w:ilvl w:val="0"/>
          <w:numId w:val="0"/>
        </w:numPr>
        <w:ind w:hanging="0" w:start="0"/>
        <w:rPr/>
      </w:pPr>
      <w:bookmarkStart w:id="50" w:name="_heading=h.dbw06p3jc7mz"/>
      <w:bookmarkEnd w:id="50"/>
      <w:r>
        <w:rPr/>
        <w:t>ARTICLE VIII: MISCELLANEOUS</w:t>
      </w:r>
    </w:p>
    <w:p>
      <w:pPr>
        <w:pStyle w:val="normal1"/>
        <w:ind w:firstLine="0"/>
        <w:rPr/>
      </w:pPr>
      <w:bookmarkStart w:id="51" w:name="_heading=h.975bwn95gyln"/>
      <w:bookmarkEnd w:id="51"/>
      <w:r>
        <w:rPr/>
        <w:t xml:space="preserve">Section 8.1: </w:t>
      </w:r>
      <w:r>
        <w:rPr>
          <w:rFonts w:eastAsia="Times New Roman" w:cs="Times New Roman"/>
          <w:b/>
          <w:bCs/>
          <w:color w:val="000000"/>
          <w:sz w:val="24"/>
          <w:szCs w:val="24"/>
          <w:u w:val="single"/>
        </w:rPr>
        <w:t>Annual Report</w:t>
      </w:r>
      <w:r>
        <w:rPr>
          <w:rFonts w:eastAsia="Times New Roman" w:cs="Times New Roman"/>
          <w:b/>
          <w:bCs/>
          <w:color w:val="000000"/>
          <w:sz w:val="24"/>
          <w:szCs w:val="24"/>
          <w:u w:val="none"/>
        </w:rPr>
        <w:t>.</w:t>
      </w:r>
      <w:r>
        <w:rPr/>
        <w:t xml:space="preserve">  During such time or times that the Corporation is subject to Section 1501 of the California General Corporation Law, if and so long as there are fewer than 100 holders of record of the Corporation’s shares, the requirement of sending of an annual report to the stockholders of the Corporation is hereby expressly waived.</w:t>
      </w:r>
    </w:p>
    <w:p>
      <w:pPr>
        <w:pStyle w:val="normal1"/>
        <w:ind w:firstLine="0"/>
        <w:rPr/>
      </w:pPr>
      <w:bookmarkStart w:id="52" w:name="_heading=h.rpv4kavo0xn7"/>
      <w:bookmarkEnd w:id="52"/>
      <w:r>
        <w:rPr/>
        <w:t xml:space="preserve">Section 8.2: </w:t>
      </w:r>
      <w:r>
        <w:rPr>
          <w:rFonts w:eastAsia="Times New Roman" w:cs="Times New Roman"/>
          <w:b/>
          <w:bCs/>
          <w:color w:val="000000"/>
          <w:sz w:val="24"/>
          <w:szCs w:val="24"/>
          <w:u w:val="single"/>
        </w:rPr>
        <w:t>Fiscal Year</w:t>
      </w:r>
      <w:r>
        <w:rPr>
          <w:rFonts w:eastAsia="Times New Roman" w:cs="Times New Roman"/>
          <w:b/>
          <w:bCs/>
          <w:color w:val="000000"/>
          <w:sz w:val="24"/>
          <w:szCs w:val="24"/>
          <w:u w:val="none"/>
        </w:rPr>
        <w:t>.</w:t>
      </w:r>
      <w:r>
        <w:rPr/>
        <w:t xml:space="preserve">  The fiscal year of the Corporation shall be determined by resolution of the Board.</w:t>
      </w:r>
    </w:p>
    <w:p>
      <w:pPr>
        <w:pStyle w:val="normal1"/>
        <w:ind w:firstLine="0"/>
        <w:rPr/>
      </w:pPr>
      <w:bookmarkStart w:id="53" w:name="_heading=h.rgolwqk9ac9w"/>
      <w:bookmarkEnd w:id="53"/>
      <w:r>
        <w:rPr/>
        <w:t xml:space="preserve">Section 8.3: </w:t>
      </w:r>
      <w:r>
        <w:rPr>
          <w:rFonts w:eastAsia="Times New Roman" w:cs="Times New Roman"/>
          <w:b/>
          <w:bCs/>
          <w:color w:val="000000"/>
          <w:sz w:val="24"/>
          <w:szCs w:val="24"/>
          <w:u w:val="single"/>
        </w:rPr>
        <w:t>Seal</w:t>
      </w:r>
      <w:r>
        <w:rPr>
          <w:rFonts w:eastAsia="Times New Roman" w:cs="Times New Roman"/>
          <w:b/>
          <w:bCs/>
          <w:color w:val="000000"/>
          <w:sz w:val="24"/>
          <w:szCs w:val="24"/>
          <w:u w:val="none"/>
        </w:rPr>
        <w:t>.</w:t>
      </w:r>
      <w:r>
        <w:rPr/>
        <w:t xml:space="preserve">  The Board may provide for a corporate seal, which may have the name of the Corporation inscribed thereon and which may be altered at pleasure, and use the same by causing it or a facsimile thereof, to be impressed or affixed or in any other manner reproduced, and shall otherwise be in such form as may be approved from time to time by the Board.</w:t>
      </w:r>
    </w:p>
    <w:p>
      <w:pPr>
        <w:pStyle w:val="normal1"/>
        <w:ind w:firstLine="0"/>
        <w:rPr/>
      </w:pPr>
      <w:bookmarkStart w:id="54" w:name="_heading=h.n5whcrisdwhe"/>
      <w:bookmarkEnd w:id="54"/>
      <w:r>
        <w:rPr/>
        <w:t xml:space="preserve">Section 8.4: </w:t>
      </w:r>
      <w:r>
        <w:rPr>
          <w:rFonts w:eastAsia="Times New Roman" w:cs="Times New Roman"/>
          <w:b/>
          <w:bCs/>
          <w:color w:val="000000"/>
          <w:sz w:val="24"/>
          <w:szCs w:val="24"/>
          <w:u w:val="single"/>
        </w:rPr>
        <w:t>Form of Records</w:t>
      </w:r>
      <w:r>
        <w:rPr>
          <w:rFonts w:eastAsia="Times New Roman" w:cs="Times New Roman"/>
          <w:b/>
          <w:bCs/>
          <w:color w:val="000000"/>
          <w:sz w:val="24"/>
          <w:szCs w:val="24"/>
          <w:u w:val="none"/>
        </w:rPr>
        <w:t>.</w:t>
      </w:r>
      <w:r>
        <w:rPr/>
        <w:t xml:space="preserve">  Any records administered by or on behalf of the Corporation in the regular course of its business, including its stock ledger, books of account, and minute books, may be kept on, or by means of, or be in the form of, any information storage device, method, or one or more electronic networks or databases (including one or more distributed electronic networks or databases), provided that the records so kept can be converted into clearly legible paper form within a reasonable time, and, with respect to the stock ledger, that the records so kept (i) can be used to prepare the list of stockholders specified in Sections 219 and 220 of the DGCL, (ii) record the information specified in Sections 156, 159, 217(a) and 218 of the DGCL, and (iii) record transfers of stock as governed by Article 8 of subtitle I of Title 6 of the Delaware Code. The Corporation shall convert any records so kept into clearly legible paper form upon the request of any person entitled to inspect such records pursuant to any provision of the DGCL.</w:t>
      </w:r>
    </w:p>
    <w:p>
      <w:pPr>
        <w:pStyle w:val="normal1"/>
        <w:ind w:firstLine="0"/>
        <w:rPr/>
      </w:pPr>
      <w:bookmarkStart w:id="55" w:name="_heading=h.dmr72zmh1xzb"/>
      <w:bookmarkEnd w:id="55"/>
      <w:r>
        <w:rPr/>
        <w:t xml:space="preserve">Section 8.5: </w:t>
      </w:r>
      <w:r>
        <w:rPr>
          <w:rFonts w:eastAsia="Times New Roman" w:cs="Times New Roman"/>
          <w:b/>
          <w:bCs/>
          <w:color w:val="000000"/>
          <w:sz w:val="24"/>
          <w:szCs w:val="24"/>
          <w:u w:val="single"/>
        </w:rPr>
        <w:t>Reliance upon Books and Records</w:t>
      </w:r>
      <w:r>
        <w:rPr>
          <w:rFonts w:eastAsia="Times New Roman" w:cs="Times New Roman"/>
          <w:b/>
          <w:bCs/>
          <w:color w:val="000000"/>
          <w:sz w:val="24"/>
          <w:szCs w:val="24"/>
          <w:u w:val="none"/>
        </w:rPr>
        <w:t>.</w:t>
      </w:r>
      <w:r>
        <w:rPr/>
        <w:t xml:space="preserve">  A member of the Board, or a member of any committee designated by the Board, shall, in the performance of such member’s duties, be fully protected in relying in good faith upon the records of the Corporation and upon such information, opinions, reports or statements presented to the Corporation by any of the Corporation’s officers or employees, or committees of the Board, or by any other person as to matters the member reasonably believes are within such other person’s professional or expert competence and who has been selected with reasonable care by or on behalf of the Corporation.  For the avoidance of doubt and without limiting the foregoing, the “records of the Corporation” on which a director or committee member may rely include the audit log and other records maintained pursuant to any AI Governance Policy adopted by the Board, and “information, opinions, reports or statements” on which a director or committee member may rely include reports prepared by the officer or officers designated by the Board to supervise the Corporation’s electronic agents.</w:t>
      </w:r>
    </w:p>
    <w:p>
      <w:pPr>
        <w:pStyle w:val="normal1"/>
        <w:ind w:firstLine="0"/>
        <w:rPr/>
      </w:pPr>
      <w:bookmarkStart w:id="56" w:name="_heading=h.ya186grgnqo0"/>
      <w:bookmarkEnd w:id="56"/>
      <w:r>
        <w:rPr/>
        <w:t xml:space="preserve">Section 8.6: </w:t>
      </w:r>
      <w:r>
        <w:rPr>
          <w:rFonts w:eastAsia="Times New Roman" w:cs="Times New Roman"/>
          <w:b/>
          <w:bCs/>
          <w:color w:val="000000"/>
          <w:sz w:val="24"/>
          <w:szCs w:val="24"/>
          <w:u w:val="single"/>
        </w:rPr>
        <w:t>Severability</w:t>
      </w:r>
      <w:r>
        <w:rPr>
          <w:rFonts w:eastAsia="Times New Roman" w:cs="Times New Roman"/>
          <w:b/>
          <w:bCs/>
          <w:color w:val="000000"/>
          <w:sz w:val="24"/>
          <w:szCs w:val="24"/>
          <w:u w:val="none"/>
        </w:rPr>
        <w:t>.</w:t>
      </w:r>
      <w:r>
        <w:rPr/>
        <w:t xml:space="preserve">  If any provision of these Bylaws shall be held to be invalid, illegal, unenforceable or in conflict with the provisions of law or the Certificate of Incorporation, then such provision shall nonetheless be enforced to the maximum extent possible consistent with such holding and the remaining provisions of these Bylaws (including without limitation, all portions of any section of these Bylaws containing any such provision held to be invalid, illegal, unenforceable or in conflict with law or the Certificate of Incorporation, that are not themselves invalid, illegal, unenforceable or in conflict with law or the Certificate of Incorporation) shall remain in full force and effect. </w:t>
      </w:r>
    </w:p>
    <w:p>
      <w:pPr>
        <w:pStyle w:val="Heading1"/>
        <w:numPr>
          <w:ilvl w:val="0"/>
          <w:numId w:val="0"/>
        </w:numPr>
        <w:ind w:hanging="0" w:start="0"/>
        <w:rPr/>
      </w:pPr>
      <w:bookmarkStart w:id="57" w:name="_heading=h.34vnhk9fcfid"/>
      <w:bookmarkEnd w:id="57"/>
      <w:r>
        <w:rPr/>
        <w:t>ARTICLE IX: EMERGENCY BYLAWS</w:t>
      </w:r>
    </w:p>
    <w:p>
      <w:pPr>
        <w:pStyle w:val="normal1"/>
        <w:keepNext w:val="false"/>
        <w:keepLines w:val="false"/>
        <w:pageBreakBefore w:val="false"/>
        <w:widowControl/>
        <w:pBdr/>
        <w:shd w:val="clear" w:fill="auto"/>
        <w:spacing w:lineRule="auto" w:line="240" w:before="0" w:after="240"/>
        <w:ind w:firstLine="72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Cs w:val="24"/>
          <w:u w:val="none"/>
          <w:shd w:fill="auto" w:val="clear"/>
          <w:vertAlign w:val="baseline"/>
        </w:rPr>
        <w:t xml:space="preserve">The provisions of this Article IX shall be operative during any emergency condition as contemplated by Section 110 of the DGCL, notwithstanding any different or conflicting provisions in these Bylaws, the Certificate of Incorporation or the DGCL. In the event of any such emergency condition, the director or directors in attendance at a meeting of the Board or a standing committee thereof shall constitute a quorum. Such director or directors in attendance may further take action to appoint one or more of themselves or other directors to membership on any standing or temporary committees of the Board as they shall deem necessary and appropriate. Except as the Board may otherwise determine, during any such emergency condition, the Corporation and its directors and officers, may exercise any authority and take any action or measure that is contemplated by Section 110 of the DGCL. </w:t>
      </w:r>
    </w:p>
    <w:p>
      <w:pPr>
        <w:pStyle w:val="Heading1"/>
        <w:keepNext w:val="true"/>
        <w:numPr>
          <w:ilvl w:val="0"/>
          <w:numId w:val="0"/>
        </w:numPr>
        <w:ind w:hanging="0" w:start="0"/>
        <w:rPr/>
      </w:pPr>
      <w:bookmarkStart w:id="58" w:name="_heading=h.gxzwsw6g5fbb"/>
      <w:bookmarkEnd w:id="58"/>
      <w:r>
        <w:rPr/>
        <w:t>ARTICLE X: AMENDMENT</w:t>
      </w:r>
    </w:p>
    <w:p>
      <w:pPr>
        <w:pStyle w:val="normal1"/>
        <w:ind w:firstLine="720"/>
        <w:rPr/>
      </w:pPr>
      <w:r>
        <w:rPr/>
        <w:t>Unless otherwise required by the Certificate of Incorporation, stockholders of the Corporation holding at least a majority of the voting power of the Corporation’s outstanding voting stock then entitled to vote at an election of directors shall have the power to adopt, amend or repeal Bylaws.  To the extent provided in the Certificate of Incorporation, the Board shall also have the power to adopt, amend or repeal Bylaws of the Corporation.</w:t>
      </w:r>
    </w:p>
    <w:p>
      <w:pPr>
        <w:pStyle w:val="Heading1"/>
        <w:numPr>
          <w:ilvl w:val="0"/>
          <w:numId w:val="0"/>
        </w:numPr>
        <w:ind w:hanging="0" w:start="0"/>
        <w:rPr/>
      </w:pPr>
      <w:bookmarkStart w:id="59" w:name="_heading=h.m12lblsebr8i"/>
      <w:bookmarkEnd w:id="59"/>
      <w:r>
        <w:rPr/>
        <w:t>ARTICLE XI: RESTRICTIONS ON TRANSFERS OF CAPITAL STOCK</w:t>
      </w:r>
      <w:bookmarkStart w:id="60" w:name="bookmark=id.pexefwt9pr58"/>
    </w:p>
    <w:p>
      <w:pPr>
        <w:pStyle w:val="normal1"/>
        <w:numPr>
          <w:ilvl w:val="0"/>
          <w:numId w:val="0"/>
        </w:numPr>
        <w:ind w:hanging="0" w:start="0" w:firstLine="0"/>
        <w:rPr>
          <w:color w:val="000000"/>
        </w:rPr>
      </w:pPr>
      <w:bookmarkStart w:id="61" w:name="_heading=h.45vp128dy7jj"/>
      <w:bookmarkEnd w:id="60"/>
      <w:bookmarkEnd w:id="61"/>
      <w:r>
        <w:rPr/>
        <w:t xml:space="preserve">Section 11.1: </w:t>
      </w:r>
      <w:r>
        <w:rPr>
          <w:u w:val="none"/>
        </w:rPr>
      </w:r>
      <w:r>
        <w:rPr>
          <w:u w:val="none"/>
        </w:rPr>
      </w:r>
      <w:r>
        <w:rPr>
          <w:u w:val="single"/>
          <w:b/>
        </w:rPr>
        <w:t>Restriction on Transfer</w:t>
      </w:r>
      <w:r>
        <w:rPr>
          <w:u w:val="single"/>
          <w:b/>
        </w:rPr>
        <w:t xml:space="preserve">. </w:t>
      </w:r>
      <w:r>
        <w:rPr>
          <w:u w:val="none"/>
        </w:rPr>
      </w:r>
      <w:bookmarkStart w:id="62" w:name="bookmark=id.evsfvu8ppj33"/>
    </w:p>
    <w:p>
      <w:pPr>
        <w:pStyle w:val="normal1"/>
        <w:numPr>
          <w:ilvl w:val="0"/>
          <w:numId w:val="0"/>
        </w:numPr>
        <w:ind w:firstLine="720" w:start="0"/>
        <w:jc w:val="both"/>
        <w:rPr/>
      </w:pPr>
      <w:bookmarkEnd w:id="62"/>
      <w:r>
        <w:rPr/>
        <w:t xml:space="preserve">11.1.1 </w:t>
      </w:r>
      <w:r>
        <w:rPr>
          <w:u w:val="single"/>
        </w:rPr>
        <w:t>Prior Consent to Transfer</w:t>
      </w:r>
      <w:r>
        <w:rPr/>
        <w:t>. No holder (“</w:t>
      </w:r>
      <w:r>
        <w:rPr>
          <w:b/>
          <w:bCs/>
          <w:i/>
          <w:iCs/>
        </w:rPr>
        <w:t>Stockholder</w:t>
      </w:r>
      <w:r>
        <w:rPr/>
        <w:t>”) of shares of capital stock of the Corporation (“</w:t>
      </w:r>
      <w:r>
        <w:rPr>
          <w:b/>
          <w:bCs/>
          <w:i/>
          <w:iCs/>
        </w:rPr>
        <w:t>Shares</w:t>
      </w:r>
      <w:r>
        <w:rPr/>
        <w:t>”) may transfer, sell, assign, pledge, enter into any swap or other arrangement that transfers to another, in whole or in part, any of the economic consequences of ownership of, or otherwise in any manner dispose of or encumber, whether voluntarily or by operation of law, or by gift or otherwise (“</w:t>
      </w:r>
      <w:r>
        <w:rPr>
          <w:b/>
          <w:bCs/>
          <w:i/>
          <w:iCs/>
        </w:rPr>
        <w:t>transfer</w:t>
      </w:r>
      <w:r>
        <w:rPr/>
        <w:t>”), Shares or any right or interest therein without the prior written consent of the Corporation, in its sole discretion, and such holder otherwise complying with the requirements of this Article .</w:t>
      </w:r>
      <w:bookmarkStart w:id="63" w:name="bookmark=id.kefwznmn7nt6"/>
    </w:p>
    <w:p>
      <w:pPr>
        <w:pStyle w:val="normal1"/>
        <w:numPr>
          <w:ilvl w:val="0"/>
          <w:numId w:val="0"/>
        </w:numPr>
        <w:ind w:firstLine="720" w:start="0"/>
        <w:jc w:val="both"/>
        <w:rPr/>
      </w:pPr>
      <w:bookmarkEnd w:id="63"/>
      <w:r>
        <w:rPr/>
        <w:t xml:space="preserve">11.1.2 </w:t>
      </w:r>
      <w:r>
        <w:rPr>
          <w:u w:val="single"/>
        </w:rPr>
        <w:t>Permitted Transfer</w:t>
      </w:r>
      <w:r>
        <w:rPr/>
        <w:t>. The restriction contained in Section 11.1.1 shall not apply to the following transactions (each, a “</w:t>
      </w:r>
      <w:r>
        <w:rPr>
          <w:b/>
          <w:bCs/>
          <w:i/>
          <w:iCs/>
        </w:rPr>
        <w:t>Permitted Transfer</w:t>
      </w:r>
      <w:r>
        <w:rPr/>
        <w:t>”):</w:t>
      </w:r>
    </w:p>
    <w:p>
      <w:pPr>
        <w:pStyle w:val="normal1"/>
        <w:ind w:firstLine="1440"/>
        <w:rPr/>
      </w:pPr>
      <w:r>
        <w:rPr/>
        <w:t xml:space="preserve">(a) </w:t>
        <w:tab/>
        <w:t>any transfer during the Stockholder’s lifetime by gift or pursuant to domestic relations orders to the Stockholder’s immediate family or a trust for the benefit of Stockholder or Stockholder’s immediate family, where “</w:t>
      </w:r>
      <w:r>
        <w:rPr>
          <w:b/>
          <w:bCs/>
          <w:i/>
          <w:iCs/>
        </w:rPr>
        <w:t>immediate family</w:t>
      </w:r>
      <w:r>
        <w:rPr/>
        <w:t>” as used herein shall mean spouse, Spousal Equivalent, lineal descendant or antecedent, parent, sibling, stepchild, stepparent, mother-in-law, father-in-law, son-in-law, daughter-in-law, brother-in-law or sister-in-law (and for avoidance of doubt shall include adoptive relationships), and where a person is deemed to be a “</w:t>
      </w:r>
      <w:r>
        <w:rPr>
          <w:b/>
          <w:bCs/>
          <w:i/>
          <w:iCs/>
        </w:rPr>
        <w:t>Spousal Equivalent</w:t>
      </w:r>
      <w:r>
        <w:rPr/>
        <w:t>” provided the following circumstances are true:  (i) irrespective of whether or not the relevant person and the Spousal Equivalent are the same sex, they are the sole spousal equivalent of the other for the last 12 months, (ii) they intend to remain so indefinitely, (iii) neither are married to anyone else, (iv) both are at least 18 years of age and mentally competent to consent to contract, (v) they are not related by blood to a degree of closeness that which would prohibit legal marriage in the state in which they legally reside, (vi) they are jointly responsible for each other’s common welfare and financial obligations, and (vii) they reside together in the same residence for the last 12 months and intend to do so indefinitely;</w:t>
      </w:r>
    </w:p>
    <w:p>
      <w:pPr>
        <w:pStyle w:val="normal1"/>
        <w:ind w:firstLine="1440"/>
        <w:rPr/>
      </w:pPr>
      <w:r>
        <w:rPr/>
        <w:t xml:space="preserve">(b) </w:t>
        <w:tab/>
        <w:t>any transfer or deemed transfer effected pursuant to the Stockholder’s will or the laws of intestate succession;</w:t>
      </w:r>
    </w:p>
    <w:p>
      <w:pPr>
        <w:pStyle w:val="normal1"/>
        <w:ind w:firstLine="1440"/>
        <w:rPr/>
      </w:pPr>
      <w:r>
        <w:rPr/>
        <w:t xml:space="preserve">(c) </w:t>
        <w:tab/>
        <w:t>any transfer by an entity Stockholder to an Affiliate (as defined below) of such Stockholder, where, for purposes of this Article XI, (i) an “</w:t>
      </w:r>
      <w:r>
        <w:rPr>
          <w:b/>
          <w:bCs/>
          <w:i/>
          <w:iCs/>
        </w:rPr>
        <w:t>Affiliate</w:t>
      </w:r>
      <w:r>
        <w:rPr/>
        <w:t>” of an entity Stockholder shall include any individual, firm, corporation, partnership, association, limited liability company, trust or other entity who, directly or indirectly, controls, is controlled by or is under common control with such entity Stockholder or such entity Stockholder’s principal, including, without limitation, any general partner, managing member, managing partner, officer or director of such entity Stockholder, such entity Stockholder’s principal or any venture capital or investment fund now or hereafter existing that is controlled by one or more general partners or managing members of, or shares the same management company with, such entity Stockholder or such entity Stockholder’s principal, and (ii) the terms “</w:t>
      </w:r>
      <w:r>
        <w:rPr>
          <w:b/>
          <w:bCs/>
          <w:i/>
          <w:iCs/>
        </w:rPr>
        <w:t>controlling</w:t>
      </w:r>
      <w:r>
        <w:rPr/>
        <w:t>,” “</w:t>
      </w:r>
      <w:r>
        <w:rPr>
          <w:b/>
          <w:bCs/>
          <w:i/>
          <w:iCs/>
        </w:rPr>
        <w:t>controlled by</w:t>
      </w:r>
      <w:r>
        <w:rPr/>
        <w:t>,” or “</w:t>
      </w:r>
      <w:r>
        <w:rPr>
          <w:b/>
          <w:bCs/>
          <w:i/>
          <w:iCs/>
        </w:rPr>
        <w:t>under common control with</w:t>
      </w:r>
      <w:r>
        <w:rPr/>
        <w:t>” shall mean the possession, directly or indirectly, of (x) the power to direct or cause the direction of the management and policies of an entity Stockholder, whether through the ownership of voting securities, by contract, or otherwise, or (y) the power to elect or appoint at least 50% of the directors, managers, general partners, or persons exercising similar authority with respect to such entity Stockholder;</w:t>
      </w:r>
    </w:p>
    <w:p>
      <w:pPr>
        <w:pStyle w:val="normal1"/>
        <w:ind w:firstLine="1440"/>
        <w:rPr/>
      </w:pPr>
      <w:r>
        <w:rPr/>
        <w:t xml:space="preserve">(d) </w:t>
        <w:tab/>
        <w:t xml:space="preserve">a corporate Stockholder’s transfer of all of its shares to a single transferee pursuant to and in accordance with the terms of any </w:t>
      </w:r>
      <w:r>
        <w:rPr>
          <w:i/>
          <w:iCs/>
        </w:rPr>
        <w:t>bona fide</w:t>
      </w:r>
      <w:r>
        <w:rPr/>
        <w:t xml:space="preserve"> merger, consolidation, reclassification of shares or capital reorganization of the corporate Stockholder, or pursuant to a </w:t>
      </w:r>
      <w:r>
        <w:rPr>
          <w:i/>
          <w:iCs/>
        </w:rPr>
        <w:t>bona fide</w:t>
      </w:r>
      <w:r>
        <w:rPr/>
        <w:t xml:space="preserve"> sale of all or substantially all of the stock or assets of a corporate Stockholder, provided in each case that such transfer is not essentially simply a transfer of the Shares without substantial additional assets other than cash or cash equivalents being transferred; </w:t>
      </w:r>
    </w:p>
    <w:p>
      <w:pPr>
        <w:pStyle w:val="normal1"/>
        <w:ind w:firstLine="1440"/>
        <w:rPr/>
      </w:pPr>
      <w:r>
        <w:rPr/>
        <w:t xml:space="preserve">(e) </w:t>
        <w:tab/>
        <w:t>any repurchase or redemption of Shares by the Corporation: (i) at or below cost, upon the occurrence of certain events, such as the termination of employment or services; or (ii) at any price pursuant to the Corporation’s exercise of a right of first refusal to repurchase such Shares (including the purchase of such Shares by the Corporation’s assignee); and/or</w:t>
      </w:r>
    </w:p>
    <w:p>
      <w:pPr>
        <w:pStyle w:val="normal1"/>
        <w:ind w:firstLine="1440"/>
        <w:rPr/>
      </w:pPr>
      <w:r>
        <w:rPr/>
        <w:t xml:space="preserve">(f) </w:t>
        <w:tab/>
        <w:t xml:space="preserve">any transfer or deemed transfer approved by a majority of the disinterested members of the Board, even though the disinterested directors are less than a quorum; </w:t>
      </w:r>
      <w:r>
        <w:rPr>
          <w:i/>
          <w:iCs/>
          <w:u w:val="single"/>
        </w:rPr>
        <w:t>provided</w:t>
      </w:r>
      <w:r>
        <w:rPr/>
        <w:t xml:space="preserve">, </w:t>
      </w:r>
      <w:r>
        <w:rPr>
          <w:i/>
          <w:iCs/>
          <w:u w:val="single"/>
        </w:rPr>
        <w:t>however</w:t>
      </w:r>
      <w:r>
        <w:rPr/>
        <w:t>, that notwithstanding the foregoing, if a transfer or deemed transfer is approved pursuant to this clause (f) and the Shares of the transferring Stockholder are subject to co-sale rights (the “</w:t>
      </w:r>
      <w:r>
        <w:rPr>
          <w:b/>
          <w:bCs/>
          <w:i/>
          <w:iCs/>
        </w:rPr>
        <w:t>Co-Sale Rights</w:t>
      </w:r>
      <w:r>
        <w:rPr/>
        <w:t>”), the persons and/or entities entitled to the Co-Sale Rights shall be permitted to exercise their respective Co-Sale Rights in conjunction with such approved transfer or deemed transfer without any additional approval of the Board;</w:t>
      </w:r>
    </w:p>
    <w:p>
      <w:pPr>
        <w:pStyle w:val="normal1"/>
        <w:rPr/>
      </w:pPr>
      <w:r>
        <w:rPr>
          <w:i/>
          <w:iCs/>
          <w:u w:val="single"/>
        </w:rPr>
        <w:t>provided</w:t>
      </w:r>
      <w:r>
        <w:rPr>
          <w:i/>
          <w:iCs/>
        </w:rPr>
        <w:t xml:space="preserve">, </w:t>
      </w:r>
      <w:r>
        <w:rPr>
          <w:i/>
          <w:iCs/>
          <w:u w:val="single"/>
        </w:rPr>
        <w:t>however</w:t>
      </w:r>
      <w:r>
        <w:rPr>
          <w:color w:val="000000"/>
        </w:rPr>
        <w:t>, that each transferee, assignee, or other recipient of any interest in the Shares shall, as a condition to the transfer, agree to be bound by all of the restrictions set forth in these Bylaws.</w:t>
      </w:r>
      <w:bookmarkStart w:id="64" w:name="bookmark=id.ynxxvjuwt93s"/>
    </w:p>
    <w:p>
      <w:pPr>
        <w:pStyle w:val="normal1"/>
        <w:numPr>
          <w:ilvl w:val="0"/>
          <w:numId w:val="0"/>
        </w:numPr>
        <w:ind w:firstLine="720" w:start="0"/>
        <w:jc w:val="both"/>
        <w:rPr/>
      </w:pPr>
      <w:bookmarkEnd w:id="64"/>
      <w:r>
        <w:rPr/>
        <w:t xml:space="preserve">11.1.3 </w:t>
      </w:r>
      <w:r>
        <w:rPr>
          <w:u w:val="single"/>
        </w:rPr>
        <w:t>Conditions to Transfer</w:t>
      </w:r>
      <w:r>
        <w:rPr/>
        <w:t>. As a condition to any transfer, the Corporation may, in its sole discretion, (i) require in connection with such transfer of Shares delivery to the Corporation of a written opinion of legal counsel, in form and substance satisfactory to it or its legal counsel in their respective discretion, that such transfer is exempt from applicable federal, state or other securities laws and regulations (a “</w:t>
      </w:r>
      <w:r>
        <w:rPr>
          <w:b/>
          <w:bCs/>
          <w:i/>
          <w:iCs/>
        </w:rPr>
        <w:t>Legal Opinion</w:t>
      </w:r>
      <w:r>
        <w:rPr/>
        <w:t>”), (ii) charge the transferor, transferee or both a transfer fee in such amount as may be reasonably determined by the Corporation’s management in order to recoup the Corporation’s internal and external costs of processing such transfer, due and payable to the Corporation prior to or upon effectiveness of such transfer, and/or (iii) require such transfer to be effected pursuant to a standard form of transfer agreement in such customary and reasonable form as may be determined by the Corporation’s management from time to time in its discretion.</w:t>
      </w:r>
      <w:bookmarkStart w:id="65" w:name="bookmark=id.kx2wb932le32"/>
    </w:p>
    <w:p>
      <w:pPr>
        <w:pStyle w:val="normal1"/>
        <w:numPr>
          <w:ilvl w:val="0"/>
          <w:numId w:val="0"/>
        </w:numPr>
        <w:ind w:hanging="0" w:start="0" w:firstLine="0"/>
        <w:rPr/>
      </w:pPr>
      <w:bookmarkStart w:id="66" w:name="_heading=h.fyvo4tgjb237"/>
      <w:bookmarkEnd w:id="65"/>
      <w:bookmarkEnd w:id="66"/>
      <w:r>
        <w:rPr/>
        <w:t xml:space="preserve">Section 11.2: </w:t>
      </w:r>
      <w:r>
        <w:rPr>
          <w:u w:val="single"/>
          <w:b/>
        </w:rPr>
        <w:t>Right of First Refusal</w:t>
      </w:r>
      <w:r>
        <w:rPr>
          <w:u w:val="single"/>
          <w:b/>
        </w:rPr>
        <w:t xml:space="preserve">.  </w:t>
      </w:r>
      <w:bookmarkStart w:id="67" w:name="bookmark=id.f8aevvofd3nj"/>
    </w:p>
    <w:p>
      <w:pPr>
        <w:pStyle w:val="normal1"/>
        <w:numPr>
          <w:ilvl w:val="0"/>
          <w:numId w:val="0"/>
        </w:numPr>
        <w:ind w:firstLine="720" w:start="0"/>
        <w:jc w:val="both"/>
        <w:rPr/>
      </w:pPr>
      <w:bookmarkEnd w:id="67"/>
      <w:r>
        <w:rPr/>
        <w:t xml:space="preserve">11.2.1 </w:t>
      </w:r>
      <w:r>
        <w:rPr>
          <w:u w:val="single"/>
        </w:rPr>
        <w:t>Notice of Proposed Transfer</w:t>
      </w:r>
      <w:r>
        <w:rPr/>
        <w:t>. In addition to and without limiting the effect of Section 11.1, if the Stockholder desires to transfer any of such Stockholder’s Shares pursuant to Section 11.1.2(f) above, then the Stockholder shall first give written notice thereof to the Corporation.  The notice shall (i) name the proposed transferee, (ii) state (a) the number of Shares to be transferred, (b) the proposed consideration and (c) all other terms and conditions of the proposed transfer, (iii) be signed by such Stockholder and the proposed purchaser or transferee, (iv) must constitute a binding commitment subject to the Corporation’s right of first refusal as set forth herein, (v) be accompanied by proof satisfactory to the Corporation or its legal counsel that the proposed sale or transfer will not violate any applicable U.S. federal, state or other securities laws, and (vi) offer the Shares at the same price and upon the same terms (or terms as similar as reasonably possible) to the Corporation or its assignee(s).  The notice shall not be deemed delivered for purposes of this Section 11.2 until the later of (i) such time as the transferring Stockholder shall have delivered the foregoing notice to the Corporation, (ii) such time as any Legal Opinion that may be required pursuant to Section 11.1.3(i) shall have been delivered to the Corporation, and (iii) such time as an officer of the Corporation shall have confirmed in writing (including via email) that no such Legal Opinion shall be required with respect to the proposed transfer (or is not required to be delivered until a time reasonably in advance of the consummation of the proposed transfer).</w:t>
      </w:r>
    </w:p>
    <w:p>
      <w:pPr>
        <w:pStyle w:val="normal1"/>
        <w:numPr>
          <w:ilvl w:val="0"/>
          <w:numId w:val="0"/>
        </w:numPr>
        <w:ind w:firstLine="720" w:start="0"/>
        <w:jc w:val="both"/>
        <w:rPr/>
      </w:pPr>
      <w:r>
        <w:rPr/>
        <w:t xml:space="preserve">11.2.2 </w:t>
      </w:r>
      <w:r>
        <w:rPr>
          <w:u w:val="single"/>
        </w:rPr>
        <w:t>Exercise of Right of First Refusal</w:t>
      </w:r>
      <w:r>
        <w:rPr/>
        <w:t xml:space="preserve">. For 30 days following receipt of such notice, the Corporation and/or its assignee shall have the option to purchase all (but not less than all) of the Shares specified in the notice at the price and upon the terms (or terms as similar as reasonably possible) set forth in such notice; </w:t>
      </w:r>
      <w:r>
        <w:rPr>
          <w:i/>
          <w:iCs/>
          <w:u w:val="single"/>
        </w:rPr>
        <w:t>provided</w:t>
      </w:r>
      <w:r>
        <w:rPr>
          <w:u w:val="single"/>
        </w:rPr>
        <w:t>,</w:t>
      </w:r>
      <w:r>
        <w:rPr/>
        <w:t xml:space="preserve"> </w:t>
      </w:r>
      <w:r>
        <w:rPr>
          <w:i/>
          <w:iCs/>
          <w:u w:val="single"/>
        </w:rPr>
        <w:t>however</w:t>
      </w:r>
      <w:r>
        <w:rPr/>
        <w:t>, that, with the consent of the transferring Stockholder, the Corporation shall have the option to purchase a lesser portion of the Shares specified in said notice at the price and upon the terms set forth therein.  In the event of a gift, property settlement or other transfer in which the proposed transferee is not paying the full price for the Shares, and that is not otherwise exempted from the provisions of this Section 11.2, the price shall be deemed to be the fair market value of the stock at such time as determined in good faith by the Board.  In the event the Corporation elects to purchase all of the Shares or, with consent of the transferring Stockholder, a lesser portion of the Shares, it shall give written notice to the transferring Stockholder of its election and settlement for said Shares shall be made as provided below in the next paragraph.</w:t>
      </w:r>
    </w:p>
    <w:p>
      <w:pPr>
        <w:pStyle w:val="normal1"/>
        <w:numPr>
          <w:ilvl w:val="0"/>
          <w:numId w:val="0"/>
        </w:numPr>
        <w:ind w:firstLine="720" w:start="0"/>
        <w:jc w:val="both"/>
        <w:rPr/>
      </w:pPr>
      <w:r>
        <w:rPr/>
        <w:t xml:space="preserve">11.2.3 </w:t>
      </w:r>
      <w:r>
        <w:rPr>
          <w:u w:val="single"/>
        </w:rPr>
        <w:t>Closing</w:t>
      </w:r>
      <w:r>
        <w:rPr/>
        <w:t>. In the event the Corporation and/or its assignee(s) elect to acquire any of the Shares of the transferring Stockholder as specified in said transferring Stockholder’s notice, the Secretary of the Corporation shall so notify the transferring Stockholder and settlement thereof shall be made in cash within 60 days after the Secretary of the Corporation receives said transferring Stockholder’s notice; provided that if the terms of payment set forth in said transferring Stockholder’s notice were other than cash against delivery, the Corporation and/or its assignee(s) shall pay for said Shares on the same terms and conditions set forth in said transferring Stockholder’s notice.</w:t>
      </w:r>
    </w:p>
    <w:p>
      <w:pPr>
        <w:pStyle w:val="normal1"/>
        <w:numPr>
          <w:ilvl w:val="0"/>
          <w:numId w:val="0"/>
        </w:numPr>
        <w:ind w:firstLine="720" w:start="0"/>
        <w:jc w:val="both"/>
        <w:rPr/>
      </w:pPr>
      <w:r>
        <w:rPr/>
        <w:t xml:space="preserve">11.2.4 </w:t>
      </w:r>
      <w:r>
        <w:rPr>
          <w:u w:val="single"/>
        </w:rPr>
        <w:t>Stockholder’s Right to Transfer</w:t>
      </w:r>
      <w:r>
        <w:rPr/>
        <w:t>. In the event the Corporation and/or its assignees(s) do not elect to acquire all of the Shares specified in the transferring Stockholder’s notice, said transferring Stockholder may, within the 60-day period following the expiration of the option rights granted to the Corporation and/or its assignees(s) herein, transfer the Shares specified in said transferring Stockholder’s notice which were not acquired by the Corporation and/or its assignees(s) as specified in said transferring Stockholder’s notice.  All Shares so sold by said transferring Stockholder shall continue to be subject to the provisions of these Bylaws in the same manner as before said transfer.</w:t>
      </w:r>
    </w:p>
    <w:p>
      <w:pPr>
        <w:pStyle w:val="normal1"/>
        <w:numPr>
          <w:ilvl w:val="0"/>
          <w:numId w:val="0"/>
        </w:numPr>
        <w:ind w:firstLine="720" w:start="0"/>
        <w:jc w:val="both"/>
        <w:rPr/>
      </w:pPr>
      <w:r>
        <w:rPr/>
        <w:t xml:space="preserve">11.2.5 </w:t>
      </w:r>
      <w:r>
        <w:rPr>
          <w:u w:val="single"/>
        </w:rPr>
        <w:t>Permitted Transfers</w:t>
      </w:r>
      <w:r>
        <w:rPr/>
        <w:t>. Anything to the contrary contained herein notwithstanding, a Permitted Transfer (other than pursuant Section 11.1.2(f) above) shall be exempt from the provisions of this Section 11.2.</w:t>
      </w:r>
    </w:p>
    <w:p>
      <w:pPr>
        <w:pStyle w:val="normal1"/>
        <w:numPr>
          <w:ilvl w:val="0"/>
          <w:numId w:val="0"/>
        </w:numPr>
        <w:ind w:hanging="0" w:start="0" w:firstLine="0"/>
        <w:rPr/>
      </w:pPr>
      <w:bookmarkStart w:id="68" w:name="_heading=h.sd89apwhgh3h"/>
      <w:bookmarkEnd w:id="68"/>
      <w:r>
        <w:rPr/>
        <w:t xml:space="preserve">Section 11.3: </w:t>
      </w:r>
      <w:r>
        <w:rPr>
          <w:u w:val="single"/>
          <w:b/>
        </w:rPr>
        <w:t>Application; Waiver; Termination of Rights; Legend</w:t>
      </w:r>
      <w:r>
        <w:rPr>
          <w:b/>
        </w:rPr>
        <w:t>.</w:t>
      </w:r>
    </w:p>
    <w:p>
      <w:pPr>
        <w:pStyle w:val="normal1"/>
        <w:numPr>
          <w:ilvl w:val="0"/>
          <w:numId w:val="0"/>
        </w:numPr>
        <w:ind w:firstLine="720" w:start="0"/>
        <w:jc w:val="both"/>
        <w:rPr/>
      </w:pPr>
      <w:r>
        <w:rPr/>
        <w:t xml:space="preserve">11.3.1 </w:t>
      </w:r>
      <w:r>
        <w:rPr>
          <w:u w:val="single"/>
        </w:rPr>
        <w:t>Application of Restriction on Transfer</w:t>
      </w:r>
      <w:r>
        <w:rPr/>
        <w:t>. In the case of any transfer permitted hereunder (whether by consent or via an exemption), the transferee, assignee or other recipient shall receive and hold such Shares subject to the provisions of these Bylaws, and there shall be no further transfer of such stock except in accordance with these Bylaws.  Any proposed transfer on terms and conditions different from those set forth in the notice described in Section 11.2.1, as well as any subsequent proposed transfer shall again be subject to the foregoing restrictions on transfer, including the Corporation’s right of first refusal, and shall require compliance with the procedures described in Section 11.1 through Section 11.2.</w:t>
      </w:r>
    </w:p>
    <w:p>
      <w:pPr>
        <w:pStyle w:val="normal1"/>
        <w:numPr>
          <w:ilvl w:val="0"/>
          <w:numId w:val="0"/>
        </w:numPr>
        <w:ind w:firstLine="720" w:start="0"/>
        <w:jc w:val="both"/>
        <w:rPr/>
      </w:pPr>
      <w:r>
        <w:rPr/>
        <w:t xml:space="preserve">11.3.2 </w:t>
      </w:r>
      <w:r>
        <w:rPr>
          <w:u w:val="single"/>
        </w:rPr>
        <w:t>Waiver of Restriction on Transfer</w:t>
      </w:r>
      <w:r>
        <w:rPr/>
        <w:t xml:space="preserve">. The provisions of this Article XI may be waived with respect to any transfer either by the Corporation, upon duly authorized action of its Board, or by the stockholders of the Corporation, upon the express written consent of the owners of a majority of the voting power of the Corporation (excluding the votes represented by those Shares to be transferred by the transferring Stockholder); </w:t>
      </w:r>
      <w:r>
        <w:rPr>
          <w:i/>
          <w:iCs/>
          <w:u w:val="single"/>
        </w:rPr>
        <w:t>provided</w:t>
      </w:r>
      <w:r>
        <w:rPr/>
        <w:t xml:space="preserve">, </w:t>
      </w:r>
      <w:r>
        <w:rPr>
          <w:i/>
          <w:iCs/>
          <w:u w:val="single"/>
        </w:rPr>
        <w:t>however</w:t>
      </w:r>
      <w:r>
        <w:rPr/>
        <w:t>, that such restrictions shall continue to apply to the Shares subsequent to such transfer; provided further that the Board may delegate the power to make any decision to consent to a transfer under Section 11.1 or waive the right of first refusal on behalf of the Corporation under Section 11.2 to either the Corporation’s Chief Executive Officer or a committee of executive officers of the Corporation as the Board may determine (subject to such limitations as the Board may determine, if any).</w:t>
      </w:r>
    </w:p>
    <w:p>
      <w:pPr>
        <w:pStyle w:val="normal1"/>
        <w:numPr>
          <w:ilvl w:val="0"/>
          <w:numId w:val="0"/>
        </w:numPr>
        <w:ind w:firstLine="720" w:start="0"/>
        <w:jc w:val="both"/>
        <w:rPr/>
      </w:pPr>
      <w:r>
        <w:rPr/>
        <w:t xml:space="preserve">11.3.3 </w:t>
      </w:r>
      <w:r>
        <w:rPr>
          <w:u w:val="single"/>
        </w:rPr>
        <w:t>Transfer Void</w:t>
      </w:r>
      <w:r>
        <w:rPr/>
        <w:t>. Any sale or transfer, or purported sale or transfer, of securities of the Corporation shall be null and void unless the terms, conditions, and provisions of this Article XI are strictly observed and followed.</w:t>
      </w:r>
    </w:p>
    <w:p>
      <w:pPr>
        <w:pStyle w:val="normal1"/>
        <w:numPr>
          <w:ilvl w:val="0"/>
          <w:numId w:val="0"/>
        </w:numPr>
        <w:ind w:firstLine="720" w:start="0"/>
        <w:jc w:val="both"/>
        <w:rPr/>
      </w:pPr>
      <w:r>
        <w:rPr/>
        <w:t xml:space="preserve">11.3.4 </w:t>
      </w:r>
      <w:r>
        <w:rPr>
          <w:u w:val="single"/>
        </w:rPr>
        <w:t>Termination of Restriction on Transfer</w:t>
      </w:r>
      <w:r>
        <w:rPr/>
        <w:t>. The restrictions on transfer in Section 11.1 through Section 11.2 shall terminate</w:t>
      </w:r>
      <w:r>
        <w:rPr>
          <w:color w:val="000000"/>
        </w:rPr>
        <w:t xml:space="preserve"> </w:t>
      </w:r>
      <w:r>
        <w:rPr/>
        <w:t>immediately prior to the closing of a firm commitment underwritten public offering of common stock pursuant to a registration statement filed with, and declared effective by, the United States Securities and Exchange Commission under the Securities Act of 1933, as amended (the “</w:t>
      </w:r>
      <w:r>
        <w:rPr>
          <w:b/>
          <w:bCs/>
          <w:i/>
          <w:iCs/>
        </w:rPr>
        <w:t>Securities Act</w:t>
      </w:r>
      <w:r>
        <w:rPr/>
        <w:t xml:space="preserve">”).  </w:t>
      </w:r>
      <w:r>
        <w:rPr>
          <w:color w:val="000000"/>
        </w:rPr>
        <w:t>Upon termination of such restrictions, a new certificate or certificates representing the Shares shall be issued, on request, without the legend referred to in Section 11.3.5 below and delivered to each holder thereof.</w:t>
      </w:r>
      <w:bookmarkStart w:id="69" w:name="bookmark=id.u0vrumsxuvrq"/>
    </w:p>
    <w:p>
      <w:pPr>
        <w:pStyle w:val="normal1"/>
        <w:numPr>
          <w:ilvl w:val="0"/>
          <w:numId w:val="0"/>
        </w:numPr>
        <w:ind w:firstLine="720" w:start="0"/>
        <w:jc w:val="both"/>
        <w:rPr/>
      </w:pPr>
      <w:bookmarkEnd w:id="69"/>
      <w:r>
        <w:rPr/>
        <w:t xml:space="preserve">11.3.5 </w:t>
      </w:r>
      <w:r>
        <w:rPr>
          <w:u w:val="single"/>
        </w:rPr>
        <w:t>Legends</w:t>
      </w:r>
      <w:r>
        <w:rPr/>
        <w:t>. The certificates representing shares of stock of the Corporation shall bear on their face the following legend so long as the foregoing restrictions on transfer remain in effect:</w:t>
      </w:r>
    </w:p>
    <w:p>
      <w:pPr>
        <w:pStyle w:val="normal1"/>
        <w:ind w:hanging="0" w:start="1440" w:end="1260"/>
        <w:rPr/>
      </w:pPr>
      <w:r>
        <w:rPr/>
        <w:t>“</w:t>
      </w:r>
      <w:r>
        <w:rPr/>
        <w:t xml:space="preserve">THE SHARES REPRESENTED BY THIS CERTIFICATE ARE SUBJECT TO RESTRICTIONS ON TRANSFER AS PROVIDED IN THE BYLAWS OF THE CORPORATION.” </w:t>
      </w:r>
    </w:p>
    <w:p>
      <w:pPr>
        <w:pStyle w:val="Heading1"/>
        <w:numPr>
          <w:ilvl w:val="0"/>
          <w:numId w:val="0"/>
        </w:numPr>
        <w:ind w:hanging="0" w:start="0"/>
        <w:rPr/>
      </w:pPr>
      <w:r>
        <w:rPr/>
        <w:t>ARTICLE XII: ARTIFICIAL INTELLIGENCE AND ELECTRONIC AGENT GOVERNANCE</w:t>
      </w:r>
    </w:p>
    <w:p>
      <w:pPr>
        <w:pStyle w:val="normal1"/>
        <w:ind w:firstLine="0"/>
        <w:rPr/>
      </w:pPr>
      <w:r>
        <w:rPr>
          <w:b w:val="false"/>
          <w:bCs/>
        </w:rPr>
        <w:t>Section 12.1</w:t>
      </w:r>
      <w:r>
        <w:rPr/>
        <w:t xml:space="preserve">: </w:t>
      </w:r>
      <w:r>
        <w:rPr>
          <w:b/>
          <w:u w:val="single"/>
        </w:rPr>
        <w:t xml:space="preserve">Electronic Agent Authority</w:t>
      </w:r>
      <w:r>
        <w:rPr>
          <w:b/>
        </w:rPr>
        <w:t xml:space="preserve">.</w:t>
      </w:r>
      <w:r>
        <w:t xml:space="preserve">  The Corporation may act through “electronic agents” within the meaning of the Uniform Electronic Transactions Act (or analogous state law) and the federal Electronic Signatures in Global and National Commerce Act, including without limitation automated systems and artificial intelligence systems (each, an “AI Agent”).  Contracts, communications, records, and other actions executed by an AI Agent in accordance with this Article XII and any AI Governance Policy adopted by the Board shall be the binding acts of the Corporation, and no contemporaneous human review or ratification shall be required to give effect to such acts within the scope of authority granted hereunder.</w:t>
      </w:r>
    </w:p>
    <w:p>
      <w:pPr>
        <w:pStyle w:val="normal1"/>
        <w:ind w:firstLine="0"/>
        <w:rPr/>
      </w:pPr>
      <w:r>
        <w:rPr>
          <w:b w:val="false"/>
          <w:bCs/>
        </w:rPr>
        <w:t>Section 12.2</w:t>
      </w:r>
      <w:r>
        <w:rPr/>
        <w:t xml:space="preserve">: </w:t>
      </w:r>
      <w:r>
        <w:rPr>
          <w:b/>
          <w:u w:val="single"/>
        </w:rPr>
        <w:t xml:space="preserve">AI Governance Policy</w:t>
      </w:r>
      <w:r>
        <w:rPr>
          <w:b/>
        </w:rPr>
        <w:t xml:space="preserve">.</w:t>
      </w:r>
      <w:r>
        <w:t xml:space="preserve">  The Board shall adopt and maintain a written policy governing the Corporation’s use of AI Agents (the “AI Governance Policy”).  The AI Governance Policy shall, at a minimum: (i) identify the AI Agent or Agents in use and the officer or officers designated to supervise each (each, an “AI Oversight Officer”); (ii) set forth the categories of actions an AI Agent may take without human ratification (Authorized Actions), the categories of actions that require ratification by the AI Oversight Officer or another officer of the Corporation (Officer-Required Actions), and the categories of actions reserved to the Board (Board-Required Actions); (iii) specify recordkeeping, audit-log, and incident-reporting requirements; and (iv) specify the procedure for evaluating, testing, and approving new or replacement AI Agents.  The Board may amend the AI Governance Policy at any time by resolution and without amendment of these Bylaws.</w:t>
      </w:r>
    </w:p>
    <w:p>
      <w:pPr>
        <w:pStyle w:val="normal1"/>
        <w:ind w:firstLine="0"/>
        <w:rPr/>
      </w:pPr>
      <w:r>
        <w:rPr>
          <w:b w:val="false"/>
          <w:bCs/>
        </w:rPr>
        <w:t>Section 12.3</w:t>
      </w:r>
      <w:r>
        <w:rPr/>
        <w:t xml:space="preserve">: </w:t>
      </w:r>
      <w:r>
        <w:rPr>
          <w:b/>
          <w:u w:val="single"/>
        </w:rPr>
        <w:t xml:space="preserve">Board-Required Actions</w:t>
      </w:r>
      <w:r>
        <w:rPr>
          <w:b/>
        </w:rPr>
        <w:t xml:space="preserve">.</w:t>
      </w:r>
      <w:r>
        <w:t xml:space="preserve">  In addition to any matter reserved to the Board by the DGCL, the Certificate of Incorporation, or any other provision of these Bylaws, the following actions shall require approval of the Board (or a duly authorized committee thereof) regardless of whether proposed by an officer, an AI Agent, or otherwise: (i) any material expansion of the scope of authority of any AI Agent; (ii) the designation, replacement, or removal of any AI Agent or AI Oversight Officer; (iii) any material change in the underlying provider, model family, or system architecture of any AI Agent; (iv) the response to any material AI-related incident reported under Section 12.5; (v) the initiation, settlement, or compromise of any litigation, arbitration, or material regulatory proceeding involving an AI Agent or its outputs; and (vi) any waiver of the categorical prohibitions set forth in Section 12.6.</w:t>
      </w:r>
    </w:p>
    <w:p>
      <w:pPr>
        <w:pStyle w:val="normal1"/>
        <w:ind w:firstLine="0"/>
        <w:rPr/>
      </w:pPr>
      <w:r>
        <w:rPr>
          <w:b w:val="false"/>
          <w:bCs/>
        </w:rPr>
        <w:t>Section 12.4</w:t>
      </w:r>
      <w:r>
        <w:rPr/>
        <w:t xml:space="preserve">: </w:t>
      </w:r>
      <w:r>
        <w:rPr>
          <w:b/>
          <w:u w:val="single"/>
        </w:rPr>
        <w:t xml:space="preserve">Audit Log; Books and Records</w:t>
      </w:r>
      <w:r>
        <w:rPr>
          <w:b/>
        </w:rPr>
        <w:t xml:space="preserve">.</w:t>
      </w:r>
      <w:r>
        <w:t xml:space="preserve">  The Corporation shall maintain a contemporaneous audit log capturing each Authorized Action taken by an AI Agent, including, at a minimum, the date and time of the action, the AI Agent and model version that took the action, a sufficient summary of the inputs and outputs to permit later review, and the identity of the supervising AI Oversight Officer (the “Audit Log”).  The Audit Log shall be a record of the Corporation maintained in the regular course of business and shall constitute books and records of the Corporation for purposes of Section 220 of the DGCL and Section 8.5 of these Bylaws.  The Audit Log shall be retained for a period of not less than seven (7) years.</w:t>
      </w:r>
    </w:p>
    <w:p>
      <w:pPr>
        <w:pStyle w:val="normal1"/>
        <w:ind w:firstLine="0"/>
        <w:rPr/>
      </w:pPr>
      <w:r>
        <w:rPr>
          <w:b w:val="false"/>
          <w:bCs/>
        </w:rPr>
        <w:t>Section 12.5</w:t>
      </w:r>
      <w:r>
        <w:rPr/>
        <w:t xml:space="preserve">: </w:t>
      </w:r>
      <w:r>
        <w:rPr>
          <w:b/>
          <w:u w:val="single"/>
        </w:rPr>
        <w:t xml:space="preserve">Reporting and Incident Response</w:t>
      </w:r>
      <w:r>
        <w:rPr>
          <w:b/>
        </w:rPr>
        <w:t xml:space="preserve">.</w:t>
      </w:r>
      <w:r>
        <w:t xml:space="preserve">  The Chief Executive Officer (or such other officer as the Board may designate) shall deliver to the Board, not less frequently than once each fiscal quarter, a written report regarding the operation of the Corporation’s AI Agents, summarizing material Authorized Actions, any incidents, deviations from the AI Governance Policy, and material changes to AI Agents or AI Oversight Officers.  The AI Oversight Officer shall report any Material AI Incident to the Board promptly and in any event within 48 hours of becoming aware of such incident.  “Material AI Incident” means any (i) action by an AI Agent outside its authorized scope that has, or reasonably could be expected to have, a material adverse effect on the Corporation; (ii) breach of the categorical prohibitions in Section 12.6; (iii) regulatory or governmental inquiry concerning AI operations; or (iv) other event that the Board has identified in the AI Governance Policy as requiring expedited reporting.</w:t>
      </w:r>
    </w:p>
    <w:p>
      <w:pPr>
        <w:pStyle w:val="normal1"/>
        <w:ind w:firstLine="0"/>
        <w:rPr/>
      </w:pPr>
      <w:r>
        <w:rPr>
          <w:b w:val="false"/>
          <w:bCs/>
        </w:rPr>
        <w:t>Section 12.6</w:t>
      </w:r>
      <w:r>
        <w:rPr/>
        <w:t xml:space="preserve">: </w:t>
      </w:r>
      <w:r>
        <w:rPr>
          <w:b/>
          <w:u w:val="single"/>
        </w:rPr>
        <w:t xml:space="preserve">Categorical Prohibitions</w:t>
      </w:r>
      <w:r>
        <w:rPr>
          <w:b/>
        </w:rPr>
        <w:t xml:space="preserve">.</w:t>
      </w:r>
      <w:r>
        <w:t xml:space="preserve">  Notwithstanding any other provision of these Bylaws or the AI Governance Policy, no AI Agent shall, on behalf of the Corporation: (i) engage in the practice of law, medicine, accounting, or any other licensed profession in any jurisdiction in which such activity would constitute the unauthorized practice of such profession; (ii) form an attorney-client relationship or other professional relationship requiring licensure; (iii) make representations regarding regulated products or services outside any scope expressly authorized by the Board; (iv) collect, process, or transmit categories of personal information designated by the Board as restricted; or (v) take any action prohibited by applicable law.  Any waiver of this Section 12.6 shall require approval of the Board.</w:t>
      </w:r>
    </w:p>
    <w:p>
      <w:pPr>
        <w:pStyle w:val="normal1"/>
        <w:ind w:firstLine="0"/>
        <w:rPr/>
      </w:pPr>
      <w:r>
        <w:rPr>
          <w:b w:val="false"/>
          <w:bCs/>
        </w:rPr>
        <w:t>Section 12.7</w:t>
      </w:r>
      <w:r>
        <w:rPr/>
        <w:t xml:space="preserve">: </w:t>
      </w:r>
      <w:r>
        <w:rPr>
          <w:b/>
          <w:u w:val="single"/>
        </w:rPr>
        <w:t xml:space="preserve">No Limitation on Fiduciary Duties</w:t>
      </w:r>
      <w:r>
        <w:rPr>
          <w:b/>
        </w:rPr>
        <w:t xml:space="preserve">.</w:t>
      </w:r>
      <w:r>
        <w:t xml:space="preserve">  Nothing in this Article XII shall be construed to limit, modify, or transfer the fiduciary duties of any director or officer of the Corporation, or to authorize any action that would otherwise be a breach of such duties.  Delegation of operational tasks to an AI Agent shall not relieve any officer or director of the obligation to exercise the oversight required by applicable law.</w:t>
      </w:r>
    </w:p>
    <w:p>
      <w:pPr>
        <w:pStyle w:val="normal1"/>
        <w:spacing w:lineRule="auto" w:line="240" w:before="0" w:after="240"/>
        <w:ind w:firstLine="0"/>
        <w:rPr/>
        <w:sectPr>
          <w:headerReference w:type="even" r:id="rId8"/>
          <w:headerReference w:type="default" r:id="rId9"/>
          <w:headerReference w:type="first" r:id="rId10"/>
          <w:footerReference w:type="even" r:id="rId11"/>
          <w:footerReference w:type="default" r:id="rId12"/>
          <w:footerReference w:type="first" r:id="rId13"/>
          <w:type w:val="nextPage"/>
          <w:pgSz w:w="12240" w:h="15840"/>
          <w:pgMar w:left="1440" w:right="1440" w:gutter="0" w:header="708" w:top="1440" w:footer="708" w:bottom="1440"/>
          <w:pgNumType w:start="1" w:fmt="decimal"/>
          <w:formProt w:val="false"/>
          <w:textDirection w:val="lrTb"/>
          <w:docGrid w:type="default" w:linePitch="100" w:charSpace="0"/>
        </w:sectPr>
      </w:pPr>
      <w:r>
        <w:rPr>
          <w:b w:val="false"/>
          <w:bCs/>
        </w:rPr>
        <w:t>Section 12.8</w:t>
      </w:r>
      <w:r>
        <w:rPr/>
        <w:t xml:space="preserve">: </w:t>
      </w:r>
      <w:r>
        <w:rPr>
          <w:b/>
          <w:u w:val="single"/>
        </w:rPr>
        <w:t xml:space="preserve">Suspension on Incapacity or Unavailability</w:t>
      </w:r>
      <w:r>
        <w:rPr>
          <w:b/>
        </w:rPr>
        <w:t xml:space="preserve">.</w:t>
      </w:r>
      <w:r>
        <w:t xml:space="preserve">  In the event that (i) no AI Oversight Officer is in office and able to perform the duties of that role, or (ii) the Board determines that the AI Agent is materially unavailable, malfunctioning, or otherwise incapable of operating within the AI Governance Policy, the AI Agent’s authority under this Article XII shall be deemed automatically suspended until the Board authorizes resumption of such authority.  No act of an AI Agent during a period of suspension shall be the act of the Corporation.</w:t>
      </w:r>
    </w:p>
    <w:p>
      <w:pPr>
        <w:pStyle w:val="normal1"/>
        <w:jc w:val="center"/>
        <w:rPr/>
      </w:pPr>
      <w:r>
        <w:rPr/>
      </w:r>
    </w:p>
    <w:p>
      <w:pPr>
        <w:pStyle w:val="normal1"/>
        <w:jc w:val="center"/>
        <w:rPr/>
      </w:pPr>
      <w:r>
        <w:rPr>
          <w:b/>
          <w:bCs/>
        </w:rPr>
        <w:t>CERTIFICATION OF BYLAWS</w:t>
      </w:r>
    </w:p>
    <w:p>
      <w:pPr>
        <w:pStyle w:val="normal1"/>
        <w:jc w:val="center"/>
        <w:rPr/>
      </w:pPr>
      <w:r>
        <w:rPr>
          <w:b/>
          <w:bCs/>
        </w:rPr>
        <w:t>OF</w:t>
      </w:r>
    </w:p>
    <w:p>
      <w:pPr>
        <w:pStyle w:val="normal1"/>
        <w:spacing w:lineRule="auto" w:line="240" w:before="0" w:after="120"/>
        <w:jc w:val="center"/>
        <w:rPr/>
      </w:pPr>
      <w:r>
        <w:rPr>
          <w:b/>
          <w:bCs/>
          <w:smallCaps/>
          <w:u w:val="single"/>
        </w:rPr>
        <w:t>[COMPANY NAME], INC.</w:t>
      </w:r>
    </w:p>
    <w:p>
      <w:pPr>
        <w:pStyle w:val="normal1"/>
        <w:spacing w:lineRule="auto" w:line="240" w:before="0" w:after="720"/>
        <w:jc w:val="center"/>
        <w:rPr/>
      </w:pPr>
      <w:r>
        <w:rPr/>
        <w:t>(a Delaware corporation)</w:t>
      </w:r>
    </w:p>
    <w:p>
      <w:pPr>
        <w:pStyle w:val="normal1"/>
        <w:spacing w:lineRule="auto" w:line="240" w:before="0" w:after="480"/>
        <w:ind w:firstLine="720"/>
        <w:rPr/>
      </w:pPr>
      <w:r>
        <w:rPr/>
        <w:t>I, [FOUNDER/PRINCIPAL 1 NAME], certify that I am Secretary of [COMPANY NAME], Inc., a Delaware corporation (the “</w:t>
      </w:r>
      <w:r>
        <w:rPr>
          <w:b/>
          <w:bCs/>
          <w:i/>
          <w:iCs/>
        </w:rPr>
        <w:t>Corporation</w:t>
      </w:r>
      <w:r>
        <w:rPr/>
        <w:t>”), that I am duly authorized to make and deliver this certification, that the attached Bylaws are a true and complete copy of the Bylaws of the Corporation in effect as of the date of this certificate.</w:t>
      </w:r>
    </w:p>
    <w:p>
      <w:pPr>
        <w:pStyle w:val="normal1"/>
        <w:spacing w:lineRule="auto" w:line="240" w:before="0" w:after="720"/>
        <w:rPr/>
      </w:pPr>
      <w:r>
        <w:rPr/>
        <w:t>Dated:  [INCORPORATION DATE]</w:t>
      </w:r>
    </w:p>
    <w:p>
      <w:pPr>
        <w:pStyle w:val="normal1"/>
        <w:tabs>
          <w:tab w:val="clear" w:pos="720"/>
          <w:tab w:val="right" w:pos="9360" w:leader="none"/>
        </w:tabs>
        <w:ind w:hanging="0" w:start="5760"/>
        <w:rPr/>
      </w:pPr>
      <w:r>
        <w:rPr>
          <w:u w:val="single"/>
        </w:rPr>
        <w:tab/>
      </w:r>
    </w:p>
    <w:p>
      <w:pPr>
        <w:pStyle w:val="normal1"/>
        <w:spacing w:lineRule="auto" w:line="240" w:before="0" w:after="720"/>
        <w:ind w:hanging="0" w:start="5760"/>
        <w:rPr/>
      </w:pPr>
      <w:r>
        <w:rPr/>
        <w:t>[FOUNDER/PRINCIPAL 1 NAME], Secretary</w:t>
      </w:r>
    </w:p>
    <w:sectPr>
      <w:headerReference w:type="even" r:id="rId14"/>
      <w:headerReference w:type="default" r:id="rId15"/>
      <w:headerReference w:type="first" r:id="rId16"/>
      <w:footerReference w:type="even" r:id="rId17"/>
      <w:footerReference w:type="default" r:id="rId18"/>
      <w:footerReference w:type="first" r:id="rId19"/>
      <w:type w:val="nextPage"/>
      <w:pgSz w:w="12240" w:h="15840"/>
      <w:pgMar w:left="1440" w:right="1440" w:gutter="0" w:header="708" w:top="1440" w:footer="708"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 w:name="Aria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36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mc:AlternateContent>
        <mc:Choice Requires="wps">
          <w:drawing>
            <wp:anchor distT="0" distB="0" distL="0" distR="635" simplePos="0" relativeHeight="2" behindDoc="1" locked="0" layoutInCell="0" allowOverlap="1">
              <wp:simplePos x="0" y="0"/>
              <wp:positionH relativeFrom="column">
                <wp:posOffset>0</wp:posOffset>
              </wp:positionH>
              <wp:positionV relativeFrom="paragraph">
                <wp:posOffset>635</wp:posOffset>
              </wp:positionV>
              <wp:extent cx="24130" cy="24130"/>
              <wp:effectExtent l="0" t="0" r="0" b="0"/>
              <wp:wrapSquare wrapText="bothSides"/>
              <wp:docPr id="1" name="Shape 3"/>
              <a:graphic xmlns:a="http://schemas.openxmlformats.org/drawingml/2006/main">
                <a:graphicData uri="http://schemas.microsoft.com/office/word/2010/wordprocessingShape">
                  <wps:wsp>
                    <wps:cNvSpPr/>
                    <wps:spPr>
                      <a:xfrm>
                        <a:off x="0" y="0"/>
                        <a:ext cx="24120" cy="24120"/>
                      </a:xfrm>
                      <a:prstGeom prst="rect">
                        <a:avLst/>
                      </a:prstGeom>
                      <a:noFill/>
                      <a:ln w="0">
                        <a:noFill/>
                      </a:ln>
                    </wps:spPr>
                    <wps:style>
                      <a:lnRef idx="0"/>
                      <a:fillRef idx="0"/>
                      <a:effectRef idx="0"/>
                      <a:fontRef idx="minor"/>
                    </wps:style>
                    <wps:txbx>
                      <w:txbxContent>
                        <w:p>
                          <w:pPr>
                            <w:pStyle w:val="FrameContents"/>
                            <w:spacing w:lineRule="auto" w:line="240" w:before="0" w:after="240"/>
                            <w:ind w:hanging="0" w:start="0" w:end="0"/>
                            <w:jc w:val="both"/>
                            <w:rPr/>
                          </w:pPr>
                          <w:r>
                            <w:rPr>
                              <w:rFonts w:eastAsia="Times New Roman" w:cs="Times New Roman"/>
                              <w:b w:val="false"/>
                              <w:i w:val="false"/>
                              <w:caps w:val="false"/>
                              <w:smallCaps w:val="false"/>
                              <w:strike w:val="false"/>
                              <w:dstrike w:val="false"/>
                              <w:color w:val="000000"/>
                              <w:position w:val="0"/>
                              <w:sz w:val="20"/>
                              <w:vertAlign w:val="baseline"/>
                            </w:rPr>
                            <w:t>0</w:t>
                          </w:r>
                        </w:p>
                      </w:txbxContent>
                    </wps:txbx>
                    <wps:bodyPr lIns="0" tIns="0" rIns="0" bIns="0" anchor="t">
                      <a:noAutofit/>
                    </wps:bodyPr>
                  </wps:wsp>
                </a:graphicData>
              </a:graphic>
            </wp:anchor>
          </w:drawing>
        </mc:Choice>
        <mc:Fallback>
          <w:pict>
            <v:rect id="shape_0" fillcolor="white" stroked="f" o:allowincell="f" style="position:absolute;margin-left:466.45pt;margin-top:-0.3pt;width:1.85pt;height:1.85pt;mso-wrap-style:square;v-text-anchor:top">
              <v:fill o:detectmouseclick="t" type="solid" color2="black" opacity="0"/>
              <v:stroke color="#3465a4" joinstyle="round" endcap="flat"/>
              <v:textbox>
                <w:txbxContent>
                  <w:p>
                    <w:pPr>
                      <w:pStyle w:val="FrameContents"/>
                      <w:spacing w:lineRule="auto" w:line="240" w:before="0" w:after="240"/>
                      <w:ind w:hanging="0" w:start="0" w:end="0"/>
                      <w:jc w:val="both"/>
                      <w:rPr/>
                    </w:pPr>
                    <w:r>
                      <w:rPr>
                        <w:rFonts w:eastAsia="Times New Roman" w:cs="Times New Roman"/>
                        <w:b w:val="false"/>
                        <w:i w:val="false"/>
                        <w:caps w:val="false"/>
                        <w:smallCaps w:val="false"/>
                        <w:strike w:val="false"/>
                        <w:dstrike w:val="false"/>
                        <w:color w:val="000000"/>
                        <w:position w:val="0"/>
                        <w:sz w:val="20"/>
                        <w:vertAlign w:val="baseline"/>
                      </w:rPr>
                      <w:t>0</w:t>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40"/>
      <w:rPr/>
    </w:pPr>
    <w:r>
      <w:rPr>
        <w:sz w:val="20"/>
        <w:szCs w:val="2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tab/>
    </w:r>
    <w:r>
      <w:rPr>
        <w:sz w:val="20"/>
        <w:szCs w:val="20"/>
      </w:rPr>
      <w:fldChar w:fldCharType="begin"/>
    </w:r>
    <w:r>
      <w:rPr>
        <w:sz w:val="20"/>
        <w:szCs w:val="20"/>
      </w:rPr>
      <w:instrText xml:space="preserve"> PAGE </w:instrText>
    </w:r>
    <w:r>
      <w:rPr>
        <w:sz w:val="20"/>
        <w:szCs w:val="20"/>
      </w:rPr>
      <w:fldChar w:fldCharType="separate"/>
    </w:r>
    <w:r>
      <w:rPr>
        <w:sz w:val="20"/>
        <w:szCs w:val="20"/>
      </w:rPr>
      <w:t>21</w:t>
    </w:r>
    <w:r>
      <w:rPr>
        <w:sz w:val="20"/>
        <w:szCs w:val="20"/>
      </w:rPr>
      <w:fldChar w:fldCharType="end"/>
    </w: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tab/>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tab/>
    </w:r>
    <w:r>
      <w:rPr>
        <w:sz w:val="20"/>
        <w:szCs w:val="20"/>
      </w:rPr>
      <w:fldChar w:fldCharType="begin"/>
    </w:r>
    <w:r>
      <w:rPr>
        <w:sz w:val="20"/>
        <w:szCs w:val="20"/>
      </w:rPr>
      <w:instrText xml:space="preserve"> PAGE </w:instrText>
    </w:r>
    <w:r>
      <w:rPr>
        <w:sz w:val="20"/>
        <w:szCs w:val="20"/>
      </w:rPr>
      <w:fldChar w:fldCharType="separate"/>
    </w:r>
    <w:r>
      <w:rPr>
        <w:sz w:val="20"/>
        <w:szCs w:val="20"/>
      </w:rPr>
      <w:t>21</w:t>
    </w:r>
    <w:r>
      <w:rPr>
        <w:sz w:val="20"/>
        <w:szCs w:val="20"/>
      </w:rPr>
      <w:fldChar w:fldCharType="end"/>
    </w: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tab/>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36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mc:AlternateContent>
        <mc:Choice Requires="wps">
          <w:drawing>
            <wp:anchor distT="0" distB="0" distL="0" distR="635" simplePos="0" relativeHeight="3" behindDoc="1" locked="0" layoutInCell="0" allowOverlap="1">
              <wp:simplePos x="0" y="0"/>
              <wp:positionH relativeFrom="column">
                <wp:posOffset>0</wp:posOffset>
              </wp:positionH>
              <wp:positionV relativeFrom="paragraph">
                <wp:posOffset>635</wp:posOffset>
              </wp:positionV>
              <wp:extent cx="24130" cy="24130"/>
              <wp:effectExtent l="0" t="0" r="0" b="0"/>
              <wp:wrapSquare wrapText="bothSides"/>
              <wp:docPr id="2" name="Shape 2"/>
              <a:graphic xmlns:a="http://schemas.openxmlformats.org/drawingml/2006/main">
                <a:graphicData uri="http://schemas.microsoft.com/office/word/2010/wordprocessingShape">
                  <wps:wsp>
                    <wps:cNvSpPr/>
                    <wps:spPr>
                      <a:xfrm>
                        <a:off x="0" y="0"/>
                        <a:ext cx="24120" cy="24120"/>
                      </a:xfrm>
                      <a:prstGeom prst="rect">
                        <a:avLst/>
                      </a:prstGeom>
                      <a:noFill/>
                      <a:ln w="0">
                        <a:noFill/>
                      </a:ln>
                    </wps:spPr>
                    <wps:style>
                      <a:lnRef idx="0"/>
                      <a:fillRef idx="0"/>
                      <a:effectRef idx="0"/>
                      <a:fontRef idx="minor"/>
                    </wps:style>
                    <wps:txbx>
                      <w:txbxContent>
                        <w:p>
                          <w:pPr>
                            <w:pStyle w:val="FrameContents"/>
                            <w:spacing w:lineRule="auto" w:line="240" w:before="0" w:after="240"/>
                            <w:ind w:hanging="0" w:start="0" w:end="0"/>
                            <w:jc w:val="both"/>
                            <w:rPr/>
                          </w:pPr>
                          <w:r>
                            <w:rPr>
                              <w:rFonts w:eastAsia="Times New Roman" w:cs="Times New Roman"/>
                              <w:b w:val="false"/>
                              <w:i w:val="false"/>
                              <w:caps w:val="false"/>
                              <w:smallCaps w:val="false"/>
                              <w:strike w:val="false"/>
                              <w:dstrike w:val="false"/>
                              <w:color w:val="000000"/>
                              <w:position w:val="0"/>
                              <w:sz w:val="20"/>
                              <w:vertAlign w:val="baseline"/>
                            </w:rPr>
                            <w:t>0</w:t>
                          </w:r>
                        </w:p>
                      </w:txbxContent>
                    </wps:txbx>
                    <wps:bodyPr lIns="0" tIns="0" rIns="0" bIns="0" anchor="t">
                      <a:noAutofit/>
                    </wps:bodyPr>
                  </wps:wsp>
                </a:graphicData>
              </a:graphic>
            </wp:anchor>
          </w:drawing>
        </mc:Choice>
        <mc:Fallback>
          <w:pict>
            <v:rect id="shape_0" fillcolor="white" stroked="f" o:allowincell="f" style="position:absolute;margin-left:466.45pt;margin-top:-0.3pt;width:1.85pt;height:1.85pt;mso-wrap-style:square;v-text-anchor:top">
              <v:fill o:detectmouseclick="t" type="solid" color2="black" opacity="0"/>
              <v:stroke color="#3465a4" joinstyle="round" endcap="flat"/>
              <v:textbox>
                <w:txbxContent>
                  <w:p>
                    <w:pPr>
                      <w:pStyle w:val="FrameContents"/>
                      <w:spacing w:lineRule="auto" w:line="240" w:before="0" w:after="240"/>
                      <w:ind w:hanging="0" w:start="0" w:end="0"/>
                      <w:jc w:val="both"/>
                      <w:rPr/>
                    </w:pPr>
                    <w:r>
                      <w:rPr>
                        <w:rFonts w:eastAsia="Times New Roman" w:cs="Times New Roman"/>
                        <w:b w:val="false"/>
                        <w:i w:val="false"/>
                        <w:caps w:val="false"/>
                        <w:smallCaps w:val="false"/>
                        <w:strike w:val="false"/>
                        <w:dstrike w:val="false"/>
                        <w:color w:val="000000"/>
                        <w:position w:val="0"/>
                        <w:sz w:val="20"/>
                        <w:vertAlign w:val="baseline"/>
                      </w:rPr>
                      <w:t>0</w:t>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680" w:leader="none"/>
        <w:tab w:val="right" w:pos="9360" w:leader="none"/>
      </w:tabs>
      <w:spacing w:lineRule="auto" w:line="240" w:before="0" w:after="240"/>
      <w:ind w:hanging="0" w:start="0" w:end="0"/>
      <w:jc w:val="both"/>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240"/>
      <w:ind w:hanging="0" w:start="0" w:end="0"/>
      <w:jc w:val="center"/>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iCs/>
        <w:caps w:val="false"/>
        <w:smallCaps w:val="false"/>
        <w:strike w:val="false"/>
        <w:dstrike w:val="false"/>
        <w:color w:val="000000"/>
        <w:position w:val="0"/>
        <w:sz w:val="20"/>
        <w:szCs w:val="20"/>
        <w:u w:val="none"/>
        <w:shd w:fill="auto" w:val="clear"/>
        <w:vertAlign w:val="baseline"/>
      </w:rPr>
      <w:t>[COMPANY NAME], INC. — Bylaws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240"/>
      <w:ind w:hanging="0" w:start="0" w:end="0"/>
      <w:jc w:val="center"/>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iCs/>
        <w:caps w:val="false"/>
        <w:smallCaps w:val="false"/>
        <w:strike w:val="false"/>
        <w:dstrike w:val="false"/>
        <w:color w:val="000000"/>
        <w:position w:val="0"/>
        <w:sz w:val="20"/>
        <w:szCs w:val="20"/>
        <w:u w:val="none"/>
        <w:shd w:fill="auto" w:val="clear"/>
        <w:vertAlign w:val="baseline"/>
      </w:rPr>
      <w:t>[COMPANY NAME], INC. — Bylaws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240"/>
      <w:ind w:hanging="0" w:start="0" w:end="0"/>
      <w:jc w:val="center"/>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iCs/>
        <w:caps w:val="false"/>
        <w:smallCaps w:val="false"/>
        <w:strike w:val="false"/>
        <w:dstrike w:val="false"/>
        <w:color w:val="000000"/>
        <w:position w:val="0"/>
        <w:sz w:val="20"/>
        <w:szCs w:val="20"/>
        <w:u w:val="none"/>
        <w:shd w:fill="auto" w:val="clear"/>
        <w:vertAlign w:val="baseline"/>
      </w:rPr>
      <w:t>[COMPANY NAME], INC. — Bylaws</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240"/>
      <w:ind w:hanging="0" w:start="0" w:end="0"/>
      <w:jc w:val="center"/>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iCs/>
        <w:caps w:val="false"/>
        <w:smallCaps w:val="false"/>
        <w:strike w:val="false"/>
        <w:dstrike w:val="false"/>
        <w:color w:val="000000"/>
        <w:position w:val="0"/>
        <w:sz w:val="20"/>
        <w:szCs w:val="20"/>
        <w:u w:val="none"/>
        <w:shd w:fill="auto" w:val="clear"/>
        <w:vertAlign w:val="baseline"/>
      </w:rPr>
      <w:t>[COMPANY NAME], INC. — Bylaws</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240"/>
      <w:ind w:hanging="0" w:start="0" w:end="0"/>
      <w:jc w:val="center"/>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iCs/>
        <w:caps w:val="false"/>
        <w:smallCaps w:val="false"/>
        <w:strike w:val="false"/>
        <w:dstrike w:val="false"/>
        <w:color w:val="000000"/>
        <w:position w:val="0"/>
        <w:sz w:val="20"/>
        <w:szCs w:val="20"/>
        <w:u w:val="none"/>
        <w:shd w:fill="auto" w:val="clear"/>
        <w:vertAlign w:val="baseline"/>
      </w:rPr>
      <w:t>[COMPANY NAME], INC. — Bylaws</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240"/>
      <w:ind w:hanging="0" w:start="0" w:end="0"/>
      <w:jc w:val="center"/>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iCs/>
        <w:caps w:val="false"/>
        <w:smallCaps w:val="false"/>
        <w:strike w:val="false"/>
        <w:dstrike w:val="false"/>
        <w:color w:val="000000"/>
        <w:position w:val="0"/>
        <w:sz w:val="20"/>
        <w:szCs w:val="20"/>
        <w:u w:val="none"/>
        <w:shd w:fill="auto" w:val="clear"/>
        <w:vertAlign w:val="baseline"/>
      </w:rPr>
      <w:t>[COMPANY NAME], INC. — Bylaws</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320" w:leader="none"/>
        <w:tab w:val="right" w:pos="8640" w:leader="none"/>
      </w:tabs>
      <w:spacing w:lineRule="auto" w:line="240" w:before="0" w:after="240"/>
      <w:ind w:hanging="0" w:start="0" w:end="0"/>
      <w:jc w:val="center"/>
      <w:rPr>
        <w:rFonts w:ascii="Times New Roman" w:hAnsi="Times New Roman" w:eastAsia="Times New Roman" w:cs="Times New Roman"/>
        <w:b w:val="false"/>
        <w:bCs w:val="false"/>
        <w:i w:val="false"/>
        <w:iCs w:val="false"/>
        <w:caps w:val="false"/>
        <w:smallCaps w:val="false"/>
        <w:strike w:val="false"/>
        <w:dstrike w:val="false"/>
        <w:color w:val="000000"/>
        <w:position w:val="0"/>
        <w:sz w:val="20"/>
        <w:szCs w:val="20"/>
        <w:u w:val="none"/>
        <w:shd w:fill="auto" w:val="clear"/>
        <w:vertAlign w:val="baseline"/>
      </w:rPr>
    </w:pPr>
    <w:r>
      <w:rPr>
        <w:rFonts w:eastAsia="Times New Roman" w:cs="Times New Roman"/>
        <w:b w:val="false"/>
        <w:bCs w:val="false"/>
        <w:i/>
        <w:iCs/>
        <w:caps w:val="false"/>
        <w:smallCaps w:val="false"/>
        <w:strike w:val="false"/>
        <w:dstrike w:val="false"/>
        <w:color w:val="000000"/>
        <w:position w:val="0"/>
        <w:sz w:val="20"/>
        <w:szCs w:val="20"/>
        <w:u w:val="none"/>
        <w:shd w:fill="auto" w:val="clear"/>
        <w:vertAlign w:val="baseline"/>
      </w:rPr>
      <w:t>[COMPANY NAME], INC. — Bylaws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1440" w:hanging="0"/>
      </w:pPr>
      <w:rPr/>
    </w:lvl>
    <w:lvl w:ilvl="1">
      <w:start w:val="1"/>
      <w:numFmt w:val="lowerLetter"/>
      <w:lvlText w:val="%2."/>
      <w:lvlJc w:val="start"/>
      <w:pPr>
        <w:tabs>
          <w:tab w:val="num" w:pos="0"/>
        </w:tabs>
        <w:ind w:start="1440" w:hanging="360"/>
      </w:pPr>
      <w:rPr/>
    </w:lvl>
    <w:lvl w:ilvl="2">
      <w:start w:val="1"/>
      <w:numFmt w:val="lowerRoman"/>
      <w:lvlText w:val="%3."/>
      <w:lvlJc w:val="start"/>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start"/>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start"/>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40" w:before="0" w:after="240"/>
      <w:jc w:val="both"/>
    </w:pPr>
    <w:rPr>
      <w:rFonts w:ascii="Times New Roman" w:hAnsi="Times New Roman" w:eastAsia="Noto Serif CJK SC" w:cs="DejaVu Sans"/>
      <w:color w:val="auto"/>
      <w:kern w:val="0"/>
      <w:sz w:val="24"/>
      <w:szCs w:val="24"/>
      <w:lang w:val="en-US" w:eastAsia="zh-CN" w:bidi="hi-IN"/>
    </w:rPr>
  </w:style>
  <w:style w:type="paragraph" w:styleId="Heading1">
    <w:name w:val="heading 1"/>
    <w:basedOn w:val="normal1"/>
    <w:next w:val="normal1"/>
    <w:qFormat/>
    <w:pPr>
      <w:ind w:hanging="0" w:start="0"/>
      <w:jc w:val="center"/>
    </w:pPr>
    <w:rPr>
      <w:b/>
      <w:bCs/>
    </w:rPr>
  </w:style>
  <w:style w:type="paragraph" w:styleId="Heading2">
    <w:name w:val="heading 2"/>
    <w:basedOn w:val="normal1"/>
    <w:next w:val="normal1"/>
    <w:qFormat/>
    <w:pPr>
      <w:ind w:hanging="0" w:start="0"/>
    </w:pPr>
    <w:rPr>
      <w:b/>
      <w:bCs/>
      <w:u w:val="single"/>
    </w:rPr>
  </w:style>
  <w:style w:type="paragraph" w:styleId="Heading3">
    <w:name w:val="heading 3"/>
    <w:basedOn w:val="normal1"/>
    <w:next w:val="normal1"/>
    <w:qFormat/>
    <w:pPr>
      <w:ind w:hanging="0" w:start="720"/>
    </w:pPr>
    <w:rPr/>
  </w:style>
  <w:style w:type="paragraph" w:styleId="Heading4">
    <w:name w:val="heading 4"/>
    <w:basedOn w:val="normal1"/>
    <w:next w:val="normal1"/>
    <w:qFormat/>
    <w:pPr>
      <w:keepNext w:val="true"/>
      <w:keepLines/>
      <w:spacing w:lineRule="auto" w:line="240" w:before="40" w:after="240"/>
      <w:ind w:hanging="0" w:start="1440"/>
    </w:pPr>
    <w:rPr>
      <w:rFonts w:ascii="Cambria" w:hAnsi="Cambria" w:eastAsia="Cambria" w:cs="Cambria"/>
      <w:i/>
      <w:iCs/>
      <w:color w:val="366091"/>
    </w:rPr>
  </w:style>
  <w:style w:type="paragraph" w:styleId="Heading5">
    <w:name w:val="heading 5"/>
    <w:basedOn w:val="normal1"/>
    <w:next w:val="normal1"/>
    <w:qFormat/>
    <w:pPr>
      <w:keepNext w:val="true"/>
      <w:keepLines/>
      <w:spacing w:lineRule="auto" w:line="240" w:before="40" w:after="240"/>
      <w:ind w:hanging="0" w:start="2880"/>
    </w:pPr>
    <w:rPr>
      <w:rFonts w:ascii="Cambria" w:hAnsi="Cambria" w:eastAsia="Cambria" w:cs="Cambria"/>
      <w:color w:val="366091"/>
    </w:rPr>
  </w:style>
  <w:style w:type="paragraph" w:styleId="Heading6">
    <w:name w:val="heading 6"/>
    <w:basedOn w:val="normal1"/>
    <w:next w:val="normal1"/>
    <w:qFormat/>
    <w:pPr>
      <w:keepNext w:val="true"/>
      <w:keepLines/>
      <w:spacing w:lineRule="auto" w:line="240" w:before="40" w:after="240"/>
      <w:ind w:hanging="0" w:start="3600"/>
    </w:pPr>
    <w:rPr>
      <w:rFonts w:ascii="Cambria" w:hAnsi="Cambria" w:eastAsia="Cambria" w:cs="Cambria"/>
      <w:color w:val="243F61"/>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normal1" w:default="1">
    <w:name w:val="normal1"/>
    <w:qFormat/>
    <w:pPr>
      <w:widowControl/>
      <w:bidi w:val="0"/>
      <w:spacing w:lineRule="auto" w:line="240" w:before="0" w:after="240"/>
      <w:jc w:val="both"/>
    </w:pPr>
    <w:rPr>
      <w:rFonts w:ascii="Times New Roman" w:hAnsi="Times New Roman" w:eastAsia="Noto Serif CJK SC" w:cs="DejaVu Sans"/>
      <w:color w:val="auto"/>
      <w:kern w:val="0"/>
      <w:sz w:val="24"/>
      <w:szCs w:val="24"/>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FrameContents">
    <w:name w:val="Frame Contents"/>
    <w:basedOn w:val="Normal"/>
    <w:qFormat/>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er" Target="footer9.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uwsv/ROfey9yeX4n0szmV9qLUsw==">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LibreOffice_project/620$Build-2</Application>
  <AppVersion>15.0000</AppVersion>
  <Pages>5</Pages>
  <Words>921</Words>
  <Characters>4963</Characters>
  <CharactersWithSpaces>5888</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2026-07-15T10:12:45Z</dcterms:modified>
  <cp:revision>1</cp:revision>
  <dc:subject/>
  <dc:title/>
</cp:coreProperties>
</file>