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7DC66" w14:textId="123F1E54" w:rsidR="00CA0F62" w:rsidRPr="0017148F" w:rsidRDefault="00CA0F62" w:rsidP="0017148F">
      <w:pPr>
        <w:pStyle w:val="Heading1"/>
      </w:pPr>
      <w:r w:rsidRPr="0017148F">
        <w:t>Gender Equality</w:t>
      </w:r>
      <w:r w:rsidR="00AD01AD" w:rsidRPr="0017148F">
        <w:t>, DISABILITY</w:t>
      </w:r>
      <w:r w:rsidRPr="0017148F">
        <w:t xml:space="preserve"> </w:t>
      </w:r>
      <w:r w:rsidR="00C337EA" w:rsidRPr="0017148F">
        <w:t>and social inclusion</w:t>
      </w:r>
      <w:r w:rsidR="008429F1" w:rsidRPr="0017148F">
        <w:t xml:space="preserve"> </w:t>
      </w:r>
      <w:r w:rsidR="00DE2FAE" w:rsidRPr="0017148F">
        <w:t xml:space="preserve">Analysis </w:t>
      </w:r>
    </w:p>
    <w:p w14:paraId="7C533A89" w14:textId="0C1B20DA" w:rsidR="00DE2FAE" w:rsidRPr="00DE2FAE" w:rsidRDefault="00DE2FAE" w:rsidP="0022732F">
      <w:pPr>
        <w:tabs>
          <w:tab w:val="left" w:pos="8197"/>
        </w:tabs>
        <w:rPr>
          <w:sz w:val="38"/>
          <w:szCs w:val="38"/>
          <w:lang w:val="en-AU"/>
        </w:rPr>
      </w:pPr>
      <w:r w:rsidRPr="0093546F">
        <w:rPr>
          <w:sz w:val="38"/>
          <w:szCs w:val="38"/>
          <w:lang w:val="en-AU"/>
        </w:rPr>
        <w:t>GOOD PRACTICE NOTE</w:t>
      </w:r>
    </w:p>
    <w:p w14:paraId="558E0C51" w14:textId="77777777" w:rsidR="004309BC" w:rsidRPr="004309BC" w:rsidRDefault="004309BC" w:rsidP="004309BC">
      <w:pPr>
        <w:rPr>
          <w:lang w:val="en-AU"/>
        </w:rPr>
      </w:pPr>
    </w:p>
    <w:p w14:paraId="53D720BA" w14:textId="5BB2725E" w:rsidR="00DE2FAE" w:rsidRPr="0017148F" w:rsidRDefault="00DE2FAE" w:rsidP="0017148F">
      <w:pPr>
        <w:pStyle w:val="Heading2"/>
      </w:pPr>
      <w:r w:rsidRPr="0017148F">
        <w:t xml:space="preserve">OVERVIEW </w:t>
      </w:r>
    </w:p>
    <w:p w14:paraId="5E9117B9" w14:textId="0560D642" w:rsidR="00A20DE6" w:rsidRPr="00A112F5" w:rsidRDefault="00E10D61" w:rsidP="00877CBF">
      <w:pPr>
        <w:pStyle w:val="IntroPara"/>
        <w:jc w:val="both"/>
        <w:rPr>
          <w:color w:val="409F68" w:themeColor="accent5"/>
          <w:sz w:val="26"/>
          <w:szCs w:val="26"/>
          <w:lang w:val="en-AU"/>
        </w:rPr>
      </w:pPr>
      <w:r w:rsidRPr="00A112F5">
        <w:rPr>
          <w:color w:val="409F68" w:themeColor="accent5"/>
          <w:sz w:val="26"/>
          <w:szCs w:val="26"/>
          <w:lang w:val="en-AU"/>
        </w:rPr>
        <w:t xml:space="preserve">The Australian Government </w:t>
      </w:r>
      <w:r w:rsidR="00616ACE" w:rsidRPr="00A112F5">
        <w:rPr>
          <w:color w:val="409F68" w:themeColor="accent5"/>
          <w:sz w:val="26"/>
          <w:szCs w:val="26"/>
          <w:lang w:val="en-AU"/>
        </w:rPr>
        <w:t>is committed</w:t>
      </w:r>
      <w:r w:rsidRPr="00A112F5">
        <w:rPr>
          <w:color w:val="409F68" w:themeColor="accent5"/>
          <w:sz w:val="26"/>
          <w:szCs w:val="26"/>
          <w:lang w:val="en-AU"/>
        </w:rPr>
        <w:t xml:space="preserve"> to </w:t>
      </w:r>
      <w:r w:rsidR="006E4365" w:rsidRPr="00A112F5">
        <w:rPr>
          <w:color w:val="409F68" w:themeColor="accent5"/>
          <w:sz w:val="26"/>
          <w:szCs w:val="26"/>
          <w:lang w:val="en-AU"/>
        </w:rPr>
        <w:t>advanc</w:t>
      </w:r>
      <w:r w:rsidR="00616ACE" w:rsidRPr="00A112F5">
        <w:rPr>
          <w:color w:val="409F68" w:themeColor="accent5"/>
          <w:sz w:val="26"/>
          <w:szCs w:val="26"/>
          <w:lang w:val="en-AU"/>
        </w:rPr>
        <w:t>ing</w:t>
      </w:r>
      <w:r w:rsidRPr="00A112F5">
        <w:rPr>
          <w:color w:val="409F68" w:themeColor="accent5"/>
          <w:sz w:val="26"/>
          <w:szCs w:val="26"/>
          <w:lang w:val="en-AU"/>
        </w:rPr>
        <w:t xml:space="preserve"> gender equality</w:t>
      </w:r>
      <w:r w:rsidR="0067293E" w:rsidRPr="00A112F5">
        <w:rPr>
          <w:color w:val="409F68" w:themeColor="accent5"/>
          <w:sz w:val="26"/>
          <w:szCs w:val="26"/>
          <w:lang w:val="en-AU"/>
        </w:rPr>
        <w:t>, disability</w:t>
      </w:r>
      <w:r w:rsidR="00F573C5" w:rsidRPr="00A112F5">
        <w:rPr>
          <w:color w:val="409F68" w:themeColor="accent5"/>
          <w:sz w:val="26"/>
          <w:szCs w:val="26"/>
          <w:lang w:val="en-AU"/>
        </w:rPr>
        <w:t xml:space="preserve"> equity</w:t>
      </w:r>
      <w:r w:rsidR="007D4738" w:rsidRPr="00A112F5">
        <w:rPr>
          <w:color w:val="409F68" w:themeColor="accent5"/>
          <w:sz w:val="26"/>
          <w:szCs w:val="26"/>
          <w:lang w:val="en-AU"/>
        </w:rPr>
        <w:t>,</w:t>
      </w:r>
      <w:r w:rsidR="0067293E" w:rsidRPr="00A112F5">
        <w:rPr>
          <w:color w:val="409F68" w:themeColor="accent5"/>
          <w:sz w:val="26"/>
          <w:szCs w:val="26"/>
          <w:lang w:val="en-AU"/>
        </w:rPr>
        <w:t xml:space="preserve"> and social inclusion</w:t>
      </w:r>
      <w:r w:rsidR="00616ACE" w:rsidRPr="00A112F5">
        <w:rPr>
          <w:color w:val="409F68" w:themeColor="accent5"/>
          <w:sz w:val="26"/>
          <w:szCs w:val="26"/>
          <w:lang w:val="en-AU"/>
        </w:rPr>
        <w:t xml:space="preserve"> through the </w:t>
      </w:r>
      <w:r w:rsidR="00382F60" w:rsidRPr="00A112F5">
        <w:rPr>
          <w:color w:val="409F68" w:themeColor="accent5"/>
          <w:sz w:val="26"/>
          <w:szCs w:val="26"/>
          <w:lang w:val="en-AU"/>
        </w:rPr>
        <w:t>development</w:t>
      </w:r>
      <w:r w:rsidR="00616ACE" w:rsidRPr="00A112F5">
        <w:rPr>
          <w:color w:val="409F68" w:themeColor="accent5"/>
          <w:sz w:val="26"/>
          <w:szCs w:val="26"/>
          <w:lang w:val="en-AU"/>
        </w:rPr>
        <w:t xml:space="preserve"> program</w:t>
      </w:r>
      <w:r w:rsidR="00D64A62" w:rsidRPr="00A112F5">
        <w:rPr>
          <w:color w:val="409F68" w:themeColor="accent5"/>
          <w:sz w:val="26"/>
          <w:szCs w:val="26"/>
          <w:lang w:val="en-AU"/>
        </w:rPr>
        <w:t xml:space="preserve">. Australia’s </w:t>
      </w:r>
      <w:r w:rsidR="0098375E" w:rsidRPr="00A112F5">
        <w:rPr>
          <w:color w:val="409F68" w:themeColor="accent5"/>
          <w:sz w:val="26"/>
          <w:szCs w:val="26"/>
          <w:lang w:val="en-AU"/>
        </w:rPr>
        <w:t>I</w:t>
      </w:r>
      <w:r w:rsidR="00381F2B" w:rsidRPr="00A112F5">
        <w:rPr>
          <w:color w:val="409F68" w:themeColor="accent5"/>
          <w:sz w:val="26"/>
          <w:szCs w:val="26"/>
          <w:lang w:val="en-AU"/>
        </w:rPr>
        <w:t xml:space="preserve">nternational </w:t>
      </w:r>
      <w:r w:rsidR="0098375E" w:rsidRPr="00A112F5">
        <w:rPr>
          <w:color w:val="409F68" w:themeColor="accent5"/>
          <w:sz w:val="26"/>
          <w:szCs w:val="26"/>
          <w:lang w:val="en-AU"/>
        </w:rPr>
        <w:t>D</w:t>
      </w:r>
      <w:r w:rsidR="00381F2B" w:rsidRPr="00A112F5">
        <w:rPr>
          <w:color w:val="409F68" w:themeColor="accent5"/>
          <w:sz w:val="26"/>
          <w:szCs w:val="26"/>
          <w:lang w:val="en-AU"/>
        </w:rPr>
        <w:t xml:space="preserve">evelopment </w:t>
      </w:r>
      <w:r w:rsidR="0098375E" w:rsidRPr="00A112F5">
        <w:rPr>
          <w:color w:val="409F68" w:themeColor="accent5"/>
          <w:sz w:val="26"/>
          <w:szCs w:val="26"/>
          <w:lang w:val="en-AU"/>
        </w:rPr>
        <w:t>P</w:t>
      </w:r>
      <w:r w:rsidR="00381F2B" w:rsidRPr="00A112F5">
        <w:rPr>
          <w:color w:val="409F68" w:themeColor="accent5"/>
          <w:sz w:val="26"/>
          <w:szCs w:val="26"/>
          <w:lang w:val="en-AU"/>
        </w:rPr>
        <w:t xml:space="preserve">olicy identifies gender equality and disability </w:t>
      </w:r>
      <w:r w:rsidR="00F573C5" w:rsidRPr="00A112F5">
        <w:rPr>
          <w:color w:val="409F68" w:themeColor="accent5"/>
          <w:sz w:val="26"/>
          <w:szCs w:val="26"/>
          <w:lang w:val="en-AU"/>
        </w:rPr>
        <w:t xml:space="preserve">equity </w:t>
      </w:r>
      <w:r w:rsidR="00381F2B" w:rsidRPr="00A112F5">
        <w:rPr>
          <w:color w:val="409F68" w:themeColor="accent5"/>
          <w:sz w:val="26"/>
          <w:szCs w:val="26"/>
          <w:lang w:val="en-AU"/>
        </w:rPr>
        <w:t xml:space="preserve">as </w:t>
      </w:r>
      <w:r w:rsidR="00F64FEA" w:rsidRPr="00A112F5">
        <w:rPr>
          <w:color w:val="409F68" w:themeColor="accent5"/>
          <w:sz w:val="26"/>
          <w:szCs w:val="26"/>
          <w:lang w:val="en-AU"/>
        </w:rPr>
        <w:t>core issues for action</w:t>
      </w:r>
      <w:r w:rsidR="00381F2B" w:rsidRPr="00A112F5">
        <w:rPr>
          <w:color w:val="409F68" w:themeColor="accent5"/>
          <w:sz w:val="26"/>
          <w:szCs w:val="26"/>
          <w:lang w:val="en-AU"/>
        </w:rPr>
        <w:t>.</w:t>
      </w:r>
      <w:r w:rsidR="0063035F" w:rsidRPr="00A112F5">
        <w:rPr>
          <w:color w:val="409F68" w:themeColor="accent5"/>
          <w:sz w:val="26"/>
          <w:szCs w:val="26"/>
          <w:lang w:val="en-AU"/>
        </w:rPr>
        <w:t xml:space="preserve"> To achieve </w:t>
      </w:r>
      <w:r w:rsidR="001C3A31" w:rsidRPr="00A112F5">
        <w:rPr>
          <w:color w:val="409F68" w:themeColor="accent5"/>
          <w:sz w:val="26"/>
          <w:szCs w:val="26"/>
          <w:lang w:val="en-AU"/>
        </w:rPr>
        <w:t xml:space="preserve">effective development </w:t>
      </w:r>
      <w:r w:rsidR="0063035F" w:rsidRPr="00A112F5">
        <w:rPr>
          <w:color w:val="409F68" w:themeColor="accent5"/>
          <w:sz w:val="26"/>
          <w:szCs w:val="26"/>
          <w:lang w:val="en-AU"/>
        </w:rPr>
        <w:t>outcomes,</w:t>
      </w:r>
      <w:r w:rsidR="00DE4AFF" w:rsidRPr="00A112F5">
        <w:rPr>
          <w:color w:val="409F68" w:themeColor="accent5"/>
          <w:sz w:val="26"/>
          <w:szCs w:val="26"/>
          <w:lang w:val="en-AU"/>
        </w:rPr>
        <w:t xml:space="preserve"> </w:t>
      </w:r>
      <w:r w:rsidR="0063035F" w:rsidRPr="00A112F5">
        <w:rPr>
          <w:color w:val="409F68" w:themeColor="accent5"/>
          <w:sz w:val="26"/>
          <w:szCs w:val="26"/>
          <w:lang w:val="en-AU"/>
        </w:rPr>
        <w:t>development and humanitarian</w:t>
      </w:r>
      <w:r w:rsidR="00A20DE6" w:rsidRPr="00A112F5">
        <w:rPr>
          <w:color w:val="409F68" w:themeColor="accent5"/>
          <w:sz w:val="26"/>
          <w:szCs w:val="26"/>
          <w:lang w:val="en-AU"/>
        </w:rPr>
        <w:t xml:space="preserve"> investments should be informed by Gender Equality, Disability and Social Inclusion (GEDSI) analysis. GEDSI analysis </w:t>
      </w:r>
      <w:r w:rsidR="00BC435B" w:rsidRPr="00A112F5">
        <w:rPr>
          <w:color w:val="409F68" w:themeColor="accent5"/>
          <w:sz w:val="26"/>
          <w:szCs w:val="26"/>
          <w:lang w:val="en-AU"/>
        </w:rPr>
        <w:t>identifies</w:t>
      </w:r>
      <w:r w:rsidR="00A20DE6" w:rsidRPr="00A112F5">
        <w:rPr>
          <w:color w:val="409F68" w:themeColor="accent5"/>
          <w:sz w:val="26"/>
          <w:szCs w:val="26"/>
          <w:lang w:val="en-AU"/>
        </w:rPr>
        <w:t xml:space="preserve"> </w:t>
      </w:r>
      <w:r w:rsidR="00BC435B" w:rsidRPr="00A112F5">
        <w:rPr>
          <w:color w:val="409F68" w:themeColor="accent5"/>
          <w:sz w:val="26"/>
          <w:szCs w:val="26"/>
          <w:lang w:val="en-AU"/>
        </w:rPr>
        <w:t>how</w:t>
      </w:r>
      <w:r w:rsidR="00A20DE6" w:rsidRPr="00A112F5">
        <w:rPr>
          <w:color w:val="409F68" w:themeColor="accent5"/>
          <w:sz w:val="26"/>
          <w:szCs w:val="26"/>
          <w:lang w:val="en-AU"/>
        </w:rPr>
        <w:t xml:space="preserve"> social norms, relations and power dynamics </w:t>
      </w:r>
      <w:r w:rsidR="00BC435B" w:rsidRPr="00A112F5">
        <w:rPr>
          <w:color w:val="409F68" w:themeColor="accent5"/>
          <w:sz w:val="26"/>
          <w:szCs w:val="26"/>
          <w:lang w:val="en-AU"/>
        </w:rPr>
        <w:t xml:space="preserve">are </w:t>
      </w:r>
      <w:r w:rsidR="00A20DE6" w:rsidRPr="00A112F5">
        <w:rPr>
          <w:color w:val="409F68" w:themeColor="accent5"/>
          <w:sz w:val="26"/>
          <w:szCs w:val="26"/>
          <w:lang w:val="en-AU"/>
        </w:rPr>
        <w:t xml:space="preserve">experienced by </w:t>
      </w:r>
      <w:r w:rsidR="00BC435B" w:rsidRPr="00A112F5">
        <w:rPr>
          <w:color w:val="409F68" w:themeColor="accent5"/>
          <w:sz w:val="26"/>
          <w:szCs w:val="26"/>
          <w:lang w:val="en-AU"/>
        </w:rPr>
        <w:t xml:space="preserve">people </w:t>
      </w:r>
      <w:proofErr w:type="gramStart"/>
      <w:r w:rsidR="00A20DE6" w:rsidRPr="00A112F5">
        <w:rPr>
          <w:color w:val="409F68" w:themeColor="accent5"/>
          <w:sz w:val="26"/>
          <w:szCs w:val="26"/>
          <w:lang w:val="en-AU"/>
        </w:rPr>
        <w:t>as a result of</w:t>
      </w:r>
      <w:proofErr w:type="gramEnd"/>
      <w:r w:rsidR="00A20DE6" w:rsidRPr="00A112F5">
        <w:rPr>
          <w:color w:val="409F68" w:themeColor="accent5"/>
          <w:sz w:val="26"/>
          <w:szCs w:val="26"/>
          <w:lang w:val="en-AU"/>
        </w:rPr>
        <w:t xml:space="preserve"> their identities, including </w:t>
      </w:r>
      <w:bookmarkStart w:id="0" w:name="_Hlk129418984"/>
      <w:r w:rsidR="00A20DE6" w:rsidRPr="00A112F5">
        <w:rPr>
          <w:color w:val="409F68" w:themeColor="accent5"/>
          <w:sz w:val="26"/>
          <w:szCs w:val="26"/>
          <w:lang w:val="en-AU"/>
        </w:rPr>
        <w:t>gender, age, disability, income, education, faith, race, ethnicity, sexual</w:t>
      </w:r>
      <w:bookmarkEnd w:id="0"/>
      <w:r w:rsidR="00A20DE6" w:rsidRPr="00A112F5">
        <w:rPr>
          <w:color w:val="409F68" w:themeColor="accent5"/>
          <w:sz w:val="26"/>
          <w:szCs w:val="26"/>
          <w:lang w:val="en-AU"/>
        </w:rPr>
        <w:t xml:space="preserve"> orientation, and migration status</w:t>
      </w:r>
      <w:r w:rsidR="00BC435B" w:rsidRPr="00A112F5">
        <w:rPr>
          <w:color w:val="409F68" w:themeColor="accent5"/>
          <w:sz w:val="26"/>
          <w:szCs w:val="26"/>
          <w:lang w:val="en-AU"/>
        </w:rPr>
        <w:t xml:space="preserve">. </w:t>
      </w:r>
      <w:r w:rsidR="00CE272F" w:rsidRPr="00A112F5">
        <w:rPr>
          <w:color w:val="409F68" w:themeColor="accent5"/>
          <w:sz w:val="26"/>
          <w:szCs w:val="26"/>
          <w:lang w:val="en-AU"/>
        </w:rPr>
        <w:t>It recognises that the interaction of impairments (physical, sensory, psychosocial, cognitive) and barriers (physical, social, communication and institutional) has a wide range of effects</w:t>
      </w:r>
      <w:r w:rsidR="00D64A62" w:rsidRPr="00A112F5">
        <w:rPr>
          <w:color w:val="409F68" w:themeColor="accent5"/>
          <w:sz w:val="26"/>
          <w:szCs w:val="26"/>
          <w:lang w:val="en-AU"/>
        </w:rPr>
        <w:t xml:space="preserve"> and </w:t>
      </w:r>
      <w:r w:rsidR="00A20DE6" w:rsidRPr="00A112F5">
        <w:rPr>
          <w:color w:val="409F68" w:themeColor="accent5"/>
          <w:sz w:val="26"/>
          <w:szCs w:val="26"/>
          <w:lang w:val="en-AU"/>
        </w:rPr>
        <w:t xml:space="preserve">explores how these </w:t>
      </w:r>
      <w:r w:rsidR="00CE272F" w:rsidRPr="00A112F5">
        <w:rPr>
          <w:color w:val="409F68" w:themeColor="accent5"/>
          <w:sz w:val="26"/>
          <w:szCs w:val="26"/>
          <w:lang w:val="en-AU"/>
        </w:rPr>
        <w:t xml:space="preserve">elements </w:t>
      </w:r>
      <w:r w:rsidR="00A20DE6" w:rsidRPr="00A112F5">
        <w:rPr>
          <w:color w:val="409F68" w:themeColor="accent5"/>
          <w:sz w:val="26"/>
          <w:szCs w:val="26"/>
          <w:lang w:val="en-AU"/>
        </w:rPr>
        <w:t xml:space="preserve">intersect to create diverse experiences of exclusion and marginalisation. </w:t>
      </w:r>
    </w:p>
    <w:p w14:paraId="2EFF7698" w14:textId="6F1C78CE" w:rsidR="00D64A62" w:rsidRPr="008041F9" w:rsidRDefault="00CE272F" w:rsidP="00581FE4">
      <w:pPr>
        <w:spacing w:line="228" w:lineRule="auto"/>
        <w:jc w:val="both"/>
        <w:rPr>
          <w:lang w:val="en-AU"/>
        </w:rPr>
      </w:pPr>
      <w:r w:rsidRPr="008041F9">
        <w:rPr>
          <w:lang w:val="en-AU"/>
        </w:rPr>
        <w:t>DFAT’s International Development Policy</w:t>
      </w:r>
      <w:r w:rsidR="00D64A62" w:rsidRPr="008041F9">
        <w:rPr>
          <w:lang w:val="en-AU"/>
        </w:rPr>
        <w:t xml:space="preserve">’s commitment to gender equality and disability equity and rights are accompanied by a </w:t>
      </w:r>
      <w:r w:rsidRPr="008041F9">
        <w:rPr>
          <w:lang w:val="en-AU"/>
        </w:rPr>
        <w:t xml:space="preserve">Performance and Delivery Framework </w:t>
      </w:r>
      <w:r w:rsidR="00D64A62" w:rsidRPr="008041F9">
        <w:rPr>
          <w:lang w:val="en-AU"/>
        </w:rPr>
        <w:t xml:space="preserve">that </w:t>
      </w:r>
      <w:r w:rsidRPr="008041F9">
        <w:rPr>
          <w:lang w:val="en-AU"/>
        </w:rPr>
        <w:t>require</w:t>
      </w:r>
      <w:r w:rsidR="00D64A62" w:rsidRPr="008041F9">
        <w:rPr>
          <w:lang w:val="en-AU"/>
        </w:rPr>
        <w:t>s</w:t>
      </w:r>
      <w:r w:rsidRPr="008041F9">
        <w:rPr>
          <w:lang w:val="en-AU"/>
        </w:rPr>
        <w:t xml:space="preserve"> annual reporting on disability equity </w:t>
      </w:r>
      <w:r w:rsidR="00D64A62" w:rsidRPr="008041F9">
        <w:rPr>
          <w:lang w:val="en-AU"/>
        </w:rPr>
        <w:t xml:space="preserve">and rights </w:t>
      </w:r>
      <w:r w:rsidRPr="008041F9">
        <w:rPr>
          <w:lang w:val="en-AU"/>
        </w:rPr>
        <w:t xml:space="preserve">and gender equality. </w:t>
      </w:r>
      <w:r w:rsidR="00D64A62" w:rsidRPr="008041F9">
        <w:rPr>
          <w:lang w:val="en-AU"/>
        </w:rPr>
        <w:t xml:space="preserve">It is a </w:t>
      </w:r>
      <w:r w:rsidR="0063035F" w:rsidRPr="008041F9">
        <w:rPr>
          <w:lang w:val="en-AU"/>
        </w:rPr>
        <w:t>DFAT require</w:t>
      </w:r>
      <w:r w:rsidR="00D64A62" w:rsidRPr="008041F9">
        <w:rPr>
          <w:lang w:val="en-AU"/>
        </w:rPr>
        <w:t>ment that</w:t>
      </w:r>
      <w:r w:rsidR="0063035F" w:rsidRPr="008041F9">
        <w:rPr>
          <w:lang w:val="en-AU"/>
        </w:rPr>
        <w:t xml:space="preserve"> Official Development Assistance (ODA) investments valued at $3 million and over include a gender equality objective</w:t>
      </w:r>
      <w:r w:rsidR="00D64A62" w:rsidRPr="008041F9">
        <w:rPr>
          <w:lang w:val="en-AU"/>
        </w:rPr>
        <w:t xml:space="preserve">, aligned with the </w:t>
      </w:r>
      <w:hyperlink r:id="rId8" w:history="1">
        <w:r w:rsidR="0063035F" w:rsidRPr="008041F9">
          <w:rPr>
            <w:rStyle w:val="Hyperlink"/>
            <w:rFonts w:cstheme="minorBidi"/>
            <w:color w:val="495965" w:themeColor="text2"/>
            <w:lang w:val="en-AU"/>
          </w:rPr>
          <w:t>OECD DAC Gender Equality Policy Marker</w:t>
        </w:r>
      </w:hyperlink>
      <w:r w:rsidR="0063035F" w:rsidRPr="008041F9">
        <w:rPr>
          <w:lang w:val="en-AU"/>
        </w:rPr>
        <w:t>.</w:t>
      </w:r>
      <w:r w:rsidR="0063035F" w:rsidRPr="008041F9">
        <w:rPr>
          <w:rStyle w:val="FootnoteReference"/>
          <w:lang w:val="en-AU"/>
        </w:rPr>
        <w:footnoteReference w:id="1"/>
      </w:r>
      <w:r w:rsidR="0063035F" w:rsidRPr="008041F9">
        <w:rPr>
          <w:lang w:val="en-AU"/>
        </w:rPr>
        <w:t xml:space="preserve"> These investments must meet the OECD minimum criteria for gender equality, one of which is a requirement for designs to include gender analysis. </w:t>
      </w:r>
      <w:r w:rsidRPr="008041F9">
        <w:rPr>
          <w:lang w:val="en-AU"/>
        </w:rPr>
        <w:t xml:space="preserve"> DFAT also report</w:t>
      </w:r>
      <w:r w:rsidR="00D64A62" w:rsidRPr="008041F9">
        <w:rPr>
          <w:lang w:val="en-AU"/>
        </w:rPr>
        <w:t>s</w:t>
      </w:r>
      <w:r w:rsidRPr="008041F9">
        <w:rPr>
          <w:lang w:val="en-AU"/>
        </w:rPr>
        <w:t xml:space="preserve"> to the OECD with the </w:t>
      </w:r>
      <w:hyperlink r:id="rId9" w:history="1">
        <w:r w:rsidRPr="006B1122">
          <w:rPr>
            <w:rStyle w:val="Hyperlink"/>
            <w:rFonts w:cstheme="minorBidi"/>
            <w:color w:val="495965" w:themeColor="text2"/>
            <w:lang w:val="en-AU"/>
          </w:rPr>
          <w:t>OECD DAC policy marker on the inclusion and empowerment of persons with disabilities</w:t>
        </w:r>
      </w:hyperlink>
      <w:r w:rsidRPr="008041F9">
        <w:rPr>
          <w:lang w:val="en-AU"/>
        </w:rPr>
        <w:t>, on activities that contribute to disability equity and rights</w:t>
      </w:r>
      <w:r w:rsidR="00D64A62" w:rsidRPr="008041F9">
        <w:rPr>
          <w:lang w:val="en-AU"/>
        </w:rPr>
        <w:t xml:space="preserve">. </w:t>
      </w:r>
    </w:p>
    <w:p w14:paraId="7AD322C5" w14:textId="77777777" w:rsidR="00D64A62" w:rsidRPr="008041F9" w:rsidRDefault="00D64A62" w:rsidP="00581FE4">
      <w:pPr>
        <w:spacing w:line="228" w:lineRule="auto"/>
        <w:jc w:val="both"/>
        <w:rPr>
          <w:lang w:val="en-AU"/>
        </w:rPr>
      </w:pPr>
    </w:p>
    <w:p w14:paraId="3A23B703" w14:textId="32BDECCC" w:rsidR="00A20DE6" w:rsidRPr="008041F9" w:rsidRDefault="00D64A62" w:rsidP="00581FE4">
      <w:pPr>
        <w:spacing w:line="228" w:lineRule="auto"/>
        <w:jc w:val="both"/>
        <w:rPr>
          <w:lang w:val="en-AU"/>
        </w:rPr>
      </w:pPr>
      <w:r w:rsidRPr="008041F9">
        <w:rPr>
          <w:lang w:val="en-AU"/>
        </w:rPr>
        <w:t xml:space="preserve">A </w:t>
      </w:r>
      <w:r w:rsidR="00A20DE6" w:rsidRPr="008041F9">
        <w:rPr>
          <w:lang w:val="en-AU"/>
        </w:rPr>
        <w:t xml:space="preserve">GEDSI analysis is the foundation for ensuring DFAT investments are </w:t>
      </w:r>
      <w:r w:rsidRPr="008041F9">
        <w:rPr>
          <w:lang w:val="en-AU"/>
        </w:rPr>
        <w:t xml:space="preserve">more </w:t>
      </w:r>
      <w:r w:rsidR="00A20DE6" w:rsidRPr="008041F9">
        <w:rPr>
          <w:lang w:val="en-AU"/>
        </w:rPr>
        <w:t>effective in reaching socially disadvantaged groups –</w:t>
      </w:r>
      <w:r w:rsidR="00A20DE6" w:rsidRPr="008041F9">
        <w:rPr>
          <w:i/>
          <w:iCs/>
          <w:lang w:val="en-AU"/>
        </w:rPr>
        <w:t xml:space="preserve"> </w:t>
      </w:r>
      <w:r w:rsidR="00A20DE6" w:rsidRPr="008041F9">
        <w:rPr>
          <w:lang w:val="en-AU"/>
        </w:rPr>
        <w:t xml:space="preserve">by preventing unintended harm, exclusion, and further marginalisation, and by promoting their rights, equitable </w:t>
      </w:r>
      <w:proofErr w:type="gramStart"/>
      <w:r w:rsidR="00A20DE6" w:rsidRPr="008041F9">
        <w:rPr>
          <w:lang w:val="en-AU"/>
        </w:rPr>
        <w:t>opportunities</w:t>
      </w:r>
      <w:proofErr w:type="gramEnd"/>
      <w:r w:rsidR="00A20DE6" w:rsidRPr="008041F9">
        <w:rPr>
          <w:lang w:val="en-AU"/>
        </w:rPr>
        <w:t xml:space="preserve"> and benefits. </w:t>
      </w:r>
      <w:r w:rsidR="00B24E34" w:rsidRPr="008041F9">
        <w:rPr>
          <w:rFonts w:cstheme="minorHAnsi"/>
          <w:lang w:val="en-AU"/>
        </w:rPr>
        <w:t xml:space="preserve">DFAT </w:t>
      </w:r>
      <w:r w:rsidRPr="008041F9">
        <w:rPr>
          <w:rFonts w:cstheme="minorHAnsi"/>
          <w:lang w:val="en-AU"/>
        </w:rPr>
        <w:t xml:space="preserve">GEDSI analysis </w:t>
      </w:r>
      <w:r w:rsidR="00B24E34" w:rsidRPr="008041F9">
        <w:rPr>
          <w:rFonts w:cstheme="minorHAnsi"/>
          <w:lang w:val="en-AU"/>
        </w:rPr>
        <w:t xml:space="preserve">focuses on women, girls, LGBTQIA+ people, and people with disabilities because these groups experience systemic discrimination, resulting in the denial of their rights and lack of access to opportunities. </w:t>
      </w:r>
    </w:p>
    <w:p w14:paraId="7A60B8B2" w14:textId="77777777" w:rsidR="00A20DE6" w:rsidRPr="008041F9" w:rsidRDefault="00A20DE6" w:rsidP="00581FE4">
      <w:pPr>
        <w:spacing w:line="228" w:lineRule="auto"/>
        <w:jc w:val="both"/>
        <w:rPr>
          <w:lang w:val="en-AU"/>
        </w:rPr>
      </w:pPr>
    </w:p>
    <w:p w14:paraId="2ECD0526" w14:textId="74D8DD2A" w:rsidR="001C3A31" w:rsidRPr="008041F9" w:rsidRDefault="00A20DE6" w:rsidP="00581FE4">
      <w:pPr>
        <w:spacing w:line="228" w:lineRule="auto"/>
        <w:jc w:val="both"/>
        <w:rPr>
          <w:lang w:val="en-AU"/>
        </w:rPr>
      </w:pPr>
      <w:r w:rsidRPr="008041F9">
        <w:rPr>
          <w:lang w:val="en-AU"/>
        </w:rPr>
        <w:t xml:space="preserve">This Good Practice Note </w:t>
      </w:r>
      <w:r w:rsidR="00D64A62" w:rsidRPr="008041F9">
        <w:rPr>
          <w:lang w:val="en-AU"/>
        </w:rPr>
        <w:t xml:space="preserve">will </w:t>
      </w:r>
      <w:r w:rsidRPr="008041F9">
        <w:rPr>
          <w:lang w:val="en-AU"/>
        </w:rPr>
        <w:t xml:space="preserve">support DFAT investment managers and development partners to </w:t>
      </w:r>
      <w:r w:rsidR="00BC435B" w:rsidRPr="008041F9">
        <w:rPr>
          <w:lang w:val="en-AU"/>
        </w:rPr>
        <w:t xml:space="preserve">deliver </w:t>
      </w:r>
      <w:r w:rsidRPr="008041F9">
        <w:rPr>
          <w:lang w:val="en-AU"/>
        </w:rPr>
        <w:t xml:space="preserve">high quality, </w:t>
      </w:r>
      <w:r w:rsidR="00E01D19" w:rsidRPr="008041F9">
        <w:rPr>
          <w:lang w:val="en-AU"/>
        </w:rPr>
        <w:t>evidence based</w:t>
      </w:r>
      <w:r w:rsidRPr="008041F9">
        <w:rPr>
          <w:lang w:val="en-AU"/>
        </w:rPr>
        <w:t xml:space="preserve"> GEDSI analysis. It provides a basis for joint planning and decision-making by investment managers and design teams and applies equally to both DFAT-led and Partner-led design pathways. For DFAT-led design pathways, investment managers should share this Good Practice Note with design teams to inform their approach to GEDSI analysis. For Partner-led design pathways, investment managers should share this Good Practice Note with partners to guide their approach to GEDSI analysis, noting that they may have their own established GEDSI analysis methodologies. </w:t>
      </w:r>
      <w:r w:rsidR="00BC435B" w:rsidRPr="008041F9">
        <w:rPr>
          <w:lang w:val="en-AU"/>
        </w:rPr>
        <w:t xml:space="preserve">If using their own GEDSI analysis methodologies, </w:t>
      </w:r>
      <w:r w:rsidRPr="008041F9">
        <w:rPr>
          <w:lang w:val="en-AU"/>
        </w:rPr>
        <w:t>Partner-led analysis must meet the key features of good practice GEDSI analysis</w:t>
      </w:r>
      <w:r w:rsidR="00BC435B" w:rsidRPr="008041F9">
        <w:rPr>
          <w:lang w:val="en-AU"/>
        </w:rPr>
        <w:t xml:space="preserve">, outlined in </w:t>
      </w:r>
      <w:r w:rsidRPr="008041F9">
        <w:rPr>
          <w:lang w:val="en-AU"/>
        </w:rPr>
        <w:t xml:space="preserve">the checklist below. </w:t>
      </w:r>
    </w:p>
    <w:p w14:paraId="79BF3587" w14:textId="77777777" w:rsidR="001C3A31" w:rsidRPr="008041F9" w:rsidRDefault="001C3A31" w:rsidP="00581FE4">
      <w:pPr>
        <w:spacing w:line="228" w:lineRule="auto"/>
        <w:jc w:val="both"/>
        <w:rPr>
          <w:lang w:val="en-AU"/>
        </w:rPr>
      </w:pPr>
    </w:p>
    <w:p w14:paraId="4F2A5A6C" w14:textId="05608F63" w:rsidR="00A20DE6" w:rsidRDefault="00A20DE6" w:rsidP="00581FE4">
      <w:pPr>
        <w:spacing w:line="228" w:lineRule="auto"/>
        <w:jc w:val="both"/>
        <w:rPr>
          <w:lang w:val="en-AU"/>
        </w:rPr>
      </w:pPr>
      <w:r w:rsidRPr="008041F9">
        <w:rPr>
          <w:lang w:val="en-AU"/>
        </w:rPr>
        <w:t>Th</w:t>
      </w:r>
      <w:r w:rsidR="001C3A31" w:rsidRPr="008041F9">
        <w:rPr>
          <w:lang w:val="en-AU"/>
        </w:rPr>
        <w:t>is</w:t>
      </w:r>
      <w:r w:rsidRPr="008041F9">
        <w:rPr>
          <w:lang w:val="en-AU"/>
        </w:rPr>
        <w:t xml:space="preserve"> note is aligned with the </w:t>
      </w:r>
      <w:hyperlink r:id="rId10" w:history="1">
        <w:r w:rsidRPr="008041F9">
          <w:rPr>
            <w:rStyle w:val="Hyperlink"/>
            <w:rFonts w:cstheme="minorBidi"/>
            <w:color w:val="495965" w:themeColor="text2"/>
            <w:lang w:val="en-AU"/>
          </w:rPr>
          <w:t xml:space="preserve">Gender Equality in Investment Design </w:t>
        </w:r>
        <w:r w:rsidRPr="008041F9">
          <w:rPr>
            <w:rStyle w:val="Hyperlink"/>
            <w:rFonts w:cs="Times New Roman (Body CS)"/>
            <w:color w:val="495965" w:themeColor="text2"/>
            <w:lang w:val="en-AU"/>
          </w:rPr>
          <w:t>Good</w:t>
        </w:r>
        <w:r w:rsidRPr="008041F9">
          <w:rPr>
            <w:rStyle w:val="Hyperlink"/>
            <w:rFonts w:cstheme="minorBidi"/>
            <w:color w:val="495965" w:themeColor="text2"/>
            <w:lang w:val="en-AU"/>
          </w:rPr>
          <w:t xml:space="preserve"> Practice Note</w:t>
        </w:r>
      </w:hyperlink>
      <w:r w:rsidRPr="008041F9">
        <w:rPr>
          <w:lang w:val="en-AU"/>
        </w:rPr>
        <w:t xml:space="preserve">, the </w:t>
      </w:r>
      <w:hyperlink r:id="rId11" w:history="1">
        <w:r w:rsidRPr="008041F9">
          <w:rPr>
            <w:rStyle w:val="Hyperlink"/>
            <w:rFonts w:cstheme="minorBidi"/>
            <w:color w:val="495965" w:themeColor="text2"/>
            <w:lang w:val="en-AU"/>
          </w:rPr>
          <w:t>Gender Equality in Monitoring and Evaluation and Reporting Good Practice Note</w:t>
        </w:r>
      </w:hyperlink>
      <w:r w:rsidRPr="008041F9">
        <w:rPr>
          <w:lang w:val="en-AU"/>
        </w:rPr>
        <w:t xml:space="preserve">, the </w:t>
      </w:r>
      <w:hyperlink r:id="rId12" w:history="1">
        <w:r w:rsidRPr="008041F9">
          <w:rPr>
            <w:rStyle w:val="Hyperlink"/>
            <w:rFonts w:cstheme="minorBidi"/>
            <w:color w:val="495965" w:themeColor="text2"/>
            <w:lang w:val="en-AU"/>
          </w:rPr>
          <w:t>Disability Inclusion in the DFAT Development Program Good Practice Note</w:t>
        </w:r>
      </w:hyperlink>
      <w:r w:rsidRPr="008041F9">
        <w:rPr>
          <w:lang w:val="en-AU"/>
        </w:rPr>
        <w:t xml:space="preserve">, and relevant chapters of the </w:t>
      </w:r>
      <w:hyperlink r:id="rId13" w:history="1">
        <w:r w:rsidRPr="008041F9">
          <w:rPr>
            <w:rStyle w:val="Hyperlink"/>
            <w:rFonts w:cstheme="minorBidi"/>
            <w:color w:val="495965" w:themeColor="text2"/>
            <w:lang w:val="en-AU"/>
          </w:rPr>
          <w:t>Aid Programming Guide</w:t>
        </w:r>
      </w:hyperlink>
      <w:r w:rsidRPr="008041F9">
        <w:rPr>
          <w:lang w:val="en-AU"/>
        </w:rPr>
        <w:t xml:space="preserve">. </w:t>
      </w:r>
      <w:r w:rsidR="0089119C" w:rsidRPr="008041F9">
        <w:rPr>
          <w:lang w:val="en-AU"/>
        </w:rPr>
        <w:t xml:space="preserve">DFAT’s requirement for investment-level gender analysis is aligned with the Commonwealth Government’s </w:t>
      </w:r>
      <w:r w:rsidR="001C3A31" w:rsidRPr="008041F9">
        <w:rPr>
          <w:lang w:val="en-AU"/>
        </w:rPr>
        <w:t xml:space="preserve">introduction of gender responsive budgeting, and a </w:t>
      </w:r>
      <w:r w:rsidR="0089119C" w:rsidRPr="008041F9">
        <w:rPr>
          <w:lang w:val="en-AU"/>
        </w:rPr>
        <w:t xml:space="preserve">requirement that </w:t>
      </w:r>
      <w:r w:rsidR="001C3A31" w:rsidRPr="008041F9">
        <w:rPr>
          <w:lang w:val="en-AU"/>
        </w:rPr>
        <w:t xml:space="preserve">new </w:t>
      </w:r>
      <w:r w:rsidR="0089119C" w:rsidRPr="008041F9">
        <w:rPr>
          <w:lang w:val="en-AU"/>
        </w:rPr>
        <w:t>policy processes include gender impact assessment</w:t>
      </w:r>
      <w:r w:rsidR="001C3A31" w:rsidRPr="008041F9">
        <w:rPr>
          <w:lang w:val="en-AU"/>
        </w:rPr>
        <w:t>s</w:t>
      </w:r>
      <w:r w:rsidR="0089119C" w:rsidRPr="008041F9">
        <w:rPr>
          <w:lang w:val="en-AU"/>
        </w:rPr>
        <w:t>.</w:t>
      </w:r>
    </w:p>
    <w:p w14:paraId="5E389213" w14:textId="572D714E" w:rsidR="00A20DE6" w:rsidRDefault="00A20DE6" w:rsidP="0017148F">
      <w:pPr>
        <w:pStyle w:val="Heading2"/>
      </w:pPr>
      <w:r w:rsidRPr="007A2CE5">
        <w:lastRenderedPageBreak/>
        <w:t>CHECKLIST</w:t>
      </w:r>
      <w:r>
        <w:t xml:space="preserve"> – KEY FEATURES OF GOOD PRACTICE GEDSI ANALYSIS</w:t>
      </w:r>
      <w:r w:rsidR="00581FE4">
        <w:br/>
      </w:r>
    </w:p>
    <w:p w14:paraId="33CFC063" w14:textId="2B1DA268" w:rsidR="00A20DE6" w:rsidRPr="00B14F1D" w:rsidRDefault="00A20DE6" w:rsidP="005D6D50">
      <w:pPr>
        <w:shd w:val="clear" w:color="auto" w:fill="E0F3EF" w:themeFill="accent1" w:themeFillTint="33"/>
        <w:jc w:val="both"/>
        <w:rPr>
          <w:b/>
          <w:bCs/>
          <w:sz w:val="24"/>
          <w:szCs w:val="24"/>
          <w:lang w:val="en-AU"/>
        </w:rPr>
      </w:pPr>
      <w:r w:rsidRPr="00B14F1D">
        <w:rPr>
          <w:b/>
          <w:bCs/>
          <w:sz w:val="24"/>
          <w:szCs w:val="24"/>
          <w:lang w:val="en-AU"/>
        </w:rPr>
        <w:t>Approach and analytical framework</w:t>
      </w:r>
    </w:p>
    <w:p w14:paraId="11EC7A1C" w14:textId="65919FB9"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Analysis clearly linked to an analytical framework which unpacks gender and social norms, relations</w:t>
      </w:r>
      <w:r>
        <w:rPr>
          <w:lang w:val="en-AU"/>
        </w:rPr>
        <w:t>, and</w:t>
      </w:r>
      <w:r w:rsidRPr="00B14F1D">
        <w:rPr>
          <w:lang w:val="en-AU"/>
        </w:rPr>
        <w:t xml:space="preserve"> power dynamics into key dimensions where inequities and discrimination are most prevalent and pervasive.</w:t>
      </w:r>
    </w:p>
    <w:p w14:paraId="61779E44" w14:textId="77777777" w:rsidR="00D64A62" w:rsidRPr="00B14F1D" w:rsidRDefault="00D64A62" w:rsidP="00D64A62">
      <w:pPr>
        <w:pStyle w:val="ListParagraph"/>
        <w:numPr>
          <w:ilvl w:val="0"/>
          <w:numId w:val="39"/>
        </w:numPr>
        <w:shd w:val="clear" w:color="auto" w:fill="E0F3EF" w:themeFill="accent1" w:themeFillTint="33"/>
        <w:spacing w:after="120"/>
        <w:ind w:left="357" w:hanging="357"/>
        <w:contextualSpacing w:val="0"/>
        <w:jc w:val="both"/>
        <w:rPr>
          <w:lang w:val="en-AU"/>
        </w:rPr>
      </w:pPr>
      <w:r>
        <w:rPr>
          <w:lang w:val="en-AU"/>
        </w:rPr>
        <w:t xml:space="preserve">Analysis identifies barriers to disability equity with Organisations of People with Disabilities (OPDs), and opportunities to address these through targeted and mainstreamed measures. </w:t>
      </w:r>
    </w:p>
    <w:p w14:paraId="4B454EA1" w14:textId="3501B6CD" w:rsidR="00A20DE6"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 xml:space="preserve">Analysis takes account of intersectionality and considers people’s multiple identities </w:t>
      </w:r>
      <w:r>
        <w:rPr>
          <w:lang w:val="en-AU"/>
        </w:rPr>
        <w:t>and how these</w:t>
      </w:r>
      <w:r w:rsidRPr="00B14F1D">
        <w:rPr>
          <w:lang w:val="en-AU"/>
        </w:rPr>
        <w:t xml:space="preserve"> </w:t>
      </w:r>
      <w:r>
        <w:rPr>
          <w:lang w:val="en-AU"/>
        </w:rPr>
        <w:t>shape</w:t>
      </w:r>
      <w:r w:rsidRPr="00B14F1D">
        <w:rPr>
          <w:lang w:val="en-AU"/>
        </w:rPr>
        <w:t xml:space="preserve"> their differing experiences</w:t>
      </w:r>
      <w:r>
        <w:rPr>
          <w:lang w:val="en-AU"/>
        </w:rPr>
        <w:t xml:space="preserve">, concerns, needs, and capabilities. </w:t>
      </w:r>
    </w:p>
    <w:p w14:paraId="04ED96B0" w14:textId="7858B736" w:rsidR="00A20DE6" w:rsidRPr="00B14F1D" w:rsidRDefault="00A20DE6" w:rsidP="005D6D50">
      <w:pPr>
        <w:shd w:val="clear" w:color="auto" w:fill="E0F3EF" w:themeFill="accent1" w:themeFillTint="33"/>
        <w:jc w:val="both"/>
        <w:rPr>
          <w:b/>
          <w:bCs/>
          <w:sz w:val="24"/>
          <w:szCs w:val="24"/>
          <w:lang w:val="en-AU"/>
        </w:rPr>
      </w:pPr>
      <w:r w:rsidRPr="00B14F1D">
        <w:rPr>
          <w:b/>
          <w:bCs/>
          <w:sz w:val="24"/>
          <w:szCs w:val="24"/>
          <w:lang w:val="en-AU"/>
        </w:rPr>
        <w:t>Scope</w:t>
      </w:r>
    </w:p>
    <w:p w14:paraId="45B409FE" w14:textId="77777777"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Analysis draws on both primary and secondary data that is specific to the country, target location, sector, and investment.</w:t>
      </w:r>
    </w:p>
    <w:p w14:paraId="5552F7E9" w14:textId="272D3B05"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Where analysis relies on secondary data, that data is less than three-years-old, and is specific to the country, target location, sector, and investment.</w:t>
      </w:r>
    </w:p>
    <w:p w14:paraId="745169BA" w14:textId="3DCBF45B" w:rsidR="00A20DE6" w:rsidRPr="00B14F1D" w:rsidRDefault="00A20DE6" w:rsidP="005D6D50">
      <w:pPr>
        <w:shd w:val="clear" w:color="auto" w:fill="E0F3EF" w:themeFill="accent1" w:themeFillTint="33"/>
        <w:jc w:val="both"/>
        <w:rPr>
          <w:b/>
          <w:bCs/>
          <w:sz w:val="24"/>
          <w:szCs w:val="24"/>
          <w:lang w:val="en-AU"/>
        </w:rPr>
      </w:pPr>
      <w:r w:rsidRPr="00B14F1D">
        <w:rPr>
          <w:b/>
          <w:bCs/>
          <w:sz w:val="24"/>
          <w:szCs w:val="24"/>
          <w:lang w:val="en-AU"/>
        </w:rPr>
        <w:t>Methodology</w:t>
      </w:r>
    </w:p>
    <w:p w14:paraId="73CA91B2" w14:textId="43E67C7F" w:rsidR="00A20DE6" w:rsidRPr="005F4ECD" w:rsidRDefault="00A20DE6" w:rsidP="00A80376">
      <w:pPr>
        <w:pStyle w:val="ListParagraph"/>
        <w:numPr>
          <w:ilvl w:val="0"/>
          <w:numId w:val="39"/>
        </w:numPr>
        <w:shd w:val="clear" w:color="auto" w:fill="E0F3EF" w:themeFill="accent1" w:themeFillTint="33"/>
        <w:spacing w:after="120"/>
        <w:ind w:left="357" w:hanging="357"/>
        <w:contextualSpacing w:val="0"/>
        <w:jc w:val="both"/>
        <w:rPr>
          <w:lang w:val="en-AU"/>
        </w:rPr>
      </w:pPr>
      <w:r w:rsidRPr="0046477C">
        <w:rPr>
          <w:lang w:val="en-AU"/>
        </w:rPr>
        <w:t xml:space="preserve">Analysis </w:t>
      </w:r>
      <w:r w:rsidR="00B81E4D">
        <w:rPr>
          <w:lang w:val="en-AU"/>
        </w:rPr>
        <w:t>involves</w:t>
      </w:r>
      <w:r w:rsidRPr="005F4ECD">
        <w:rPr>
          <w:lang w:val="en-AU"/>
        </w:rPr>
        <w:t xml:space="preserve"> partners and local organisations</w:t>
      </w:r>
      <w:r w:rsidR="00A003A1" w:rsidRPr="005F4ECD">
        <w:rPr>
          <w:lang w:val="en-AU"/>
        </w:rPr>
        <w:t>,</w:t>
      </w:r>
      <w:r w:rsidRPr="005F4ECD">
        <w:rPr>
          <w:lang w:val="en-AU"/>
        </w:rPr>
        <w:t xml:space="preserve"> including OPDs and women’s rights organisations (WROs) to better understand specific gender equality, disability, and social inclusion issues</w:t>
      </w:r>
      <w:r w:rsidR="001C5ACA">
        <w:rPr>
          <w:lang w:val="en-AU"/>
        </w:rPr>
        <w:t>, elicit their priorities and suggestions</w:t>
      </w:r>
      <w:r w:rsidRPr="005F4ECD">
        <w:rPr>
          <w:lang w:val="en-AU"/>
        </w:rPr>
        <w:t xml:space="preserve">, and ensure they have voice and agency </w:t>
      </w:r>
      <w:r w:rsidR="001C5ACA">
        <w:rPr>
          <w:lang w:val="en-AU"/>
        </w:rPr>
        <w:t>within</w:t>
      </w:r>
      <w:r w:rsidR="001C5ACA" w:rsidRPr="005F4ECD">
        <w:rPr>
          <w:lang w:val="en-AU"/>
        </w:rPr>
        <w:t xml:space="preserve"> </w:t>
      </w:r>
      <w:r w:rsidRPr="005F4ECD">
        <w:rPr>
          <w:lang w:val="en-AU"/>
        </w:rPr>
        <w:t xml:space="preserve">the </w:t>
      </w:r>
      <w:r w:rsidR="001C5ACA">
        <w:rPr>
          <w:lang w:val="en-AU"/>
        </w:rPr>
        <w:t>analysis</w:t>
      </w:r>
      <w:r w:rsidR="001C5ACA" w:rsidRPr="005F4ECD">
        <w:rPr>
          <w:lang w:val="en-AU"/>
        </w:rPr>
        <w:t xml:space="preserve"> </w:t>
      </w:r>
      <w:r w:rsidRPr="005F4ECD">
        <w:rPr>
          <w:lang w:val="en-AU"/>
        </w:rPr>
        <w:t>process.</w:t>
      </w:r>
    </w:p>
    <w:p w14:paraId="080AC512" w14:textId="6FA1B478"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5F4ECD">
        <w:rPr>
          <w:lang w:val="en-AU"/>
        </w:rPr>
        <w:t>Analysis takes a ‘do no harm’ approach to data collection, storage and usage, considering and minimising potential risks and harm to both participants</w:t>
      </w:r>
      <w:r w:rsidRPr="00B14F1D">
        <w:rPr>
          <w:lang w:val="en-AU"/>
        </w:rPr>
        <w:t>/ respondents and enumerator</w:t>
      </w:r>
      <w:r>
        <w:rPr>
          <w:lang w:val="en-AU"/>
        </w:rPr>
        <w:t>s/</w:t>
      </w:r>
      <w:r w:rsidRPr="00B14F1D">
        <w:rPr>
          <w:lang w:val="en-AU"/>
        </w:rPr>
        <w:t xml:space="preserve"> researchers.</w:t>
      </w:r>
    </w:p>
    <w:p w14:paraId="22A5EFF6" w14:textId="555704BE"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Analysis combines quantitative and qualitative data collection methods to generate measurable gaps and disparities between diverse groups of people and identify patterns of inequality.</w:t>
      </w:r>
    </w:p>
    <w:p w14:paraId="11E9B3D6" w14:textId="17FD3907"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Analysis uses participatory methods to ensures diverse groups of people participate equally in the research and makes specific effort to engage ‘hard-to-reach’ groups i.e., those who are less visible within their households and communities</w:t>
      </w:r>
      <w:r>
        <w:rPr>
          <w:lang w:val="en-AU"/>
        </w:rPr>
        <w:t>.</w:t>
      </w:r>
    </w:p>
    <w:p w14:paraId="03386EDD" w14:textId="3416B130" w:rsidR="00A20DE6" w:rsidRPr="005F4EC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Analysis has been conducted by</w:t>
      </w:r>
      <w:r w:rsidR="00877CBF">
        <w:rPr>
          <w:lang w:val="en-AU"/>
        </w:rPr>
        <w:t xml:space="preserve"> specialists</w:t>
      </w:r>
      <w:r w:rsidRPr="005F4ECD">
        <w:rPr>
          <w:lang w:val="en-AU"/>
        </w:rPr>
        <w:t xml:space="preserve"> in gender equality, disability, and social inclusion. </w:t>
      </w:r>
      <w:r w:rsidR="00F64FEA">
        <w:rPr>
          <w:lang w:val="en-AU"/>
        </w:rPr>
        <w:t xml:space="preserve">This </w:t>
      </w:r>
      <w:r w:rsidR="00877CBF">
        <w:rPr>
          <w:lang w:val="en-AU"/>
        </w:rPr>
        <w:t xml:space="preserve">often requires </w:t>
      </w:r>
      <w:r w:rsidR="00F64FEA">
        <w:rPr>
          <w:lang w:val="en-AU"/>
        </w:rPr>
        <w:t xml:space="preserve">more than one individual to </w:t>
      </w:r>
      <w:r w:rsidR="00877CBF">
        <w:rPr>
          <w:lang w:val="en-AU"/>
        </w:rPr>
        <w:t xml:space="preserve">provide the required </w:t>
      </w:r>
      <w:r w:rsidR="00F64FEA">
        <w:rPr>
          <w:lang w:val="en-AU"/>
        </w:rPr>
        <w:t xml:space="preserve">knowledge, </w:t>
      </w:r>
      <w:proofErr w:type="gramStart"/>
      <w:r w:rsidR="00F64FEA">
        <w:rPr>
          <w:lang w:val="en-AU"/>
        </w:rPr>
        <w:t>experience</w:t>
      </w:r>
      <w:proofErr w:type="gramEnd"/>
      <w:r w:rsidR="00F64FEA">
        <w:rPr>
          <w:lang w:val="en-AU"/>
        </w:rPr>
        <w:t xml:space="preserve"> and expertise. </w:t>
      </w:r>
    </w:p>
    <w:p w14:paraId="0BC66518" w14:textId="6FB14E07" w:rsidR="00A20DE6" w:rsidRPr="005F4ECD" w:rsidRDefault="00A20DE6" w:rsidP="005D6D50">
      <w:pPr>
        <w:shd w:val="clear" w:color="auto" w:fill="E0F3EF" w:themeFill="accent1" w:themeFillTint="33"/>
        <w:jc w:val="both"/>
        <w:rPr>
          <w:b/>
          <w:bCs/>
          <w:sz w:val="24"/>
          <w:szCs w:val="24"/>
          <w:lang w:val="en-AU"/>
        </w:rPr>
      </w:pPr>
      <w:r w:rsidRPr="005F4ECD">
        <w:rPr>
          <w:b/>
          <w:bCs/>
          <w:sz w:val="24"/>
          <w:szCs w:val="24"/>
          <w:lang w:val="en-AU"/>
        </w:rPr>
        <w:t>Analysis</w:t>
      </w:r>
    </w:p>
    <w:p w14:paraId="431F3FB2" w14:textId="123E5D1C" w:rsidR="00A20DE6" w:rsidRPr="005F4EC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5F4ECD">
        <w:rPr>
          <w:lang w:val="en-AU"/>
        </w:rPr>
        <w:t xml:space="preserve">Analysis is disaggregated by sex, age, and disability as a minimum and, where appropriate, gender identity. </w:t>
      </w:r>
    </w:p>
    <w:p w14:paraId="64FB0A6F" w14:textId="528EC77B" w:rsidR="00A20DE6" w:rsidRPr="005F4EC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5F4ECD">
        <w:rPr>
          <w:lang w:val="en-AU"/>
        </w:rPr>
        <w:t>Analysis provides a sufficient level of detail to inform the investment design and identifies: a) where inequalities exist between women, men, girls, boys, gender diverse people and people with disabilities; b) why these disparities exist; c) potential constraints and barriers for women, men, girls, boys, gender diverse people and people with disabilities in accessing and benefitting from the investment; and d) potential solutions to these issues.</w:t>
      </w:r>
    </w:p>
    <w:p w14:paraId="6B8CDADC" w14:textId="1B3A27C8" w:rsidR="00A20DE6" w:rsidRPr="00B14F1D" w:rsidRDefault="00A20DE6" w:rsidP="00B14F1D">
      <w:pPr>
        <w:pStyle w:val="ListParagraph"/>
        <w:numPr>
          <w:ilvl w:val="0"/>
          <w:numId w:val="39"/>
        </w:numPr>
        <w:shd w:val="clear" w:color="auto" w:fill="E0F3EF" w:themeFill="accent1" w:themeFillTint="33"/>
        <w:spacing w:after="120"/>
        <w:ind w:left="357" w:hanging="357"/>
        <w:contextualSpacing w:val="0"/>
        <w:jc w:val="both"/>
        <w:rPr>
          <w:lang w:val="en-AU"/>
        </w:rPr>
      </w:pPr>
      <w:r w:rsidRPr="005F4ECD">
        <w:rPr>
          <w:lang w:val="en-AU"/>
        </w:rPr>
        <w:t>Analysis takes a ‘do no harm’ approach and considers the impact (intended and unintended) that the investment could have on women, men, girls, boys, people of diverse sexual orientation, gender identity, and sex characteristics, and people with disabilities and provides</w:t>
      </w:r>
      <w:r w:rsidRPr="00B14F1D">
        <w:rPr>
          <w:lang w:val="en-AU"/>
        </w:rPr>
        <w:t xml:space="preserve"> strategies for avoiding or minimising negative impacts on these groups. </w:t>
      </w:r>
    </w:p>
    <w:p w14:paraId="5793A131" w14:textId="559BC09F" w:rsidR="008251DD" w:rsidRPr="00B14F1D" w:rsidRDefault="00A20DE6" w:rsidP="005D6D50">
      <w:pPr>
        <w:shd w:val="clear" w:color="auto" w:fill="E0F3EF" w:themeFill="accent1" w:themeFillTint="33"/>
        <w:jc w:val="both"/>
        <w:rPr>
          <w:b/>
          <w:bCs/>
          <w:sz w:val="24"/>
          <w:szCs w:val="24"/>
          <w:lang w:val="en-AU"/>
        </w:rPr>
      </w:pPr>
      <w:r w:rsidRPr="00B14F1D">
        <w:rPr>
          <w:b/>
          <w:bCs/>
          <w:sz w:val="24"/>
          <w:szCs w:val="24"/>
          <w:lang w:val="en-AU"/>
        </w:rPr>
        <w:t>Action</w:t>
      </w:r>
    </w:p>
    <w:p w14:paraId="36886047" w14:textId="6BB27328" w:rsidR="00A20DE6" w:rsidRPr="001E15C0" w:rsidRDefault="00A20DE6" w:rsidP="00B47905">
      <w:pPr>
        <w:pStyle w:val="ListParagraph"/>
        <w:numPr>
          <w:ilvl w:val="0"/>
          <w:numId w:val="39"/>
        </w:numPr>
        <w:shd w:val="clear" w:color="auto" w:fill="E0F3EF" w:themeFill="accent1" w:themeFillTint="33"/>
        <w:spacing w:after="120"/>
        <w:ind w:left="357" w:hanging="357"/>
        <w:contextualSpacing w:val="0"/>
        <w:jc w:val="both"/>
        <w:rPr>
          <w:lang w:val="en-AU"/>
        </w:rPr>
      </w:pPr>
      <w:r w:rsidRPr="00B14F1D">
        <w:rPr>
          <w:lang w:val="en-AU"/>
        </w:rPr>
        <w:t xml:space="preserve">Analysis provides recommendations on where </w:t>
      </w:r>
      <w:r w:rsidR="00D64A62">
        <w:rPr>
          <w:lang w:val="en-AU"/>
        </w:rPr>
        <w:t xml:space="preserve">development </w:t>
      </w:r>
      <w:r w:rsidRPr="00B14F1D">
        <w:rPr>
          <w:lang w:val="en-AU"/>
        </w:rPr>
        <w:t xml:space="preserve">assistance </w:t>
      </w:r>
      <w:r w:rsidR="00D64A62">
        <w:rPr>
          <w:lang w:val="en-AU"/>
        </w:rPr>
        <w:t xml:space="preserve">can </w:t>
      </w:r>
      <w:r w:rsidRPr="00B14F1D">
        <w:rPr>
          <w:lang w:val="en-AU"/>
        </w:rPr>
        <w:t>be targeted and which gender equality, disability, and social inclusion activities should be included and/or adapted as part the design.</w:t>
      </w:r>
    </w:p>
    <w:p w14:paraId="22FCE535" w14:textId="71FEE123" w:rsidR="00A20DE6" w:rsidRPr="005D3D12" w:rsidRDefault="00A20DE6" w:rsidP="0017148F">
      <w:pPr>
        <w:pStyle w:val="Heading2"/>
      </w:pPr>
      <w:r w:rsidRPr="005D3D12">
        <w:lastRenderedPageBreak/>
        <w:t xml:space="preserve">WHY GENDER EQUALITY, DISABILITY </w:t>
      </w:r>
      <w:r w:rsidRPr="005D3D12">
        <w:rPr>
          <w:i/>
          <w:iCs/>
        </w:rPr>
        <w:t>AND</w:t>
      </w:r>
      <w:r w:rsidRPr="005D3D12">
        <w:t xml:space="preserve"> SOCIAL INCLUSION? </w:t>
      </w:r>
    </w:p>
    <w:p w14:paraId="2212CB56" w14:textId="77777777" w:rsidR="00B55FA5" w:rsidRDefault="00B55FA5" w:rsidP="00D24849">
      <w:pPr>
        <w:jc w:val="both"/>
        <w:rPr>
          <w:lang w:val="en-AU"/>
        </w:rPr>
      </w:pPr>
      <w:bookmarkStart w:id="1" w:name="_Hlk128471134"/>
    </w:p>
    <w:p w14:paraId="3F8842A6" w14:textId="34607738" w:rsidR="00A20DE6" w:rsidRPr="005F4ECD" w:rsidRDefault="00A20DE6" w:rsidP="00D24849">
      <w:pPr>
        <w:jc w:val="both"/>
        <w:rPr>
          <w:rFonts w:cstheme="minorHAnsi"/>
        </w:rPr>
      </w:pPr>
      <w:r w:rsidRPr="004C0591">
        <w:rPr>
          <w:lang w:val="en-AU"/>
        </w:rPr>
        <w:t xml:space="preserve">Gender is one way to structure power, </w:t>
      </w:r>
      <w:r w:rsidRPr="005F4ECD">
        <w:rPr>
          <w:lang w:val="en-AU"/>
        </w:rPr>
        <w:t>but access to power differs depending on a</w:t>
      </w:r>
      <w:r w:rsidR="00D64A62">
        <w:rPr>
          <w:lang w:val="en-AU"/>
        </w:rPr>
        <w:t xml:space="preserve"> person’s</w:t>
      </w:r>
      <w:r w:rsidRPr="005F4ECD">
        <w:rPr>
          <w:lang w:val="en-AU"/>
        </w:rPr>
        <w:t xml:space="preserve"> disability status, income, education, faith, race, ethnicity, sexuality, </w:t>
      </w:r>
      <w:r w:rsidR="00D64A62" w:rsidRPr="005F4ECD">
        <w:rPr>
          <w:lang w:val="en-AU"/>
        </w:rPr>
        <w:t xml:space="preserve">age, </w:t>
      </w:r>
      <w:r w:rsidRPr="005F4ECD">
        <w:rPr>
          <w:lang w:val="en-AU"/>
        </w:rPr>
        <w:t xml:space="preserve">migration status, and other social markers. GEDSI analysis recognises that there are particular groups of people (regardless of gender) who experience marginalisation and exclusion. </w:t>
      </w:r>
      <w:r w:rsidR="00D64A62">
        <w:rPr>
          <w:lang w:val="en-AU"/>
        </w:rPr>
        <w:t xml:space="preserve">DFAT’s approach to GEDSI analysis specifically </w:t>
      </w:r>
      <w:r w:rsidRPr="005F4ECD">
        <w:rPr>
          <w:lang w:val="en-AU"/>
        </w:rPr>
        <w:t xml:space="preserve">includes </w:t>
      </w:r>
      <w:r w:rsidR="00D64A62">
        <w:rPr>
          <w:lang w:val="en-AU"/>
        </w:rPr>
        <w:t xml:space="preserve">a focus on </w:t>
      </w:r>
      <w:r w:rsidRPr="005F4ECD">
        <w:rPr>
          <w:lang w:val="en-AU"/>
        </w:rPr>
        <w:t xml:space="preserve">people with disabilities, who experience </w:t>
      </w:r>
      <w:r w:rsidRPr="005F4ECD">
        <w:rPr>
          <w:rFonts w:cstheme="minorHAnsi"/>
        </w:rPr>
        <w:t xml:space="preserve">the </w:t>
      </w:r>
      <w:r w:rsidRPr="005F4ECD">
        <w:rPr>
          <w:rStyle w:val="cf11"/>
          <w:rFonts w:asciiTheme="minorHAnsi" w:eastAsiaTheme="majorEastAsia" w:hAnsiTheme="minorHAnsi" w:cstheme="minorHAnsi"/>
          <w:b w:val="0"/>
          <w:bCs w:val="0"/>
          <w:sz w:val="22"/>
          <w:szCs w:val="22"/>
        </w:rPr>
        <w:t>interaction of disability (physical, sensory, psychosocial, cognitive) and barriers (physical, social, communication, institutional)</w:t>
      </w:r>
      <w:r w:rsidR="00D64A62">
        <w:rPr>
          <w:rStyle w:val="cf11"/>
          <w:rFonts w:asciiTheme="minorHAnsi" w:eastAsiaTheme="majorEastAsia" w:hAnsiTheme="minorHAnsi" w:cstheme="minorHAnsi"/>
          <w:b w:val="0"/>
          <w:bCs w:val="0"/>
          <w:sz w:val="22"/>
          <w:szCs w:val="22"/>
        </w:rPr>
        <w:t>,</w:t>
      </w:r>
      <w:r w:rsidRPr="005F4ECD">
        <w:rPr>
          <w:rStyle w:val="cf11"/>
          <w:rFonts w:asciiTheme="minorHAnsi" w:eastAsiaTheme="majorEastAsia" w:hAnsiTheme="minorHAnsi" w:cstheme="minorHAnsi"/>
          <w:b w:val="0"/>
          <w:bCs w:val="0"/>
          <w:sz w:val="22"/>
          <w:szCs w:val="22"/>
        </w:rPr>
        <w:t xml:space="preserve"> which impact on their ability to fully and effectively access and participate in society on an equal basis with others</w:t>
      </w:r>
      <w:r w:rsidR="00724F09">
        <w:rPr>
          <w:rStyle w:val="cf11"/>
          <w:rFonts w:asciiTheme="minorHAnsi" w:eastAsiaTheme="majorEastAsia" w:hAnsiTheme="minorHAnsi" w:cstheme="minorHAnsi"/>
          <w:b w:val="0"/>
          <w:bCs w:val="0"/>
          <w:sz w:val="22"/>
          <w:szCs w:val="22"/>
        </w:rPr>
        <w:t>.</w:t>
      </w:r>
      <w:r w:rsidRPr="005F4ECD">
        <w:rPr>
          <w:rStyle w:val="FootnoteReference"/>
          <w:rFonts w:cstheme="minorHAnsi"/>
          <w:color w:val="495965"/>
        </w:rPr>
        <w:footnoteReference w:id="2"/>
      </w:r>
      <w:r w:rsidR="00090316" w:rsidRPr="005F4ECD">
        <w:rPr>
          <w:rStyle w:val="cf11"/>
          <w:rFonts w:asciiTheme="minorHAnsi" w:hAnsiTheme="minorHAnsi" w:cstheme="minorHAnsi"/>
          <w:b w:val="0"/>
          <w:bCs w:val="0"/>
          <w:sz w:val="22"/>
          <w:szCs w:val="22"/>
        </w:rPr>
        <w:t xml:space="preserve"> Good GEDSI analysis helps us understand experiences and barriers specific to people with </w:t>
      </w:r>
      <w:r w:rsidR="00470FAF" w:rsidRPr="005F4ECD">
        <w:rPr>
          <w:rStyle w:val="cf11"/>
          <w:rFonts w:asciiTheme="minorHAnsi" w:hAnsiTheme="minorHAnsi" w:cstheme="minorHAnsi"/>
          <w:b w:val="0"/>
          <w:bCs w:val="0"/>
          <w:sz w:val="22"/>
          <w:szCs w:val="22"/>
        </w:rPr>
        <w:t xml:space="preserve">disabilities, ensuring at a minimum the investment </w:t>
      </w:r>
      <w:r w:rsidR="00E01D19" w:rsidRPr="005F4ECD">
        <w:rPr>
          <w:rStyle w:val="cf11"/>
          <w:rFonts w:asciiTheme="minorHAnsi" w:hAnsiTheme="minorHAnsi" w:cstheme="minorHAnsi"/>
          <w:b w:val="0"/>
          <w:bCs w:val="0"/>
          <w:sz w:val="22"/>
          <w:szCs w:val="22"/>
        </w:rPr>
        <w:t>does not</w:t>
      </w:r>
      <w:r w:rsidR="00470FAF" w:rsidRPr="005F4ECD">
        <w:rPr>
          <w:rStyle w:val="cf11"/>
          <w:rFonts w:asciiTheme="minorHAnsi" w:hAnsiTheme="minorHAnsi" w:cstheme="minorHAnsi"/>
          <w:b w:val="0"/>
          <w:bCs w:val="0"/>
          <w:sz w:val="22"/>
          <w:szCs w:val="22"/>
        </w:rPr>
        <w:t xml:space="preserve"> further entrench exclusion, while driving better outcomes for people with </w:t>
      </w:r>
      <w:r w:rsidR="00073112" w:rsidRPr="005F4ECD">
        <w:rPr>
          <w:rStyle w:val="cf11"/>
          <w:rFonts w:asciiTheme="minorHAnsi" w:hAnsiTheme="minorHAnsi" w:cstheme="minorHAnsi"/>
          <w:b w:val="0"/>
          <w:bCs w:val="0"/>
          <w:sz w:val="22"/>
          <w:szCs w:val="22"/>
        </w:rPr>
        <w:t>disabilities</w:t>
      </w:r>
      <w:r w:rsidR="00E01D19" w:rsidRPr="005F4ECD">
        <w:rPr>
          <w:rStyle w:val="cf11"/>
          <w:rFonts w:asciiTheme="minorHAnsi" w:hAnsiTheme="minorHAnsi" w:cstheme="minorHAnsi"/>
          <w:b w:val="0"/>
          <w:bCs w:val="0"/>
          <w:sz w:val="22"/>
          <w:szCs w:val="22"/>
        </w:rPr>
        <w:t xml:space="preserve">. </w:t>
      </w:r>
    </w:p>
    <w:p w14:paraId="384BF117" w14:textId="188AECE7" w:rsidR="00A20DE6" w:rsidRPr="005F4ECD" w:rsidRDefault="00A20DE6" w:rsidP="00F573C5">
      <w:pPr>
        <w:jc w:val="both"/>
        <w:rPr>
          <w:lang w:val="en-AU"/>
        </w:rPr>
      </w:pPr>
    </w:p>
    <w:p w14:paraId="4659B96F" w14:textId="30978EFB" w:rsidR="00A20DE6" w:rsidRPr="005F4ECD" w:rsidRDefault="00A20DE6" w:rsidP="00706B09">
      <w:pPr>
        <w:jc w:val="both"/>
        <w:rPr>
          <w:lang w:val="en-AU"/>
        </w:rPr>
      </w:pPr>
      <w:r w:rsidRPr="005F4ECD">
        <w:rPr>
          <w:lang w:val="en-AU"/>
        </w:rPr>
        <w:t xml:space="preserve">Where possible and appropriate, GEDSI analysis should </w:t>
      </w:r>
      <w:r w:rsidR="00470FAF" w:rsidRPr="005F4ECD">
        <w:rPr>
          <w:lang w:val="en-AU"/>
        </w:rPr>
        <w:t xml:space="preserve">also </w:t>
      </w:r>
      <w:r w:rsidRPr="005F4ECD">
        <w:rPr>
          <w:lang w:val="en-AU"/>
        </w:rPr>
        <w:t>include consideration of people of diverse sexual orientation, gender identity, and/or sex characteristics.  Given the variation globally in the legal and social status of LGBTQIA+ people, in some circumstances engagement with these communities and/or LGBTQIA+ organisations should be undertaken carefully and with consideration to the risks that may be posed by engagement with them, and by the compilation, circulation and dissemination of data about them.</w:t>
      </w:r>
    </w:p>
    <w:p w14:paraId="710C343E" w14:textId="77777777" w:rsidR="00470FAF" w:rsidRPr="005F4ECD" w:rsidRDefault="00470FAF" w:rsidP="00470FAF">
      <w:pPr>
        <w:jc w:val="both"/>
      </w:pPr>
    </w:p>
    <w:p w14:paraId="024440BA" w14:textId="4FE9B195" w:rsidR="00470FAF" w:rsidRPr="005F4ECD" w:rsidRDefault="00470FAF" w:rsidP="00470FAF">
      <w:pPr>
        <w:jc w:val="both"/>
        <w:rPr>
          <w:lang w:val="en-AU"/>
        </w:rPr>
      </w:pPr>
      <w:r w:rsidRPr="005F4ECD">
        <w:t xml:space="preserve">‘Intersectionality’ is a concept which recognises that an individual’s identity has many layers, and each layer may confer either negative or positive status and may either close or open access to resources and power. </w:t>
      </w:r>
      <w:r w:rsidRPr="005F4ECD">
        <w:rPr>
          <w:lang w:val="en-AU"/>
        </w:rPr>
        <w:t xml:space="preserve">Intersectionality does not sideline gender (or disability or LGBTQIA+ persons) but moves away from focussing on single or isolated causes in analysing and explaining the dynamics of power and inequality. Intersectional GEDSI analysis engages communities with lived experience and </w:t>
      </w:r>
      <w:r w:rsidRPr="005F4ECD">
        <w:rPr>
          <w:rFonts w:cstheme="minorHAnsi"/>
        </w:rPr>
        <w:t>considers how people’s multiple identities shape their privilege, exclusion, or marginalisation</w:t>
      </w:r>
      <w:r w:rsidRPr="005F4ECD">
        <w:rPr>
          <w:lang w:val="en-AU"/>
        </w:rPr>
        <w:t>. Figure 1 illustrates the social systems and structures which can combine, overlap and compound to affect an individual’s identity, social position and experience.</w:t>
      </w:r>
      <w:r w:rsidRPr="005F4ECD">
        <w:rPr>
          <w:rStyle w:val="FootnoteReference"/>
          <w:lang w:val="en-AU"/>
        </w:rPr>
        <w:footnoteReference w:id="3"/>
      </w:r>
    </w:p>
    <w:p w14:paraId="534E92CB" w14:textId="086264A5" w:rsidR="00470FAF" w:rsidRPr="005F4ECD" w:rsidRDefault="00470FAF" w:rsidP="00470FAF">
      <w:pPr>
        <w:jc w:val="both"/>
        <w:rPr>
          <w:lang w:val="en-AU"/>
        </w:rPr>
      </w:pPr>
    </w:p>
    <w:p w14:paraId="3896AF2C" w14:textId="11B81474" w:rsidR="00A20DE6" w:rsidRDefault="00470FAF" w:rsidP="00F573C5">
      <w:pPr>
        <w:jc w:val="both"/>
        <w:rPr>
          <w:noProof/>
        </w:rPr>
      </w:pPr>
      <w:r w:rsidRPr="005F4ECD">
        <w:rPr>
          <w:lang w:val="en-AU"/>
        </w:rPr>
        <w:t xml:space="preserve">Quality GEDSI analysis takes an intersectional approach. </w:t>
      </w:r>
      <w:r w:rsidRPr="005F4ECD">
        <w:rPr>
          <w:rFonts w:cstheme="minorHAnsi"/>
        </w:rPr>
        <w:t>GEDSI analysis that recognises people’s different experiences and access to power enables better targeted and more effective programming</w:t>
      </w:r>
      <w:r w:rsidR="00E01D19" w:rsidRPr="005F4ECD">
        <w:rPr>
          <w:rFonts w:cstheme="minorHAnsi"/>
        </w:rPr>
        <w:t>.</w:t>
      </w:r>
      <w:r w:rsidR="00E01D19" w:rsidRPr="00E95DE0">
        <w:rPr>
          <w:noProof/>
        </w:rPr>
        <w:t xml:space="preserve"> </w:t>
      </w:r>
    </w:p>
    <w:p w14:paraId="2AFCD73B" w14:textId="77777777" w:rsidR="001123D0" w:rsidRDefault="001123D0" w:rsidP="00F573C5">
      <w:pPr>
        <w:jc w:val="both"/>
        <w:rPr>
          <w:noProof/>
        </w:rPr>
      </w:pPr>
    </w:p>
    <w:p w14:paraId="15B5566C" w14:textId="01A0C002" w:rsidR="00A20DE6" w:rsidRDefault="00A20DE6" w:rsidP="00583A80">
      <w:pPr>
        <w:spacing w:line="240" w:lineRule="auto"/>
        <w:jc w:val="center"/>
        <w:rPr>
          <w:i/>
          <w:iCs/>
          <w:sz w:val="20"/>
          <w:szCs w:val="20"/>
          <w:lang w:val="en-AU"/>
        </w:rPr>
      </w:pPr>
      <w:r>
        <w:rPr>
          <w:noProof/>
          <w:lang w:val="en-AU"/>
        </w:rPr>
        <w:drawing>
          <wp:inline distT="0" distB="0" distL="0" distR="0" wp14:anchorId="5F51E8D5" wp14:editId="3F912DD0">
            <wp:extent cx="3537679" cy="3210637"/>
            <wp:effectExtent l="0" t="0" r="5715" b="2540"/>
            <wp:docPr id="1" name="Picture 1" descr="A diagram that shows how how different forms of identity can intersect across all stages of the lifecycle and result in discrimination. Identities in the diagram include: Religion, Gender and Sexual Identity, Poverty status, Race, Indigeneity, Geographic location, Disability and Education. The lifecycle is from infancy, through childhood and adolescence, to old and middle 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that shows how how different forms of identity can intersect across all stages of the lifecycle and result in discrimination. Identities in the diagram include: Religion, Gender and Sexual Identity, Poverty status, Race, Indigeneity, Geographic location, Disability and Education. The lifecycle is from infancy, through childhood and adolescence, to old and middle age.&#10;"/>
                    <pic:cNvPicPr>
                      <a:picLocks noChangeAspect="1"/>
                    </pic:cNvPicPr>
                  </pic:nvPicPr>
                  <pic:blipFill rotWithShape="1">
                    <a:blip r:embed="rId14" cstate="print">
                      <a:extLst>
                        <a:ext uri="{28A0092B-C50C-407E-A947-70E740481C1C}">
                          <a14:useLocalDpi xmlns:a14="http://schemas.microsoft.com/office/drawing/2010/main" val="0"/>
                        </a:ext>
                      </a:extLst>
                    </a:blip>
                    <a:srcRect t="4275"/>
                    <a:stretch/>
                  </pic:blipFill>
                  <pic:spPr bwMode="auto">
                    <a:xfrm>
                      <a:off x="0" y="0"/>
                      <a:ext cx="3748195" cy="3401691"/>
                    </a:xfrm>
                    <a:prstGeom prst="rect">
                      <a:avLst/>
                    </a:prstGeom>
                    <a:ln>
                      <a:noFill/>
                    </a:ln>
                    <a:extLst>
                      <a:ext uri="{53640926-AAD7-44D8-BBD7-CCE9431645EC}">
                        <a14:shadowObscured xmlns:a14="http://schemas.microsoft.com/office/drawing/2010/main"/>
                      </a:ext>
                    </a:extLst>
                  </pic:spPr>
                </pic:pic>
              </a:graphicData>
            </a:graphic>
          </wp:inline>
        </w:drawing>
      </w:r>
      <w:r>
        <w:rPr>
          <w:lang w:val="en-AU"/>
        </w:rPr>
        <w:br w:type="textWrapping" w:clear="all"/>
      </w:r>
      <w:r w:rsidRPr="00A23547">
        <w:rPr>
          <w:i/>
          <w:iCs/>
          <w:sz w:val="20"/>
          <w:szCs w:val="20"/>
          <w:lang w:val="en-AU"/>
        </w:rPr>
        <w:t>Figure 1</w:t>
      </w:r>
      <w:r>
        <w:rPr>
          <w:i/>
          <w:iCs/>
          <w:sz w:val="20"/>
          <w:szCs w:val="20"/>
          <w:lang w:val="en-AU"/>
        </w:rPr>
        <w:t>.</w:t>
      </w:r>
      <w:r w:rsidRPr="00A23547">
        <w:rPr>
          <w:i/>
          <w:iCs/>
          <w:sz w:val="20"/>
          <w:szCs w:val="20"/>
          <w:lang w:val="en-AU"/>
        </w:rPr>
        <w:t xml:space="preserve"> Identity and different forms of discrimination.</w:t>
      </w:r>
    </w:p>
    <w:bookmarkEnd w:id="1"/>
    <w:p w14:paraId="115676C2" w14:textId="315139F9" w:rsidR="00A20DE6" w:rsidRDefault="00A20DE6" w:rsidP="00520129">
      <w:pPr>
        <w:pStyle w:val="Box1Heading"/>
      </w:pPr>
      <w:r w:rsidRPr="004C70FF">
        <w:lastRenderedPageBreak/>
        <w:t>RESOURCES</w:t>
      </w:r>
    </w:p>
    <w:p w14:paraId="1429D795" w14:textId="56539AD0" w:rsidR="00A20DE6" w:rsidRDefault="00A20DE6" w:rsidP="00520129">
      <w:pPr>
        <w:pStyle w:val="Box1Text"/>
      </w:pPr>
      <w:r w:rsidRPr="00B6716A">
        <w:t xml:space="preserve">For further information on </w:t>
      </w:r>
      <w:r>
        <w:t>intersectional approaches</w:t>
      </w:r>
      <w:r w:rsidRPr="00B6716A">
        <w:t xml:space="preserve"> see the following:</w:t>
      </w:r>
    </w:p>
    <w:p w14:paraId="78D49DCD" w14:textId="77C5843C" w:rsidR="00A20DE6" w:rsidRPr="00B6716A" w:rsidRDefault="0017148F" w:rsidP="009A357E">
      <w:pPr>
        <w:pStyle w:val="Box1Text"/>
      </w:pPr>
      <w:hyperlink r:id="rId15" w:history="1">
        <w:r w:rsidR="00A20DE6" w:rsidRPr="00B6716A">
          <w:rPr>
            <w:rStyle w:val="Hyperlink"/>
            <w:rFonts w:cstheme="minorBidi"/>
            <w:b/>
            <w:bCs/>
            <w:color w:val="495965" w:themeColor="text2"/>
          </w:rPr>
          <w:t>Gender at Work, Intersectionality Capacity Development Resource Kit</w:t>
        </w:r>
      </w:hyperlink>
      <w:r w:rsidR="00A20DE6">
        <w:rPr>
          <w:rStyle w:val="Hyperlink"/>
          <w:rFonts w:cstheme="minorBidi"/>
          <w:b/>
          <w:bCs/>
          <w:color w:val="495965" w:themeColor="text2"/>
        </w:rPr>
        <w:t>:</w:t>
      </w:r>
      <w:r w:rsidR="00A20DE6">
        <w:t xml:space="preserve"> Introduces the concept of intersectionality and supports discussions about intersectionality to identify opportunities, actions and areas for improvement.</w:t>
      </w:r>
    </w:p>
    <w:p w14:paraId="1FC61EED" w14:textId="5566E870" w:rsidR="00A20DE6" w:rsidRPr="002868DA" w:rsidRDefault="0017148F" w:rsidP="009A357E">
      <w:pPr>
        <w:pStyle w:val="Box1Text"/>
      </w:pPr>
      <w:hyperlink r:id="rId16" w:history="1">
        <w:r w:rsidR="00A20DE6" w:rsidRPr="002868DA">
          <w:rPr>
            <w:rStyle w:val="Hyperlink"/>
            <w:rFonts w:cstheme="minorBidi"/>
            <w:b/>
            <w:bCs/>
            <w:color w:val="495965" w:themeColor="text2"/>
          </w:rPr>
          <w:t>UN Women, Intersectionality Resource Guide and Toolkit</w:t>
        </w:r>
      </w:hyperlink>
      <w:r w:rsidR="00A20DE6" w:rsidRPr="002868DA">
        <w:rPr>
          <w:rStyle w:val="Hyperlink"/>
          <w:rFonts w:cstheme="minorBidi"/>
          <w:b/>
          <w:bCs/>
          <w:color w:val="495965" w:themeColor="text2"/>
        </w:rPr>
        <w:t>:</w:t>
      </w:r>
      <w:r w:rsidR="00A20DE6" w:rsidRPr="002868DA">
        <w:t xml:space="preserve"> Provides a practical framework and tools for reducing inequalities faced by people experiencing diverse and compounded forms of discrimination. </w:t>
      </w:r>
    </w:p>
    <w:p w14:paraId="67F001C1" w14:textId="1BFEE9B5" w:rsidR="00A20DE6" w:rsidRPr="001123D0" w:rsidRDefault="0017148F" w:rsidP="009A357E">
      <w:pPr>
        <w:pStyle w:val="Box1Text"/>
        <w:rPr>
          <w:rFonts w:cstheme="minorHAnsi"/>
          <w:szCs w:val="20"/>
        </w:rPr>
      </w:pPr>
      <w:hyperlink r:id="rId17" w:history="1">
        <w:r w:rsidR="00A20DE6" w:rsidRPr="00B06A77">
          <w:rPr>
            <w:rStyle w:val="Hyperlink"/>
            <w:rFonts w:cstheme="minorHAnsi"/>
            <w:b/>
            <w:bCs/>
            <w:color w:val="495965" w:themeColor="text2"/>
            <w:szCs w:val="20"/>
          </w:rPr>
          <w:t xml:space="preserve">Humanity &amp; Inclusion’s Policy on Disability, </w:t>
        </w:r>
        <w:proofErr w:type="gramStart"/>
        <w:r w:rsidR="00A20DE6" w:rsidRPr="00B06A77">
          <w:rPr>
            <w:rStyle w:val="Hyperlink"/>
            <w:rFonts w:cstheme="minorHAnsi"/>
            <w:b/>
            <w:bCs/>
            <w:color w:val="495965" w:themeColor="text2"/>
            <w:szCs w:val="20"/>
          </w:rPr>
          <w:t>Gender</w:t>
        </w:r>
        <w:proofErr w:type="gramEnd"/>
        <w:r w:rsidR="00A20DE6" w:rsidRPr="00B06A77">
          <w:rPr>
            <w:rStyle w:val="Hyperlink"/>
            <w:rFonts w:cstheme="minorHAnsi"/>
            <w:b/>
            <w:bCs/>
            <w:color w:val="495965" w:themeColor="text2"/>
            <w:szCs w:val="20"/>
          </w:rPr>
          <w:t xml:space="preserve"> and Age</w:t>
        </w:r>
      </w:hyperlink>
      <w:r w:rsidR="00A20DE6" w:rsidRPr="00B06A77">
        <w:rPr>
          <w:rStyle w:val="Hyperlink"/>
          <w:rFonts w:cstheme="minorHAnsi"/>
          <w:b/>
          <w:bCs/>
          <w:color w:val="495965" w:themeColor="text2"/>
          <w:szCs w:val="20"/>
        </w:rPr>
        <w:t>:</w:t>
      </w:r>
      <w:r w:rsidR="00A20DE6" w:rsidRPr="00B06A77">
        <w:rPr>
          <w:rStyle w:val="cf01"/>
          <w:rFonts w:asciiTheme="minorHAnsi" w:eastAsiaTheme="majorEastAsia" w:hAnsiTheme="minorHAnsi" w:cstheme="minorHAnsi"/>
          <w:color w:val="495965" w:themeColor="text2"/>
          <w:sz w:val="20"/>
          <w:szCs w:val="20"/>
        </w:rPr>
        <w:t xml:space="preserve"> </w:t>
      </w:r>
      <w:r w:rsidR="00A20DE6" w:rsidRPr="001123D0">
        <w:rPr>
          <w:rStyle w:val="cf01"/>
          <w:rFonts w:asciiTheme="minorHAnsi" w:eastAsiaTheme="majorEastAsia" w:hAnsiTheme="minorHAnsi" w:cstheme="minorHAnsi"/>
          <w:sz w:val="20"/>
          <w:szCs w:val="20"/>
        </w:rPr>
        <w:t>Enables attention to disability, gender and age-based inequalities, identifying factors of exclusion and inequalities in the environment.</w:t>
      </w:r>
    </w:p>
    <w:p w14:paraId="1F09F040" w14:textId="77777777" w:rsidR="006538C5" w:rsidRDefault="006538C5" w:rsidP="006538C5">
      <w:pPr>
        <w:pStyle w:val="ListParagraph"/>
        <w:suppressAutoHyphens w:val="0"/>
        <w:spacing w:before="240" w:after="120" w:line="440" w:lineRule="atLeast"/>
        <w:ind w:left="357"/>
        <w:rPr>
          <w:rFonts w:asciiTheme="majorHAnsi" w:hAnsiTheme="majorHAnsi" w:cstheme="majorHAnsi"/>
          <w:b/>
          <w:bCs/>
          <w:sz w:val="38"/>
          <w:szCs w:val="38"/>
          <w:lang w:val="en-AU"/>
        </w:rPr>
      </w:pPr>
    </w:p>
    <w:p w14:paraId="0F26E4F9" w14:textId="37FE8145" w:rsidR="006538C5" w:rsidRPr="006538C5" w:rsidRDefault="00A20DE6" w:rsidP="0017148F">
      <w:pPr>
        <w:pStyle w:val="Heading2"/>
      </w:pPr>
      <w:r w:rsidRPr="005D3D12">
        <w:t>DFAT APPROACH TO GEDSI ANALYSIS</w:t>
      </w:r>
    </w:p>
    <w:p w14:paraId="703FB424" w14:textId="77777777" w:rsidR="00F34E28" w:rsidRDefault="00A20DE6" w:rsidP="00532662">
      <w:pPr>
        <w:jc w:val="both"/>
        <w:rPr>
          <w:lang w:val="en-AU"/>
        </w:rPr>
      </w:pPr>
      <w:r>
        <w:rPr>
          <w:lang w:val="en-AU"/>
        </w:rPr>
        <w:t xml:space="preserve">Gender equality analytical frameworks unpack gender and social norms, relations, and power dynamics into key dimensions where inequities and discrimination are most prevalent and pervasive. They </w:t>
      </w:r>
      <w:r w:rsidRPr="00DF36BA">
        <w:rPr>
          <w:lang w:val="en-AU"/>
        </w:rPr>
        <w:t>provide a structured and consistent approach for</w:t>
      </w:r>
      <w:r>
        <w:rPr>
          <w:lang w:val="en-AU"/>
        </w:rPr>
        <w:t xml:space="preserve"> analysis to inform </w:t>
      </w:r>
      <w:r w:rsidRPr="00DF36BA">
        <w:rPr>
          <w:lang w:val="en-AU"/>
        </w:rPr>
        <w:t>the design of equitable and inclusive program</w:t>
      </w:r>
      <w:r>
        <w:rPr>
          <w:lang w:val="en-AU"/>
        </w:rPr>
        <w:t xml:space="preserve">s. </w:t>
      </w:r>
    </w:p>
    <w:p w14:paraId="7F728E41" w14:textId="77777777" w:rsidR="00F34E28" w:rsidRDefault="00F34E28" w:rsidP="00532662">
      <w:pPr>
        <w:jc w:val="both"/>
        <w:rPr>
          <w:lang w:val="en-AU"/>
        </w:rPr>
      </w:pPr>
    </w:p>
    <w:p w14:paraId="1B97F074" w14:textId="3B474969" w:rsidR="001C3A31" w:rsidRDefault="00A20DE6" w:rsidP="00F34E28">
      <w:pPr>
        <w:jc w:val="both"/>
      </w:pPr>
      <w:r>
        <w:rPr>
          <w:lang w:val="en-AU"/>
        </w:rPr>
        <w:t>DFAT uses t</w:t>
      </w:r>
      <w:r w:rsidRPr="00263812">
        <w:rPr>
          <w:lang w:val="en-AU"/>
        </w:rPr>
        <w:t xml:space="preserve">he </w:t>
      </w:r>
      <w:hyperlink r:id="rId18" w:history="1">
        <w:r w:rsidRPr="00B06A77">
          <w:rPr>
            <w:rStyle w:val="Hyperlink"/>
            <w:rFonts w:cstheme="minorBidi"/>
            <w:color w:val="495965" w:themeColor="text2"/>
            <w:lang w:val="en-AU"/>
          </w:rPr>
          <w:t>Gender at Work Framework</w:t>
        </w:r>
      </w:hyperlink>
      <w:r w:rsidRPr="00B06A77">
        <w:rPr>
          <w:lang w:val="en-AU"/>
        </w:rPr>
        <w:t xml:space="preserve"> </w:t>
      </w:r>
      <w:r>
        <w:rPr>
          <w:lang w:val="en-AU"/>
        </w:rPr>
        <w:t>to make</w:t>
      </w:r>
      <w:r w:rsidRPr="00263812">
        <w:rPr>
          <w:lang w:val="en-AU"/>
        </w:rPr>
        <w:t xml:space="preserve"> visible the interlinked dimensions of </w:t>
      </w:r>
      <w:r w:rsidRPr="00976A73">
        <w:rPr>
          <w:lang w:val="en-AU"/>
        </w:rPr>
        <w:t>gender equality</w:t>
      </w:r>
      <w:r w:rsidR="00337D3B">
        <w:rPr>
          <w:lang w:val="en-AU"/>
        </w:rPr>
        <w:t xml:space="preserve">, and </w:t>
      </w:r>
      <w:r w:rsidR="00F34E28">
        <w:rPr>
          <w:lang w:val="en-AU"/>
        </w:rPr>
        <w:t xml:space="preserve">are </w:t>
      </w:r>
      <w:r w:rsidR="001C3A31">
        <w:rPr>
          <w:lang w:val="en-AU"/>
        </w:rPr>
        <w:t>us</w:t>
      </w:r>
      <w:r w:rsidR="00F34E28">
        <w:rPr>
          <w:lang w:val="en-AU"/>
        </w:rPr>
        <w:t>ing</w:t>
      </w:r>
      <w:r w:rsidR="001C3A31">
        <w:rPr>
          <w:lang w:val="en-AU"/>
        </w:rPr>
        <w:t xml:space="preserve"> </w:t>
      </w:r>
      <w:r w:rsidR="00F64FEA">
        <w:rPr>
          <w:lang w:val="en-AU"/>
        </w:rPr>
        <w:t xml:space="preserve">it </w:t>
      </w:r>
      <w:r w:rsidR="00337D3B">
        <w:rPr>
          <w:lang w:val="en-AU"/>
        </w:rPr>
        <w:t xml:space="preserve">as a tool to </w:t>
      </w:r>
      <w:r w:rsidR="00F64FEA">
        <w:rPr>
          <w:lang w:val="en-AU"/>
        </w:rPr>
        <w:t>support analysis of</w:t>
      </w:r>
      <w:r w:rsidRPr="00976A73">
        <w:rPr>
          <w:lang w:val="en-AU"/>
        </w:rPr>
        <w:t xml:space="preserve"> disability</w:t>
      </w:r>
      <w:r w:rsidR="00337D3B">
        <w:rPr>
          <w:lang w:val="en-AU"/>
        </w:rPr>
        <w:t xml:space="preserve"> equity</w:t>
      </w:r>
      <w:r w:rsidR="001C3A31">
        <w:rPr>
          <w:lang w:val="en-AU"/>
        </w:rPr>
        <w:t>,</w:t>
      </w:r>
      <w:r w:rsidR="002E35F5">
        <w:rPr>
          <w:lang w:val="en-AU"/>
        </w:rPr>
        <w:t xml:space="preserve"> </w:t>
      </w:r>
      <w:r w:rsidRPr="00976A73">
        <w:rPr>
          <w:lang w:val="en-AU"/>
        </w:rPr>
        <w:t>social inclusion</w:t>
      </w:r>
      <w:r w:rsidR="001C3A31">
        <w:rPr>
          <w:lang w:val="en-AU"/>
        </w:rPr>
        <w:t xml:space="preserve"> and gender equality</w:t>
      </w:r>
      <w:r>
        <w:rPr>
          <w:lang w:val="en-AU"/>
        </w:rPr>
        <w:t xml:space="preserve"> (Figure 2)</w:t>
      </w:r>
      <w:r w:rsidR="00D47BB9">
        <w:rPr>
          <w:lang w:val="en-AU"/>
        </w:rPr>
        <w:t>.</w:t>
      </w:r>
      <w:r>
        <w:rPr>
          <w:rStyle w:val="FootnoteReference"/>
          <w:lang w:val="en-AU"/>
        </w:rPr>
        <w:footnoteReference w:id="4"/>
      </w:r>
      <w:r w:rsidRPr="00976A73">
        <w:rPr>
          <w:rStyle w:val="FootnoteReference"/>
          <w:lang w:val="en-AU"/>
        </w:rPr>
        <w:t xml:space="preserve"> </w:t>
      </w:r>
      <w:r w:rsidR="001C3A31" w:rsidRPr="004E3249">
        <w:rPr>
          <w:rStyle w:val="cf01"/>
          <w:rFonts w:asciiTheme="minorHAnsi" w:hAnsiTheme="minorHAnsi" w:cstheme="minorHAnsi"/>
          <w:sz w:val="22"/>
          <w:szCs w:val="22"/>
        </w:rPr>
        <w:t xml:space="preserve">DFAT’s use of the Gender at Work Framework is </w:t>
      </w:r>
      <w:r w:rsidR="001C3A31">
        <w:rPr>
          <w:rStyle w:val="cf01"/>
          <w:rFonts w:asciiTheme="minorHAnsi" w:hAnsiTheme="minorHAnsi" w:cstheme="minorHAnsi"/>
          <w:sz w:val="22"/>
          <w:szCs w:val="22"/>
        </w:rPr>
        <w:t xml:space="preserve">accompanied </w:t>
      </w:r>
      <w:r w:rsidR="001C3A31" w:rsidRPr="004E3249">
        <w:rPr>
          <w:rStyle w:val="cf01"/>
          <w:rFonts w:asciiTheme="minorHAnsi" w:hAnsiTheme="minorHAnsi" w:cstheme="minorHAnsi"/>
          <w:sz w:val="22"/>
          <w:szCs w:val="22"/>
        </w:rPr>
        <w:t xml:space="preserve">by our commitment to </w:t>
      </w:r>
      <w:r w:rsidR="001C3A31" w:rsidRPr="00D64A62">
        <w:rPr>
          <w:rStyle w:val="cf01"/>
          <w:rFonts w:asciiTheme="minorHAnsi" w:hAnsiTheme="minorHAnsi" w:cstheme="minorHAnsi"/>
          <w:b/>
          <w:bCs/>
          <w:sz w:val="22"/>
          <w:szCs w:val="22"/>
        </w:rPr>
        <w:t>rights-based approach</w:t>
      </w:r>
      <w:r w:rsidR="001C3A31" w:rsidRPr="004E3249">
        <w:rPr>
          <w:rStyle w:val="cf01"/>
          <w:rFonts w:asciiTheme="minorHAnsi" w:hAnsiTheme="minorHAnsi" w:cstheme="minorHAnsi"/>
          <w:sz w:val="22"/>
          <w:szCs w:val="22"/>
        </w:rPr>
        <w:t xml:space="preserve"> to disability inclusion and equity. </w:t>
      </w:r>
      <w:r w:rsidR="001C3A31" w:rsidRPr="00F34E28">
        <w:t>Quality GEDSI analysis must</w:t>
      </w:r>
      <w:r w:rsidR="001C3A31" w:rsidRPr="00F34E28">
        <w:rPr>
          <w:rFonts w:ascii="Times New Roman" w:hAnsi="Times New Roman"/>
          <w:sz w:val="24"/>
          <w:szCs w:val="24"/>
        </w:rPr>
        <w:t xml:space="preserve"> </w:t>
      </w:r>
      <w:r w:rsidR="001C3A31" w:rsidRPr="00F34E28">
        <w:t xml:space="preserve">actively include people with disabilities in each step. DFAT recognises that the interaction of impairments (physical, sensory, psychosocial, cognitive) and barriers (physical, social, communication and institutional) has a wide range of effects. Targeted efforts are required to identify and address barriers experienced by diverse people with disabilities of all genders in engaging in the analysis process, including ensuring accessibility and reasonable accommodations are provided (see page 9). </w:t>
      </w:r>
    </w:p>
    <w:p w14:paraId="09318DB0" w14:textId="77777777" w:rsidR="001C3A31" w:rsidRDefault="001C3A31" w:rsidP="00186B34">
      <w:pPr>
        <w:jc w:val="both"/>
        <w:rPr>
          <w:lang w:val="en-AU"/>
        </w:rPr>
      </w:pPr>
    </w:p>
    <w:p w14:paraId="70AC7E8B" w14:textId="09CFEFDC" w:rsidR="00A20DE6" w:rsidRDefault="00A20DE6" w:rsidP="00186B34">
      <w:pPr>
        <w:jc w:val="both"/>
        <w:rPr>
          <w:lang w:val="en-AU"/>
        </w:rPr>
      </w:pPr>
      <w:r>
        <w:rPr>
          <w:lang w:val="en-AU"/>
        </w:rPr>
        <w:t>The Gender at Work Framework explores</w:t>
      </w:r>
      <w:r w:rsidRPr="00263812">
        <w:rPr>
          <w:lang w:val="en-AU"/>
        </w:rPr>
        <w:t xml:space="preserve"> two primary dimensions</w:t>
      </w:r>
      <w:r>
        <w:rPr>
          <w:lang w:val="en-AU"/>
        </w:rPr>
        <w:t xml:space="preserve">: i) </w:t>
      </w:r>
      <w:r w:rsidRPr="00B4372B">
        <w:rPr>
          <w:b/>
          <w:bCs/>
          <w:lang w:val="en-AU"/>
        </w:rPr>
        <w:t>individual through to collective or systemic levels</w:t>
      </w:r>
      <w:r>
        <w:rPr>
          <w:lang w:val="en-AU"/>
        </w:rPr>
        <w:t xml:space="preserve"> across all strata of society, and ii)</w:t>
      </w:r>
      <w:r w:rsidRPr="00263812">
        <w:rPr>
          <w:lang w:val="en-AU"/>
        </w:rPr>
        <w:t xml:space="preserve"> visible and invisible</w:t>
      </w:r>
      <w:r>
        <w:rPr>
          <w:lang w:val="en-AU"/>
        </w:rPr>
        <w:t xml:space="preserve"> </w:t>
      </w:r>
      <w:r w:rsidRPr="00263812">
        <w:rPr>
          <w:lang w:val="en-AU"/>
        </w:rPr>
        <w:t>forms of power</w:t>
      </w:r>
      <w:r>
        <w:rPr>
          <w:lang w:val="en-AU"/>
        </w:rPr>
        <w:t xml:space="preserve">, </w:t>
      </w:r>
      <w:r w:rsidRPr="00263812">
        <w:rPr>
          <w:lang w:val="en-AU"/>
        </w:rPr>
        <w:t xml:space="preserve">from </w:t>
      </w:r>
      <w:r w:rsidRPr="00B4372B">
        <w:rPr>
          <w:b/>
          <w:bCs/>
          <w:lang w:val="en-AU"/>
        </w:rPr>
        <w:t>social norms and exclusionary practices through to formal laws and policies</w:t>
      </w:r>
      <w:r w:rsidRPr="00263812">
        <w:rPr>
          <w:lang w:val="en-AU"/>
        </w:rPr>
        <w:t>.</w:t>
      </w:r>
      <w:r>
        <w:rPr>
          <w:lang w:val="en-AU"/>
        </w:rPr>
        <w:t xml:space="preserve"> These two dimensions are divided into four intersecting areas of inquiry. </w:t>
      </w:r>
      <w:r w:rsidRPr="00263812">
        <w:rPr>
          <w:lang w:val="en-AU"/>
        </w:rPr>
        <w:t xml:space="preserve">The top two </w:t>
      </w:r>
      <w:r>
        <w:rPr>
          <w:lang w:val="en-AU"/>
        </w:rPr>
        <w:t>areas of inquiry</w:t>
      </w:r>
      <w:r w:rsidRPr="00263812">
        <w:rPr>
          <w:lang w:val="en-AU"/>
        </w:rPr>
        <w:t xml:space="preserve"> map the individual, family and</w:t>
      </w:r>
      <w:r>
        <w:rPr>
          <w:lang w:val="en-AU"/>
        </w:rPr>
        <w:t xml:space="preserve"> </w:t>
      </w:r>
      <w:r w:rsidRPr="00263812">
        <w:rPr>
          <w:lang w:val="en-AU"/>
        </w:rPr>
        <w:t>community level elements, while the bottom two are</w:t>
      </w:r>
      <w:r>
        <w:rPr>
          <w:lang w:val="en-AU"/>
        </w:rPr>
        <w:t xml:space="preserve"> </w:t>
      </w:r>
      <w:r w:rsidRPr="00263812">
        <w:rPr>
          <w:lang w:val="en-AU"/>
        </w:rPr>
        <w:t>systemic</w:t>
      </w:r>
      <w:r>
        <w:rPr>
          <w:lang w:val="en-AU"/>
        </w:rPr>
        <w:t xml:space="preserve"> and structural</w:t>
      </w:r>
      <w:r w:rsidRPr="00263812">
        <w:rPr>
          <w:lang w:val="en-AU"/>
        </w:rPr>
        <w:t xml:space="preserve">. The </w:t>
      </w:r>
      <w:r>
        <w:rPr>
          <w:lang w:val="en-AU"/>
        </w:rPr>
        <w:t>areas of inquiry</w:t>
      </w:r>
      <w:r w:rsidRPr="00263812">
        <w:rPr>
          <w:lang w:val="en-AU"/>
        </w:rPr>
        <w:t xml:space="preserve"> on the right map the formal</w:t>
      </w:r>
      <w:r>
        <w:rPr>
          <w:lang w:val="en-AU"/>
        </w:rPr>
        <w:t xml:space="preserve"> </w:t>
      </w:r>
      <w:r w:rsidRPr="00263812">
        <w:rPr>
          <w:lang w:val="en-AU"/>
        </w:rPr>
        <w:t>and tangible while the left domains cover the informal,</w:t>
      </w:r>
      <w:r>
        <w:rPr>
          <w:lang w:val="en-AU"/>
        </w:rPr>
        <w:t xml:space="preserve"> </w:t>
      </w:r>
      <w:r w:rsidRPr="00263812">
        <w:rPr>
          <w:lang w:val="en-AU"/>
        </w:rPr>
        <w:t>intangible elements.</w:t>
      </w:r>
      <w:r>
        <w:rPr>
          <w:rStyle w:val="FootnoteReference"/>
          <w:lang w:val="en-AU"/>
        </w:rPr>
        <w:footnoteReference w:id="5"/>
      </w:r>
      <w:r w:rsidRPr="00263812">
        <w:rPr>
          <w:lang w:val="en-AU"/>
        </w:rPr>
        <w:t xml:space="preserve"> An effective – and intersectional –</w:t>
      </w:r>
      <w:r>
        <w:rPr>
          <w:lang w:val="en-AU"/>
        </w:rPr>
        <w:t xml:space="preserve"> GEDSI analysis</w:t>
      </w:r>
      <w:r w:rsidRPr="00263812">
        <w:rPr>
          <w:lang w:val="en-AU"/>
        </w:rPr>
        <w:t xml:space="preserve"> will interrogate the relationships</w:t>
      </w:r>
      <w:r>
        <w:rPr>
          <w:lang w:val="en-AU"/>
        </w:rPr>
        <w:t xml:space="preserve"> </w:t>
      </w:r>
      <w:r w:rsidRPr="00263812">
        <w:rPr>
          <w:lang w:val="en-AU"/>
        </w:rPr>
        <w:t xml:space="preserve">between each of the four </w:t>
      </w:r>
      <w:r>
        <w:rPr>
          <w:lang w:val="en-AU"/>
        </w:rPr>
        <w:t xml:space="preserve">areas of </w:t>
      </w:r>
      <w:r w:rsidRPr="001D7F13">
        <w:rPr>
          <w:lang w:val="en-AU"/>
        </w:rPr>
        <w:t>inquiry.</w:t>
      </w:r>
    </w:p>
    <w:p w14:paraId="5AC00376" w14:textId="45736549" w:rsidR="00A20DE6" w:rsidRDefault="00A20DE6" w:rsidP="00532662">
      <w:pPr>
        <w:jc w:val="both"/>
        <w:rPr>
          <w:lang w:val="en-AU"/>
        </w:rPr>
      </w:pPr>
    </w:p>
    <w:p w14:paraId="7AAF7BF4" w14:textId="77777777" w:rsidR="00A20DE6" w:rsidRDefault="00A20DE6" w:rsidP="00186B34">
      <w:pPr>
        <w:jc w:val="both"/>
        <w:rPr>
          <w:i/>
          <w:iCs/>
          <w:sz w:val="20"/>
          <w:szCs w:val="20"/>
          <w:lang w:val="en-AU"/>
        </w:rPr>
      </w:pPr>
      <w:r w:rsidRPr="00263812">
        <w:rPr>
          <w:lang w:val="en-AU"/>
        </w:rPr>
        <w:t xml:space="preserve">The top left </w:t>
      </w:r>
      <w:r>
        <w:rPr>
          <w:lang w:val="en-AU"/>
        </w:rPr>
        <w:t xml:space="preserve">area of inquiry </w:t>
      </w:r>
      <w:r w:rsidRPr="00263812">
        <w:rPr>
          <w:lang w:val="en-AU"/>
        </w:rPr>
        <w:t xml:space="preserve">considers </w:t>
      </w:r>
      <w:r w:rsidRPr="001D7F13">
        <w:rPr>
          <w:b/>
          <w:bCs/>
          <w:lang w:val="en-AU"/>
        </w:rPr>
        <w:t>agency, commitment, knowledge and skills</w:t>
      </w:r>
      <w:r w:rsidRPr="00263812">
        <w:rPr>
          <w:lang w:val="en-AU"/>
        </w:rPr>
        <w:t xml:space="preserve"> needed for equality. The top right</w:t>
      </w:r>
      <w:r>
        <w:rPr>
          <w:lang w:val="en-AU"/>
        </w:rPr>
        <w:t xml:space="preserve"> area of inquiry</w:t>
      </w:r>
      <w:r w:rsidRPr="00263812">
        <w:rPr>
          <w:lang w:val="en-AU"/>
        </w:rPr>
        <w:t xml:space="preserve"> is about </w:t>
      </w:r>
      <w:r w:rsidRPr="001D7F13">
        <w:rPr>
          <w:b/>
          <w:bCs/>
          <w:lang w:val="en-AU"/>
        </w:rPr>
        <w:t>access to and control over resources</w:t>
      </w:r>
      <w:r>
        <w:rPr>
          <w:b/>
          <w:bCs/>
          <w:lang w:val="en-AU"/>
        </w:rPr>
        <w:t>, services</w:t>
      </w:r>
      <w:r w:rsidRPr="001D7F13">
        <w:rPr>
          <w:b/>
          <w:bCs/>
          <w:lang w:val="en-AU"/>
        </w:rPr>
        <w:t xml:space="preserve"> and opportunities</w:t>
      </w:r>
      <w:r w:rsidRPr="00263812">
        <w:rPr>
          <w:lang w:val="en-AU"/>
        </w:rPr>
        <w:t xml:space="preserve">. The bottom right </w:t>
      </w:r>
      <w:r>
        <w:rPr>
          <w:lang w:val="en-AU"/>
        </w:rPr>
        <w:t xml:space="preserve">area of inquiry </w:t>
      </w:r>
      <w:r w:rsidRPr="00263812">
        <w:rPr>
          <w:lang w:val="en-AU"/>
        </w:rPr>
        <w:t>considers</w:t>
      </w:r>
      <w:r>
        <w:rPr>
          <w:lang w:val="en-AU"/>
        </w:rPr>
        <w:t xml:space="preserve"> </w:t>
      </w:r>
      <w:r w:rsidRPr="001D7F13">
        <w:rPr>
          <w:b/>
          <w:bCs/>
          <w:lang w:val="en-AU"/>
        </w:rPr>
        <w:t>laws, policies, programmes, resource allocation and accountability</w:t>
      </w:r>
      <w:r>
        <w:rPr>
          <w:lang w:val="en-AU"/>
        </w:rPr>
        <w:t xml:space="preserve"> </w:t>
      </w:r>
      <w:r w:rsidRPr="00263812">
        <w:rPr>
          <w:lang w:val="en-AU"/>
        </w:rPr>
        <w:t>mechanisms; these are the visible rules that</w:t>
      </w:r>
      <w:r>
        <w:rPr>
          <w:lang w:val="en-AU"/>
        </w:rPr>
        <w:t xml:space="preserve"> </w:t>
      </w:r>
      <w:r w:rsidRPr="00263812">
        <w:rPr>
          <w:lang w:val="en-AU"/>
        </w:rPr>
        <w:t>govern changes in terms of equality. The bottom left</w:t>
      </w:r>
      <w:r>
        <w:rPr>
          <w:lang w:val="en-AU"/>
        </w:rPr>
        <w:t xml:space="preserve"> area of inquiry </w:t>
      </w:r>
      <w:r w:rsidRPr="00263812">
        <w:rPr>
          <w:lang w:val="en-AU"/>
        </w:rPr>
        <w:t xml:space="preserve">is often least considered and </w:t>
      </w:r>
      <w:r>
        <w:rPr>
          <w:lang w:val="en-AU"/>
        </w:rPr>
        <w:t xml:space="preserve">focuses on </w:t>
      </w:r>
      <w:r w:rsidRPr="00263812">
        <w:rPr>
          <w:lang w:val="en-AU"/>
        </w:rPr>
        <w:t xml:space="preserve">the impact of </w:t>
      </w:r>
      <w:r w:rsidRPr="001D7F13">
        <w:rPr>
          <w:b/>
          <w:bCs/>
          <w:lang w:val="en-AU"/>
        </w:rPr>
        <w:t>social norms, attitudes, exclusionary practices</w:t>
      </w:r>
      <w:r w:rsidRPr="00263812">
        <w:rPr>
          <w:lang w:val="en-AU"/>
        </w:rPr>
        <w:t xml:space="preserve"> on equality.</w:t>
      </w:r>
      <w:r>
        <w:rPr>
          <w:rStyle w:val="FootnoteReference"/>
          <w:lang w:val="en-AU"/>
        </w:rPr>
        <w:footnoteReference w:id="6"/>
      </w:r>
    </w:p>
    <w:p w14:paraId="77017416" w14:textId="6BFCCA0C" w:rsidR="00A20DE6" w:rsidRDefault="00A20DE6" w:rsidP="00532662">
      <w:pPr>
        <w:jc w:val="both"/>
        <w:rPr>
          <w:lang w:val="en-AU"/>
        </w:rPr>
      </w:pPr>
    </w:p>
    <w:p w14:paraId="18092BE2" w14:textId="1AFA78C2" w:rsidR="00A20DE6" w:rsidRDefault="00A20DE6" w:rsidP="00186B34">
      <w:pPr>
        <w:jc w:val="both"/>
        <w:rPr>
          <w:lang w:val="en-AU"/>
        </w:rPr>
      </w:pPr>
      <w:r>
        <w:rPr>
          <w:lang w:val="en-AU"/>
        </w:rPr>
        <w:t xml:space="preserve">The Gender at Work Framework should be applied in a dynamic way – it must be adapted for socio-cultural, geographic and sectoral differences; and whilst investments should work across both dimensions, not all investments can target </w:t>
      </w:r>
      <w:r w:rsidRPr="007D4738">
        <w:rPr>
          <w:lang w:val="en-AU"/>
        </w:rPr>
        <w:t xml:space="preserve">all four areas of inquiry or each area of inquiry to the same degree. Figure 3 illustrates how the Gender at Work Framework can be used in identifying GEDSI analysis research questions in a specific sectoral context (for example, a private sector market systems development investment). Sector-specific </w:t>
      </w:r>
      <w:r w:rsidRPr="007D4738">
        <w:rPr>
          <w:lang w:val="en-AU"/>
        </w:rPr>
        <w:lastRenderedPageBreak/>
        <w:t xml:space="preserve">research questions are needed to inform investment designs. Sector-specific resources are available on the </w:t>
      </w:r>
      <w:hyperlink r:id="rId19" w:history="1">
        <w:r w:rsidRPr="00B06A77">
          <w:rPr>
            <w:rStyle w:val="Hyperlink"/>
            <w:rFonts w:cstheme="minorBidi"/>
            <w:color w:val="495965" w:themeColor="text2"/>
            <w:lang w:val="en-AU"/>
          </w:rPr>
          <w:t>SURGE Knowledge Hub</w:t>
        </w:r>
      </w:hyperlink>
      <w:r w:rsidRPr="00B06A77">
        <w:rPr>
          <w:rStyle w:val="Hyperlink"/>
          <w:rFonts w:cstheme="minorBidi"/>
          <w:color w:val="495965" w:themeColor="text2"/>
          <w:lang w:val="en-AU"/>
        </w:rPr>
        <w:t xml:space="preserve"> </w:t>
      </w:r>
      <w:r w:rsidRPr="00B06A77">
        <w:rPr>
          <w:rStyle w:val="Hyperlink"/>
          <w:rFonts w:cstheme="minorBidi"/>
          <w:color w:val="495965" w:themeColor="text2"/>
          <w:u w:val="none"/>
          <w:lang w:val="en-AU"/>
        </w:rPr>
        <w:t xml:space="preserve">and </w:t>
      </w:r>
      <w:hyperlink r:id="rId20" w:history="1">
        <w:r w:rsidRPr="00B06A77">
          <w:rPr>
            <w:rStyle w:val="Hyperlink"/>
            <w:rFonts w:cstheme="minorBidi"/>
            <w:color w:val="495965" w:themeColor="text2"/>
            <w:lang w:val="en-AU"/>
          </w:rPr>
          <w:t>DID4All website</w:t>
        </w:r>
      </w:hyperlink>
      <w:r w:rsidRPr="007D4738">
        <w:rPr>
          <w:lang w:val="en-AU"/>
        </w:rPr>
        <w:t>.</w:t>
      </w:r>
    </w:p>
    <w:p w14:paraId="7E078E60" w14:textId="77777777" w:rsidR="00FD7EFC" w:rsidRDefault="00FD7EFC" w:rsidP="00186B34">
      <w:pPr>
        <w:jc w:val="both"/>
        <w:rPr>
          <w:lang w:val="en-AU"/>
        </w:rPr>
      </w:pPr>
    </w:p>
    <w:p w14:paraId="2B98028F" w14:textId="77777777" w:rsidR="00B55FA5" w:rsidRDefault="00B55FA5" w:rsidP="00186B34">
      <w:pPr>
        <w:jc w:val="both"/>
        <w:rPr>
          <w:lang w:val="en-AU"/>
        </w:rPr>
      </w:pPr>
    </w:p>
    <w:p w14:paraId="74433FB3" w14:textId="77777777" w:rsidR="00A20DE6" w:rsidRDefault="00A20DE6" w:rsidP="00532662">
      <w:pPr>
        <w:jc w:val="center"/>
        <w:rPr>
          <w:i/>
          <w:iCs/>
          <w:sz w:val="20"/>
          <w:szCs w:val="20"/>
          <w:lang w:val="en-AU"/>
        </w:rPr>
      </w:pPr>
      <w:r>
        <w:rPr>
          <w:noProof/>
          <w:lang w:val="en-AU"/>
        </w:rPr>
        <w:drawing>
          <wp:inline distT="0" distB="0" distL="0" distR="0" wp14:anchorId="62FF0DE1" wp14:editId="2D9A0B37">
            <wp:extent cx="6194640" cy="4467069"/>
            <wp:effectExtent l="0" t="0" r="0" b="0"/>
            <wp:docPr id="7" name="Picture 7" descr="The Gender at Work Framework&#10;&#10;Top row: two boxes. Box 1 Consciousness and Capabilities. Box 2 Resources.&#10;&#10;Bottom row: Box 3 Informal norms and exclusionary practices. Box 4 Formal rules and policies. &#10;&#10;A line running left to right says informal to formal. &#10;&#10;A line running top to bottom says individual to syste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Gender at Work Framework&#10;&#10;Top row: two boxes. Box 1 Consciousness and Capabilities. Box 2 Resources.&#10;&#10;Bottom row: Box 3 Informal norms and exclusionary practices. Box 4 Formal rules and policies. &#10;&#10;A line running left to right says informal to formal. &#10;&#10;A line running top to bottom says individual to systemic."/>
                    <pic:cNvPicPr/>
                  </pic:nvPicPr>
                  <pic:blipFill>
                    <a:blip r:embed="rId21">
                      <a:extLst>
                        <a:ext uri="{28A0092B-C50C-407E-A947-70E740481C1C}">
                          <a14:useLocalDpi xmlns:a14="http://schemas.microsoft.com/office/drawing/2010/main" val="0"/>
                        </a:ext>
                      </a:extLst>
                    </a:blip>
                    <a:stretch>
                      <a:fillRect/>
                    </a:stretch>
                  </pic:blipFill>
                  <pic:spPr>
                    <a:xfrm>
                      <a:off x="0" y="0"/>
                      <a:ext cx="6285952" cy="4532916"/>
                    </a:xfrm>
                    <a:prstGeom prst="rect">
                      <a:avLst/>
                    </a:prstGeom>
                  </pic:spPr>
                </pic:pic>
              </a:graphicData>
            </a:graphic>
          </wp:inline>
        </w:drawing>
      </w:r>
    </w:p>
    <w:p w14:paraId="1387BB17" w14:textId="1FCF7188" w:rsidR="00A20DE6" w:rsidRDefault="00A20DE6" w:rsidP="00532662">
      <w:pPr>
        <w:jc w:val="center"/>
        <w:rPr>
          <w:i/>
          <w:iCs/>
          <w:sz w:val="20"/>
          <w:szCs w:val="20"/>
          <w:lang w:val="en-AU"/>
        </w:rPr>
      </w:pPr>
      <w:r w:rsidRPr="00A23547">
        <w:rPr>
          <w:i/>
          <w:iCs/>
          <w:sz w:val="20"/>
          <w:szCs w:val="20"/>
          <w:lang w:val="en-AU"/>
        </w:rPr>
        <w:t>Figure 2. Gender at Work Framework</w:t>
      </w:r>
    </w:p>
    <w:p w14:paraId="7FCC5811" w14:textId="77777777" w:rsidR="006B1122" w:rsidRDefault="006B1122" w:rsidP="00532662">
      <w:pPr>
        <w:jc w:val="center"/>
        <w:rPr>
          <w:i/>
          <w:iCs/>
          <w:sz w:val="20"/>
          <w:szCs w:val="20"/>
          <w:lang w:val="en-AU"/>
        </w:rPr>
      </w:pPr>
    </w:p>
    <w:p w14:paraId="6307999D" w14:textId="77777777" w:rsidR="006B1122" w:rsidRDefault="006B1122" w:rsidP="00532662">
      <w:pPr>
        <w:jc w:val="center"/>
        <w:rPr>
          <w:i/>
          <w:iCs/>
          <w:sz w:val="20"/>
          <w:szCs w:val="20"/>
          <w:lang w:val="en-AU"/>
        </w:rPr>
      </w:pPr>
    </w:p>
    <w:p w14:paraId="63FE481C" w14:textId="77777777" w:rsidR="006B1122" w:rsidRDefault="006B1122" w:rsidP="00532662">
      <w:pPr>
        <w:jc w:val="center"/>
        <w:rPr>
          <w:i/>
          <w:iCs/>
          <w:sz w:val="20"/>
          <w:szCs w:val="20"/>
          <w:lang w:val="en-AU"/>
        </w:rPr>
      </w:pPr>
    </w:p>
    <w:p w14:paraId="3F0E79E1" w14:textId="77777777" w:rsidR="006B1122" w:rsidRPr="00D15631" w:rsidRDefault="006B1122" w:rsidP="006B1122">
      <w:pPr>
        <w:pStyle w:val="Box1Heading"/>
      </w:pPr>
      <w:r w:rsidRPr="00D15631">
        <w:t>RESOURCES</w:t>
      </w:r>
    </w:p>
    <w:p w14:paraId="296679B1" w14:textId="77777777" w:rsidR="006B1122" w:rsidRPr="006D604C" w:rsidRDefault="006B1122" w:rsidP="006B1122">
      <w:pPr>
        <w:pStyle w:val="Box1Text"/>
      </w:pPr>
      <w:r w:rsidRPr="006D604C">
        <w:t xml:space="preserve">For further information on the Gender at Work Framework see the following: </w:t>
      </w:r>
    </w:p>
    <w:p w14:paraId="5B5743AE" w14:textId="77777777" w:rsidR="006B1122" w:rsidRPr="000F5206" w:rsidRDefault="0017148F" w:rsidP="006B1122">
      <w:pPr>
        <w:pStyle w:val="Box1Text"/>
      </w:pPr>
      <w:hyperlink r:id="rId22" w:history="1">
        <w:r w:rsidR="006B1122" w:rsidRPr="006D604C">
          <w:rPr>
            <w:rStyle w:val="Hyperlink"/>
            <w:rFonts w:cstheme="minorBidi"/>
            <w:b/>
            <w:bCs/>
            <w:color w:val="495965" w:themeColor="text2"/>
          </w:rPr>
          <w:t>Gender at Work Framework: Explained</w:t>
        </w:r>
      </w:hyperlink>
      <w:r w:rsidR="006B1122">
        <w:rPr>
          <w:rStyle w:val="Hyperlink"/>
          <w:rFonts w:cstheme="minorBidi"/>
          <w:b/>
          <w:bCs/>
          <w:color w:val="495965" w:themeColor="text2"/>
        </w:rPr>
        <w:t>:</w:t>
      </w:r>
      <w:r w:rsidR="006B1122">
        <w:t xml:space="preserve"> E</w:t>
      </w:r>
      <w:r w:rsidR="006B1122" w:rsidRPr="006D604C">
        <w:t>xpla</w:t>
      </w:r>
      <w:r w:rsidR="006B1122">
        <w:t>ins</w:t>
      </w:r>
      <w:r w:rsidR="006B1122" w:rsidRPr="006D604C">
        <w:t xml:space="preserve"> the Gender at Work analytical framework and how to </w:t>
      </w:r>
      <w:r w:rsidR="006B1122">
        <w:t>use it.</w:t>
      </w:r>
      <w:r w:rsidR="006B1122" w:rsidRPr="006D604C">
        <w:t xml:space="preserve"> </w:t>
      </w:r>
    </w:p>
    <w:p w14:paraId="1C2E80C3" w14:textId="77777777" w:rsidR="006B1122" w:rsidRDefault="006B1122" w:rsidP="00532662">
      <w:pPr>
        <w:jc w:val="center"/>
        <w:rPr>
          <w:i/>
          <w:iCs/>
          <w:sz w:val="20"/>
          <w:szCs w:val="20"/>
          <w:lang w:val="en-AU"/>
        </w:rPr>
      </w:pPr>
    </w:p>
    <w:p w14:paraId="0629A250" w14:textId="3DE68283" w:rsidR="00A20DE6" w:rsidRDefault="00A20DE6" w:rsidP="006B1122">
      <w:pPr>
        <w:rPr>
          <w:lang w:val="en-AU"/>
        </w:rPr>
      </w:pPr>
      <w:r>
        <w:rPr>
          <w:noProof/>
          <w:lang w:val="en-AU"/>
        </w:rPr>
        <w:lastRenderedPageBreak/>
        <w:drawing>
          <wp:inline distT="0" distB="0" distL="0" distR="0" wp14:anchorId="4F29AC23" wp14:editId="22AF832C">
            <wp:extent cx="6533059" cy="8626839"/>
            <wp:effectExtent l="0" t="0" r="0" b="0"/>
            <wp:docPr id="8" name="Picture 8" descr="Diagram: An example of the Gender at Work Framework contextualised for a market systems development investment&#10;&#10;Consciousness and capabilities&#10;What is the relationship between gender, age, disability and different social identities and: &#10;• Awareness of rights and entitlements to participate in market-oriented activities, and to earn, save and spend individual income and savings. &#10;• Confidence in the ability of women and people with disabilities to make sound decisions about investments.&#10;• Agricultural technical knowledge, skills and practices.&#10;• Literacy/numeracy knowledge and skills.&#10;• Business management knowledge and skills&#10;• Awareness of market information and opportunities.&#10;• Leadership skills and opportunities.&#10;&#10;Resources&#10;What is the relationship between gender, age, disability and different social identities and: &#10;• Access, ownership and use of land and other collateral.&#10;• Access, ownership and use of productive assets such as agricultural equipment, agri-inputs, post-harvest storage, livestock, cash crops.&#10;• Access to and linkages with markets, traders, buyers, distributors, processors.&#10;• Access to agricultural extension services and training opportunities. &#10;• Access to business development service providers.&#10;• Access, control/influence over informal credit and savings products.&#10;• Access, control/influence over formal financial services.&#10;• Membership of producer groups, agricultural cooperatives.&#10;&#10;Informal norms and exclusionary practices&#10;What is the relationship between gender, age, disability and different social identities and: &#10;• Mobility and ability to travel beyond the home to farmland, market places and other public spaces.&#10;• Workload and competing demands (productive, domestic, cultural) and opportunities for entrepreneurship and employment.&#10;• Decision-making authority in different spheres including household finances and agricultural production.&#10;• Representation and leadership in community-level structures, producer groups, agricultural cooperatives.&#10;&#10;Formal rules and policies&#10;What is the relationship between gender, age, disability and different social identities and: &#10;• International human rights conventions signed and ratified.&#10;• Policy and regulatory frameworks that recognise the rights, contribution, needs and concerns of socially disadvantaged groups such as women and people with disabilities. &#10;• Legislation and regulatory frameworks relevant to socially disadvantaged groups are resourced and implemented.&#10;• Representation and leadership in relevant public and political bodies at all levels&#10;• Legal and institutional frameworks that support enterprises and employment undertaken by socially disadvantaged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An example of the Gender at Work Framework contextualised for a market systems development investment&#10;&#10;Consciousness and capabilities&#10;What is the relationship between gender, age, disability and different social identities and: &#10;• Awareness of rights and entitlements to participate in market-oriented activities, and to earn, save and spend individual income and savings. &#10;• Confidence in the ability of women and people with disabilities to make sound decisions about investments.&#10;• Agricultural technical knowledge, skills and practices.&#10;• Literacy/numeracy knowledge and skills.&#10;• Business management knowledge and skills&#10;• Awareness of market information and opportunities.&#10;• Leadership skills and opportunities.&#10;&#10;Resources&#10;What is the relationship between gender, age, disability and different social identities and: &#10;• Access, ownership and use of land and other collateral.&#10;• Access, ownership and use of productive assets such as agricultural equipment, agri-inputs, post-harvest storage, livestock, cash crops.&#10;• Access to and linkages with markets, traders, buyers, distributors, processors.&#10;• Access to agricultural extension services and training opportunities. &#10;• Access to business development service providers.&#10;• Access, control/influence over informal credit and savings products.&#10;• Access, control/influence over formal financial services.&#10;• Membership of producer groups, agricultural cooperatives.&#10;&#10;Informal norms and exclusionary practices&#10;What is the relationship between gender, age, disability and different social identities and: &#10;• Mobility and ability to travel beyond the home to farmland, market places and other public spaces.&#10;• Workload and competing demands (productive, domestic, cultural) and opportunities for entrepreneurship and employment.&#10;• Decision-making authority in different spheres including household finances and agricultural production.&#10;• Representation and leadership in community-level structures, producer groups, agricultural cooperatives.&#10;&#10;Formal rules and policies&#10;What is the relationship between gender, age, disability and different social identities and: &#10;• International human rights conventions signed and ratified.&#10;• Policy and regulatory frameworks that recognise the rights, contribution, needs and concerns of socially disadvantaged groups such as women and people with disabilities. &#10;• Legislation and regulatory frameworks relevant to socially disadvantaged groups are resourced and implemented.&#10;• Representation and leadership in relevant public and political bodies at all levels&#10;• Legal and institutional frameworks that support enterprises and employment undertaken by socially disadvantaged groups."/>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81847" cy="8823312"/>
                    </a:xfrm>
                    <a:prstGeom prst="rect">
                      <a:avLst/>
                    </a:prstGeom>
                  </pic:spPr>
                </pic:pic>
              </a:graphicData>
            </a:graphic>
          </wp:inline>
        </w:drawing>
      </w:r>
    </w:p>
    <w:p w14:paraId="1F844C21" w14:textId="77777777" w:rsidR="00A23E9A" w:rsidRDefault="00A23E9A" w:rsidP="005D3D12">
      <w:pPr>
        <w:jc w:val="both"/>
        <w:rPr>
          <w:i/>
          <w:iCs/>
          <w:sz w:val="20"/>
          <w:szCs w:val="20"/>
          <w:lang w:val="en-AU"/>
        </w:rPr>
      </w:pPr>
    </w:p>
    <w:p w14:paraId="0CB97558" w14:textId="34EDBD4F" w:rsidR="00A20DE6" w:rsidRDefault="00A20DE6" w:rsidP="005D3D12">
      <w:pPr>
        <w:jc w:val="both"/>
        <w:rPr>
          <w:i/>
          <w:iCs/>
          <w:sz w:val="20"/>
          <w:szCs w:val="20"/>
          <w:lang w:val="en-AU"/>
        </w:rPr>
      </w:pPr>
      <w:r w:rsidRPr="002716FA">
        <w:rPr>
          <w:i/>
          <w:iCs/>
          <w:sz w:val="20"/>
          <w:szCs w:val="20"/>
          <w:lang w:val="en-AU"/>
        </w:rPr>
        <w:t>Figure 3. An example of the Gender at Work Framework contextualised for a market systems development investment</w:t>
      </w:r>
      <w:r>
        <w:rPr>
          <w:i/>
          <w:iCs/>
          <w:sz w:val="20"/>
          <w:szCs w:val="20"/>
          <w:lang w:val="en-AU"/>
        </w:rPr>
        <w:t>.</w:t>
      </w:r>
    </w:p>
    <w:p w14:paraId="7258B4C5" w14:textId="77777777" w:rsidR="006B1122" w:rsidRDefault="006B1122">
      <w:pPr>
        <w:suppressAutoHyphens w:val="0"/>
        <w:rPr>
          <w:rFonts w:asciiTheme="majorHAnsi" w:hAnsiTheme="majorHAnsi" w:cstheme="majorHAnsi"/>
          <w:b/>
          <w:bCs/>
          <w:sz w:val="38"/>
          <w:szCs w:val="38"/>
          <w:lang w:val="en-AU"/>
        </w:rPr>
      </w:pPr>
      <w:r>
        <w:rPr>
          <w:rFonts w:asciiTheme="majorHAnsi" w:hAnsiTheme="majorHAnsi" w:cstheme="majorHAnsi"/>
          <w:b/>
          <w:bCs/>
          <w:sz w:val="38"/>
          <w:szCs w:val="38"/>
          <w:lang w:val="en-AU"/>
        </w:rPr>
        <w:br w:type="page"/>
      </w:r>
    </w:p>
    <w:p w14:paraId="164AFAD3" w14:textId="2D215222" w:rsidR="00A20DE6" w:rsidRPr="002A2D8A" w:rsidRDefault="00A20DE6" w:rsidP="0017148F">
      <w:pPr>
        <w:pStyle w:val="Heading2"/>
      </w:pPr>
      <w:r w:rsidRPr="002A2D8A">
        <w:lastRenderedPageBreak/>
        <w:t xml:space="preserve">STEP BY STEP – CONDUCTING </w:t>
      </w:r>
      <w:r>
        <w:t>GEDSI</w:t>
      </w:r>
      <w:r w:rsidRPr="002A2D8A">
        <w:t xml:space="preserve"> ANALYSIS</w:t>
      </w:r>
    </w:p>
    <w:p w14:paraId="2028848B" w14:textId="77777777" w:rsidR="00A20DE6" w:rsidRDefault="00A20DE6" w:rsidP="00637AF2">
      <w:pPr>
        <w:jc w:val="both"/>
        <w:rPr>
          <w:rFonts w:asciiTheme="majorHAnsi" w:hAnsiTheme="majorHAnsi" w:cstheme="majorHAnsi"/>
          <w:sz w:val="38"/>
          <w:szCs w:val="38"/>
          <w:lang w:val="en-AU"/>
        </w:rPr>
      </w:pPr>
    </w:p>
    <w:p w14:paraId="76FC8880" w14:textId="3710F234" w:rsidR="00A20DE6" w:rsidRPr="0017148F" w:rsidRDefault="00A20DE6" w:rsidP="0017148F">
      <w:pPr>
        <w:pStyle w:val="Heading3"/>
      </w:pPr>
      <w:r w:rsidRPr="0017148F">
        <w:t>STEP 1 – SCOPE</w:t>
      </w:r>
    </w:p>
    <w:p w14:paraId="78F03D3A" w14:textId="7D6210CA" w:rsidR="00C14E0E" w:rsidRDefault="00A20DE6" w:rsidP="00337D3B">
      <w:pPr>
        <w:spacing w:after="120"/>
        <w:jc w:val="both"/>
        <w:rPr>
          <w:lang w:val="en-AU"/>
        </w:rPr>
      </w:pPr>
      <w:r>
        <w:rPr>
          <w:lang w:val="en-AU"/>
        </w:rPr>
        <w:t xml:space="preserve">Whilst DFAT investment designs valued at $3 million and over must be informed by gender </w:t>
      </w:r>
      <w:r w:rsidRPr="00B31D9E">
        <w:rPr>
          <w:lang w:val="en-AU"/>
        </w:rPr>
        <w:t>analysis (preferably GEDSI analysis) the scope of that analysis depend</w:t>
      </w:r>
      <w:r>
        <w:rPr>
          <w:lang w:val="en-AU"/>
        </w:rPr>
        <w:t>s</w:t>
      </w:r>
      <w:r w:rsidRPr="00B31D9E">
        <w:rPr>
          <w:lang w:val="en-AU"/>
        </w:rPr>
        <w:t xml:space="preserve"> on the availability, currency, and quality of existing gender analyses. GEDSI analysis </w:t>
      </w:r>
      <w:r w:rsidR="003941AE">
        <w:rPr>
          <w:lang w:val="en-AU"/>
        </w:rPr>
        <w:t>must be</w:t>
      </w:r>
      <w:r w:rsidR="003941AE" w:rsidRPr="00B31D9E">
        <w:rPr>
          <w:lang w:val="en-AU"/>
        </w:rPr>
        <w:t xml:space="preserve"> </w:t>
      </w:r>
      <w:r w:rsidRPr="00B31D9E">
        <w:rPr>
          <w:lang w:val="en-AU"/>
        </w:rPr>
        <w:t>carried out as part of the investment design process</w:t>
      </w:r>
      <w:r w:rsidR="00B446BF">
        <w:rPr>
          <w:lang w:val="en-AU"/>
        </w:rPr>
        <w:t xml:space="preserve"> to enable </w:t>
      </w:r>
      <w:r w:rsidRPr="00B31D9E">
        <w:rPr>
          <w:lang w:val="en-AU"/>
        </w:rPr>
        <w:t xml:space="preserve">an investment to effectively respond to </w:t>
      </w:r>
      <w:r w:rsidR="00B446BF">
        <w:rPr>
          <w:lang w:val="en-AU"/>
        </w:rPr>
        <w:t>findings</w:t>
      </w:r>
      <w:r w:rsidRPr="00B31D9E">
        <w:rPr>
          <w:lang w:val="en-AU"/>
        </w:rPr>
        <w:t>. However, time</w:t>
      </w:r>
      <w:r>
        <w:rPr>
          <w:lang w:val="en-AU"/>
        </w:rPr>
        <w:t xml:space="preserve"> and</w:t>
      </w:r>
      <w:r w:rsidRPr="00B31D9E">
        <w:rPr>
          <w:lang w:val="en-AU"/>
        </w:rPr>
        <w:t xml:space="preserve"> resource constraints </w:t>
      </w:r>
      <w:r>
        <w:rPr>
          <w:lang w:val="en-AU"/>
        </w:rPr>
        <w:t>sometimes</w:t>
      </w:r>
      <w:r w:rsidRPr="00B31D9E">
        <w:rPr>
          <w:lang w:val="en-AU"/>
        </w:rPr>
        <w:t xml:space="preserve"> mean that</w:t>
      </w:r>
      <w:r>
        <w:rPr>
          <w:lang w:val="en-AU"/>
        </w:rPr>
        <w:t xml:space="preserve"> in-depth </w:t>
      </w:r>
      <w:r w:rsidRPr="00B31D9E">
        <w:rPr>
          <w:lang w:val="en-AU"/>
        </w:rPr>
        <w:t>analysis will be conducted after the design phase.</w:t>
      </w:r>
      <w:r>
        <w:rPr>
          <w:lang w:val="en-AU"/>
        </w:rPr>
        <w:t xml:space="preserve"> </w:t>
      </w:r>
    </w:p>
    <w:p w14:paraId="21DDC578" w14:textId="68EC639B" w:rsidR="00A20DE6" w:rsidRPr="00B31D9E" w:rsidRDefault="00A20DE6" w:rsidP="00C1111C">
      <w:pPr>
        <w:spacing w:after="120"/>
        <w:jc w:val="both"/>
        <w:rPr>
          <w:lang w:val="en-AU"/>
        </w:rPr>
      </w:pPr>
      <w:r w:rsidRPr="00B31D9E">
        <w:rPr>
          <w:lang w:val="en-AU"/>
        </w:rPr>
        <w:t xml:space="preserve">If conducting </w:t>
      </w:r>
      <w:r w:rsidR="00337D3B">
        <w:rPr>
          <w:lang w:val="en-AU"/>
        </w:rPr>
        <w:t xml:space="preserve">an integrated </w:t>
      </w:r>
      <w:r w:rsidRPr="00B31D9E">
        <w:rPr>
          <w:lang w:val="en-AU"/>
        </w:rPr>
        <w:t xml:space="preserve">GEDSI analysis during the design is not possible, the design document must: </w:t>
      </w:r>
      <w:r>
        <w:rPr>
          <w:lang w:val="en-AU"/>
        </w:rPr>
        <w:t xml:space="preserve">draw on relevant existing information to </w:t>
      </w:r>
      <w:r w:rsidRPr="00B31D9E">
        <w:rPr>
          <w:lang w:val="en-AU"/>
        </w:rPr>
        <w:t>clearly articulate the main gender</w:t>
      </w:r>
      <w:r w:rsidR="0059076F">
        <w:rPr>
          <w:lang w:val="en-AU"/>
        </w:rPr>
        <w:t xml:space="preserve"> and disability</w:t>
      </w:r>
      <w:r w:rsidRPr="00B31D9E">
        <w:rPr>
          <w:lang w:val="en-AU"/>
        </w:rPr>
        <w:t xml:space="preserve"> inequities to be addressed by the investment</w:t>
      </w:r>
      <w:r>
        <w:rPr>
          <w:lang w:val="en-AU"/>
        </w:rPr>
        <w:t xml:space="preserve"> (and attach this as an annex to the design)</w:t>
      </w:r>
      <w:r w:rsidRPr="00B31D9E">
        <w:rPr>
          <w:lang w:val="en-AU"/>
        </w:rPr>
        <w:t xml:space="preserve">; </w:t>
      </w:r>
      <w:r w:rsidR="001D192B">
        <w:rPr>
          <w:lang w:val="en-AU"/>
        </w:rPr>
        <w:t>include disability related barriers and entry points;</w:t>
      </w:r>
      <w:r w:rsidR="001D192B" w:rsidRPr="00B31D9E">
        <w:rPr>
          <w:lang w:val="en-AU"/>
        </w:rPr>
        <w:t xml:space="preserve"> </w:t>
      </w:r>
      <w:r w:rsidR="001D192B">
        <w:rPr>
          <w:lang w:val="en-AU"/>
        </w:rPr>
        <w:t>i</w:t>
      </w:r>
      <w:r w:rsidR="001D192B" w:rsidRPr="00B31D9E">
        <w:rPr>
          <w:lang w:val="en-AU"/>
        </w:rPr>
        <w:t>nclude</w:t>
      </w:r>
      <w:r w:rsidRPr="00B31D9E">
        <w:rPr>
          <w:lang w:val="en-AU"/>
        </w:rPr>
        <w:t xml:space="preserve"> a clear time frame and sufficient budget for </w:t>
      </w:r>
      <w:r>
        <w:rPr>
          <w:lang w:val="en-AU"/>
        </w:rPr>
        <w:t xml:space="preserve">in-depth </w:t>
      </w:r>
      <w:r w:rsidRPr="00B31D9E">
        <w:rPr>
          <w:lang w:val="en-AU"/>
        </w:rPr>
        <w:t>analysis to be conducted during the inception phase; and provide flexibility to adapt program outcomes and activities based on the findings of the analysis.</w:t>
      </w:r>
      <w:r w:rsidR="001D192B">
        <w:rPr>
          <w:lang w:val="en-AU"/>
        </w:rPr>
        <w:t xml:space="preserve"> </w:t>
      </w:r>
    </w:p>
    <w:p w14:paraId="28FF0CDF" w14:textId="27A7857F" w:rsidR="00A20DE6" w:rsidRDefault="00A20DE6" w:rsidP="00C1111C">
      <w:pPr>
        <w:spacing w:after="120"/>
        <w:jc w:val="both"/>
        <w:rPr>
          <w:lang w:val="en-AU"/>
        </w:rPr>
      </w:pPr>
      <w:r w:rsidRPr="008370F2">
        <w:rPr>
          <w:lang w:val="en-AU"/>
        </w:rPr>
        <w:t>Over time social norms, relations, power dynamics, and barriers change. Events such as a pandemics, conflict, natural disasters or economic crises can cause gender roles, the interaction of impairments and barriers, and access to social participation to change rapidly or dramatically. As such, longer-term programs undertaking a design update or entering a new phase should review and update their GEDSI analysis to identify whether adjustments in implementation approaches are needed.</w:t>
      </w:r>
      <w:r>
        <w:rPr>
          <w:lang w:val="en-AU"/>
        </w:rPr>
        <w:t xml:space="preserve"> </w:t>
      </w:r>
    </w:p>
    <w:p w14:paraId="445B3A19" w14:textId="130F0436" w:rsidR="00A20DE6" w:rsidRDefault="00A20DE6" w:rsidP="00F6196B">
      <w:pPr>
        <w:jc w:val="both"/>
        <w:rPr>
          <w:lang w:val="en-AU"/>
        </w:rPr>
      </w:pPr>
      <w:r>
        <w:rPr>
          <w:lang w:val="en-AU"/>
        </w:rPr>
        <w:t xml:space="preserve">GEDSI analysis can draw on either secondary data sources </w:t>
      </w:r>
      <w:r w:rsidRPr="00FF5D5F">
        <w:rPr>
          <w:lang w:val="en-AU"/>
        </w:rPr>
        <w:t xml:space="preserve">(e.g., existing gender </w:t>
      </w:r>
      <w:r w:rsidR="002763B2">
        <w:rPr>
          <w:lang w:val="en-AU"/>
        </w:rPr>
        <w:t xml:space="preserve">and disability </w:t>
      </w:r>
      <w:r w:rsidRPr="00FF5D5F">
        <w:rPr>
          <w:lang w:val="en-AU"/>
        </w:rPr>
        <w:t>analyses and published research and data)</w:t>
      </w:r>
      <w:r>
        <w:rPr>
          <w:lang w:val="en-AU"/>
        </w:rPr>
        <w:t xml:space="preserve"> or both primary </w:t>
      </w:r>
      <w:r w:rsidRPr="00FF5D5F">
        <w:rPr>
          <w:lang w:val="en-AU"/>
        </w:rPr>
        <w:t>(</w:t>
      </w:r>
      <w:r w:rsidR="00E01D19" w:rsidRPr="00FF5D5F">
        <w:rPr>
          <w:lang w:val="en-AU"/>
        </w:rPr>
        <w:t>e.g.,</w:t>
      </w:r>
      <w:r w:rsidRPr="00FF5D5F">
        <w:rPr>
          <w:lang w:val="en-AU"/>
        </w:rPr>
        <w:t xml:space="preserve"> key informant interviews</w:t>
      </w:r>
      <w:r>
        <w:rPr>
          <w:lang w:val="en-AU"/>
        </w:rPr>
        <w:t>,</w:t>
      </w:r>
      <w:r w:rsidRPr="00FF5D5F">
        <w:rPr>
          <w:lang w:val="en-AU"/>
        </w:rPr>
        <w:t xml:space="preserve"> focus group discussions</w:t>
      </w:r>
      <w:r>
        <w:rPr>
          <w:lang w:val="en-AU"/>
        </w:rPr>
        <w:t>,</w:t>
      </w:r>
      <w:r w:rsidRPr="00FF5D5F">
        <w:rPr>
          <w:lang w:val="en-AU"/>
        </w:rPr>
        <w:t xml:space="preserve"> surveys)</w:t>
      </w:r>
      <w:r>
        <w:rPr>
          <w:lang w:val="en-AU"/>
        </w:rPr>
        <w:t xml:space="preserve"> and secondary data sources. While quality analysis should use </w:t>
      </w:r>
      <w:r w:rsidRPr="00FF5D5F">
        <w:rPr>
          <w:lang w:val="en-AU"/>
        </w:rPr>
        <w:t xml:space="preserve">both secondary </w:t>
      </w:r>
      <w:r>
        <w:rPr>
          <w:lang w:val="en-AU"/>
        </w:rPr>
        <w:t xml:space="preserve">and </w:t>
      </w:r>
      <w:r w:rsidRPr="00FF5D5F">
        <w:rPr>
          <w:lang w:val="en-AU"/>
        </w:rPr>
        <w:t>primary sources</w:t>
      </w:r>
      <w:r>
        <w:rPr>
          <w:lang w:val="en-AU"/>
        </w:rPr>
        <w:t xml:space="preserve">, </w:t>
      </w:r>
      <w:r w:rsidRPr="00FF5D5F">
        <w:rPr>
          <w:lang w:val="en-AU"/>
        </w:rPr>
        <w:t xml:space="preserve">secondary </w:t>
      </w:r>
      <w:r>
        <w:rPr>
          <w:lang w:val="en-AU"/>
        </w:rPr>
        <w:t xml:space="preserve">research is sufficient where existing </w:t>
      </w:r>
      <w:r w:rsidRPr="008370F2">
        <w:rPr>
          <w:lang w:val="en-AU"/>
        </w:rPr>
        <w:t xml:space="preserve">analysis is: less than three years old; takes an intersectional approach; and explores norms, relations and power dynamics, impairments and barriers within the relevant geographic context </w:t>
      </w:r>
      <w:r w:rsidRPr="008370F2">
        <w:rPr>
          <w:i/>
          <w:iCs/>
          <w:lang w:val="en-AU"/>
        </w:rPr>
        <w:t>and</w:t>
      </w:r>
      <w:r w:rsidRPr="008370F2">
        <w:rPr>
          <w:lang w:val="en-AU"/>
        </w:rPr>
        <w:t xml:space="preserve"> sector. In cases where directly relevant and current GEDSI analysis exists, this can be annexed to the design. However, if secondary data is limited, is older than three years, or was undertaken in a different geographic context or sector, primary research is required to inform program design.</w:t>
      </w:r>
      <w:r w:rsidRPr="00FF5D5F">
        <w:rPr>
          <w:lang w:val="en-AU"/>
        </w:rPr>
        <w:t xml:space="preserve"> </w:t>
      </w:r>
      <w:r w:rsidR="00552D03">
        <w:rPr>
          <w:lang w:val="en-AU"/>
        </w:rPr>
        <w:t xml:space="preserve">If data is only available in relation to gender, rather than disability or other social inequities, </w:t>
      </w:r>
      <w:r w:rsidR="00A27F18">
        <w:rPr>
          <w:lang w:val="en-AU"/>
        </w:rPr>
        <w:t>this should be noted and addressed.</w:t>
      </w:r>
    </w:p>
    <w:p w14:paraId="5CE127B5" w14:textId="77777777" w:rsidR="00A20DE6" w:rsidRDefault="00A20DE6" w:rsidP="00F6196B">
      <w:pPr>
        <w:jc w:val="both"/>
        <w:rPr>
          <w:lang w:val="en-AU"/>
        </w:rPr>
      </w:pPr>
    </w:p>
    <w:p w14:paraId="3C64ADFF" w14:textId="24F39881" w:rsidR="00A20DE6" w:rsidRDefault="00A20DE6" w:rsidP="00905D93">
      <w:pPr>
        <w:jc w:val="both"/>
        <w:rPr>
          <w:lang w:val="en-AU"/>
        </w:rPr>
      </w:pPr>
      <w:r>
        <w:rPr>
          <w:lang w:val="en-AU"/>
        </w:rPr>
        <w:t xml:space="preserve">While </w:t>
      </w:r>
      <w:hyperlink r:id="rId24" w:history="1">
        <w:r w:rsidRPr="00B06A77">
          <w:rPr>
            <w:rStyle w:val="Hyperlink"/>
            <w:rFonts w:cstheme="minorBidi"/>
            <w:color w:val="495965" w:themeColor="text2"/>
            <w:lang w:val="en-AU"/>
          </w:rPr>
          <w:t>humanitarian and disaster assistance investments of less than 12 months duration</w:t>
        </w:r>
        <w:r w:rsidRPr="00B06A77">
          <w:rPr>
            <w:rStyle w:val="Hyperlink"/>
            <w:rFonts w:cstheme="minorBidi"/>
            <w:color w:val="495965" w:themeColor="text2"/>
          </w:rPr>
          <w:t xml:space="preserve"> </w:t>
        </w:r>
        <w:r w:rsidRPr="00B06A77">
          <w:rPr>
            <w:rStyle w:val="Hyperlink"/>
            <w:rFonts w:cstheme="minorBidi"/>
            <w:color w:val="495965" w:themeColor="text2"/>
            <w:lang w:val="en-AU"/>
          </w:rPr>
          <w:t xml:space="preserve">are exempt from the design </w:t>
        </w:r>
        <w:r w:rsidR="003C7CE7" w:rsidRPr="00B06A77">
          <w:rPr>
            <w:rStyle w:val="Hyperlink"/>
            <w:rFonts w:cstheme="minorBidi"/>
            <w:color w:val="495965" w:themeColor="text2"/>
            <w:lang w:val="en-AU"/>
          </w:rPr>
          <w:t xml:space="preserve">gender </w:t>
        </w:r>
        <w:r w:rsidRPr="00B06A77">
          <w:rPr>
            <w:rStyle w:val="Hyperlink"/>
            <w:rFonts w:cstheme="minorBidi"/>
            <w:color w:val="495965" w:themeColor="text2"/>
            <w:lang w:val="en-AU"/>
          </w:rPr>
          <w:t>analysis requirement</w:t>
        </w:r>
      </w:hyperlink>
      <w:r w:rsidRPr="00B06A77">
        <w:rPr>
          <w:lang w:val="en-AU"/>
        </w:rPr>
        <w:t xml:space="preserve">, </w:t>
      </w:r>
      <w:r>
        <w:rPr>
          <w:lang w:val="en-AU"/>
        </w:rPr>
        <w:t xml:space="preserve">GEDSI analysis is required for humanitarian investments of more than 12 </w:t>
      </w:r>
      <w:r w:rsidRPr="00A72C94">
        <w:rPr>
          <w:lang w:val="en-AU"/>
        </w:rPr>
        <w:t>months</w:t>
      </w:r>
      <w:r>
        <w:rPr>
          <w:lang w:val="en-AU"/>
        </w:rPr>
        <w:t>.</w:t>
      </w:r>
    </w:p>
    <w:p w14:paraId="39C4AF5D" w14:textId="77777777" w:rsidR="00A20DE6" w:rsidRPr="00905D93" w:rsidRDefault="00A20DE6" w:rsidP="00905D93">
      <w:pPr>
        <w:jc w:val="both"/>
        <w:rPr>
          <w:lang w:val="en-AU"/>
        </w:rPr>
      </w:pPr>
    </w:p>
    <w:p w14:paraId="66DC4749" w14:textId="17A4A501" w:rsidR="00A20DE6" w:rsidRDefault="00A20DE6" w:rsidP="00905D93">
      <w:pPr>
        <w:jc w:val="both"/>
        <w:rPr>
          <w:lang w:val="en-AU"/>
        </w:rPr>
      </w:pPr>
      <w:r>
        <w:rPr>
          <w:lang w:val="en-AU"/>
        </w:rPr>
        <w:t>The decision tree below guides investment managers on the expected approach to GEDSI analysis.</w:t>
      </w:r>
    </w:p>
    <w:p w14:paraId="35199C4A" w14:textId="203C17AB" w:rsidR="00A20DE6" w:rsidRDefault="00A20DE6" w:rsidP="00062828">
      <w:pPr>
        <w:suppressAutoHyphens w:val="0"/>
        <w:spacing w:after="120" w:line="440" w:lineRule="atLeast"/>
        <w:rPr>
          <w:b/>
          <w:bCs/>
          <w:lang w:val="en-AU"/>
        </w:rPr>
        <w:sectPr w:rsidR="00A20DE6" w:rsidSect="000F5206">
          <w:headerReference w:type="default" r:id="rId25"/>
          <w:footerReference w:type="default" r:id="rId26"/>
          <w:pgSz w:w="11906" w:h="16838" w:code="9"/>
          <w:pgMar w:top="1106" w:right="1077" w:bottom="1155" w:left="1077" w:header="425" w:footer="0" w:gutter="0"/>
          <w:cols w:space="397"/>
          <w:docGrid w:linePitch="360"/>
        </w:sectPr>
      </w:pPr>
    </w:p>
    <w:p w14:paraId="5223DC88" w14:textId="55703F78" w:rsidR="00A20DE6" w:rsidRPr="007F6355" w:rsidRDefault="00A20DE6" w:rsidP="00062828">
      <w:pPr>
        <w:suppressAutoHyphens w:val="0"/>
        <w:spacing w:after="120" w:line="440" w:lineRule="atLeast"/>
        <w:rPr>
          <w:b/>
          <w:bCs/>
          <w:sz w:val="24"/>
          <w:szCs w:val="24"/>
          <w:lang w:val="en-AU"/>
        </w:rPr>
      </w:pPr>
      <w:r w:rsidRPr="002A5005">
        <w:rPr>
          <w:b/>
          <w:bCs/>
          <w:sz w:val="24"/>
          <w:szCs w:val="24"/>
          <w:lang w:val="en-AU"/>
        </w:rPr>
        <w:lastRenderedPageBreak/>
        <w:t>GEDSI Analysis Decision Tree</w:t>
      </w:r>
      <w:r>
        <w:rPr>
          <w:b/>
          <w:bCs/>
          <w:sz w:val="24"/>
          <w:szCs w:val="24"/>
          <w:lang w:val="en-AU"/>
        </w:rPr>
        <w:br/>
      </w:r>
      <w:r>
        <w:rPr>
          <w:b/>
          <w:bCs/>
          <w:noProof/>
          <w:sz w:val="24"/>
          <w:szCs w:val="24"/>
          <w:lang w:val="en-AU"/>
        </w:rPr>
        <w:drawing>
          <wp:inline distT="0" distB="0" distL="0" distR="0" wp14:anchorId="072EC2E7" wp14:editId="011D2064">
            <wp:extent cx="8414426" cy="5946061"/>
            <wp:effectExtent l="0" t="0" r="0" b="0"/>
            <wp:docPr id="770212483" name="Picture 3" descr="Flow chart on GEDSI decision analysis&#10;&#10;Question: Is this a new investment valued at $3 million and over?&#10;&#10;If No -  GEDSI analysis is not required. Investments under $3 million are not required to conduct a gender analysis, though it is recommended.&#10;&#10;If Yes - GEDSI analysis is required.&#10;Investments are required to conduct a gender analysis as part of the design process, and findings from the analysis must be used to inform the design.&#10;&#10;Question: Is there existing GEDSI analysis available that: is no more than three years old; is specific to the geographic context and sector; and which meets the key features of good practice GEDSI analysis?&#10;&#10;If yes - Further GEDSI analysis is not required. Existing GEDSI analysis must be annexed to the design and must inform the design narrative throughout including the: context and justification, theory of change, risk assessment, monitoring, and evaluation framework.&#10;&#10;If No - GEDSI analysis is required. GEDSI analysis must be carried out as part of the investment design process. The analysis must be specific to the geographic context and sector; and meet the key features of good practice GEDSI analysis. The analysis should be annexed to the design.&#10;If in-depth GEDSI analysis is not possible during design, the design document must: draw on existing information to clearly articulate the main gender inequities to be addressed by the investment (and attach as an annex to the design); include a clear time frame and sufficient budget for the GEDSI analysis to be conducted during the inception phase; and demonstrate flexibility to adapt program outcomes and activities based on the findings of the analysis.&#10;&#10;&#10;Question: Is the investment undertaking a&#10;design update or entering a second phase?&#10;&#10;If Yes - GEDSI analysis must be updated. Longer-term programs undertaking a design update or entering a new phase should update their GEDSI analysis to account for contextual changes internal/external to the program. Updates should ensure the analysis meets the key features of good practice GEDSI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12483" name="Picture 3" descr="Flow chart on GEDSI decision analysis&#10;&#10;Question: Is this a new investment valued at $3 million and over?&#10;&#10;If No -  GEDSI analysis is not required. Investments under $3 million are not required to conduct a gender analysis, though it is recommended.&#10;&#10;If Yes - GEDSI analysis is required.&#10;Investments are required to conduct a gender analysis as part of the design process, and findings from the analysis must be used to inform the design.&#10;&#10;Question: Is there existing GEDSI analysis available that: is no more than three years old; is specific to the geographic context and sector; and which meets the key features of good practice GEDSI analysis?&#10;&#10;If yes - Further GEDSI analysis is not required. Existing GEDSI analysis must be annexed to the design and must inform the design narrative throughout including the: context and justification, theory of change, risk assessment, monitoring, and evaluation framework.&#10;&#10;If No - GEDSI analysis is required. GEDSI analysis must be carried out as part of the investment design process. The analysis must be specific to the geographic context and sector; and meet the key features of good practice GEDSI analysis. The analysis should be annexed to the design.&#10;If in-depth GEDSI analysis is not possible during design, the design document must: draw on existing information to clearly articulate the main gender inequities to be addressed by the investment (and attach as an annex to the design); include a clear time frame and sufficient budget for the GEDSI analysis to be conducted during the inception phase; and demonstrate flexibility to adapt program outcomes and activities based on the findings of the analysis.&#10;&#10;&#10;Question: Is the investment undertaking a&#10;design update or entering a second phase?&#10;&#10;If Yes - GEDSI analysis must be updated. Longer-term programs undertaking a design update or entering a new phase should update their GEDSI analysis to account for contextual changes internal/external to the program. Updates should ensure the analysis meets the key features of good practice GEDSI analysis."/>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8414426" cy="5946061"/>
                    </a:xfrm>
                    <a:prstGeom prst="rect">
                      <a:avLst/>
                    </a:prstGeom>
                    <a:noFill/>
                  </pic:spPr>
                </pic:pic>
              </a:graphicData>
            </a:graphic>
          </wp:inline>
        </w:drawing>
      </w:r>
    </w:p>
    <w:p w14:paraId="2FC29895" w14:textId="2B592D74" w:rsidR="00A20DE6" w:rsidRDefault="00A20DE6" w:rsidP="00062828">
      <w:pPr>
        <w:suppressAutoHyphens w:val="0"/>
        <w:spacing w:after="120" w:line="440" w:lineRule="atLeast"/>
        <w:rPr>
          <w:b/>
          <w:bCs/>
          <w:lang w:val="en-AU"/>
        </w:rPr>
        <w:sectPr w:rsidR="00A20DE6" w:rsidSect="007F6355">
          <w:headerReference w:type="default" r:id="rId28"/>
          <w:pgSz w:w="16838" w:h="11906" w:orient="landscape" w:code="9"/>
          <w:pgMar w:top="720" w:right="720" w:bottom="720" w:left="720" w:header="425" w:footer="0" w:gutter="0"/>
          <w:cols w:space="397"/>
          <w:docGrid w:linePitch="360"/>
        </w:sectPr>
      </w:pPr>
    </w:p>
    <w:p w14:paraId="6F3668AA" w14:textId="614FF60B" w:rsidR="00A20DE6" w:rsidRPr="0033144C" w:rsidRDefault="00A20DE6" w:rsidP="0017148F">
      <w:pPr>
        <w:pStyle w:val="Heading3"/>
      </w:pPr>
      <w:r>
        <w:lastRenderedPageBreak/>
        <w:t>STEP 2 – METHODOLOGY</w:t>
      </w:r>
    </w:p>
    <w:p w14:paraId="490277DA" w14:textId="57C95076" w:rsidR="00A20DE6" w:rsidRDefault="00A20DE6" w:rsidP="00D47BB9">
      <w:pPr>
        <w:spacing w:line="238" w:lineRule="auto"/>
        <w:jc w:val="both"/>
        <w:rPr>
          <w:lang w:val="en-AU"/>
        </w:rPr>
      </w:pPr>
      <w:r w:rsidRPr="00BB0BF0">
        <w:rPr>
          <w:lang w:val="en-AU"/>
        </w:rPr>
        <w:t xml:space="preserve">Although the methodology </w:t>
      </w:r>
      <w:r>
        <w:rPr>
          <w:lang w:val="en-AU"/>
        </w:rPr>
        <w:t>depends</w:t>
      </w:r>
      <w:r w:rsidRPr="00BB0BF0">
        <w:rPr>
          <w:lang w:val="en-AU"/>
        </w:rPr>
        <w:t xml:space="preserve"> on the scope of the analysis, the</w:t>
      </w:r>
      <w:r>
        <w:rPr>
          <w:lang w:val="en-AU"/>
        </w:rPr>
        <w:t xml:space="preserve"> below</w:t>
      </w:r>
      <w:r w:rsidRPr="00BB0BF0">
        <w:rPr>
          <w:lang w:val="en-AU"/>
        </w:rPr>
        <w:t xml:space="preserve"> principles ensur</w:t>
      </w:r>
      <w:r>
        <w:rPr>
          <w:lang w:val="en-AU"/>
        </w:rPr>
        <w:t>e</w:t>
      </w:r>
      <w:r w:rsidRPr="00BB0BF0">
        <w:rPr>
          <w:lang w:val="en-AU"/>
        </w:rPr>
        <w:t xml:space="preserve"> that</w:t>
      </w:r>
      <w:r>
        <w:rPr>
          <w:lang w:val="en-AU"/>
        </w:rPr>
        <w:t xml:space="preserve"> all GEDSI </w:t>
      </w:r>
      <w:r w:rsidRPr="002419AA">
        <w:rPr>
          <w:lang w:val="en-AU"/>
        </w:rPr>
        <w:t>analysis is high quality, evidence-based and sufficient</w:t>
      </w:r>
      <w:r>
        <w:rPr>
          <w:lang w:val="en-AU"/>
        </w:rPr>
        <w:t>ly comprehensive</w:t>
      </w:r>
      <w:r w:rsidRPr="002419AA">
        <w:rPr>
          <w:lang w:val="en-AU"/>
        </w:rPr>
        <w:t xml:space="preserve"> to inform investment design:</w:t>
      </w:r>
      <w:r w:rsidRPr="00BB0BF0">
        <w:rPr>
          <w:lang w:val="en-AU"/>
        </w:rPr>
        <w:t xml:space="preserve"> </w:t>
      </w:r>
    </w:p>
    <w:p w14:paraId="61209508" w14:textId="2731B914" w:rsidR="00F34E28" w:rsidRDefault="0032240D" w:rsidP="00D47BB9">
      <w:pPr>
        <w:spacing w:line="238" w:lineRule="auto"/>
        <w:jc w:val="both"/>
        <w:rPr>
          <w:lang w:val="en-AU"/>
        </w:rPr>
      </w:pPr>
      <w:r>
        <w:rPr>
          <w:rFonts w:cstheme="minorHAnsi"/>
          <w:b/>
          <w:bCs/>
          <w:noProof/>
        </w:rPr>
        <w:drawing>
          <wp:anchor distT="0" distB="0" distL="114300" distR="114300" simplePos="0" relativeHeight="251732992" behindDoc="0" locked="0" layoutInCell="1" allowOverlap="1" wp14:anchorId="2200EF08" wp14:editId="6D614CB4">
            <wp:simplePos x="0" y="0"/>
            <wp:positionH relativeFrom="column">
              <wp:posOffset>-635</wp:posOffset>
            </wp:positionH>
            <wp:positionV relativeFrom="paragraph">
              <wp:posOffset>165100</wp:posOffset>
            </wp:positionV>
            <wp:extent cx="1056640" cy="1056640"/>
            <wp:effectExtent l="0" t="0" r="0" b="0"/>
            <wp:wrapSquare wrapText="bothSides"/>
            <wp:docPr id="183976832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68321" name="Picture 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56640" cy="1056640"/>
                    </a:xfrm>
                    <a:prstGeom prst="rect">
                      <a:avLst/>
                    </a:prstGeom>
                  </pic:spPr>
                </pic:pic>
              </a:graphicData>
            </a:graphic>
            <wp14:sizeRelH relativeFrom="page">
              <wp14:pctWidth>0</wp14:pctWidth>
            </wp14:sizeRelH>
            <wp14:sizeRelV relativeFrom="page">
              <wp14:pctHeight>0</wp14:pctHeight>
            </wp14:sizeRelV>
          </wp:anchor>
        </w:drawing>
      </w:r>
    </w:p>
    <w:p w14:paraId="3F9AB1FB" w14:textId="37934102" w:rsidR="00F34E28" w:rsidRDefault="00F34E28" w:rsidP="0032240D">
      <w:pPr>
        <w:spacing w:after="120" w:line="238" w:lineRule="auto"/>
        <w:ind w:left="1985"/>
        <w:jc w:val="both"/>
        <w:rPr>
          <w:rFonts w:cstheme="minorHAnsi"/>
        </w:rPr>
      </w:pPr>
      <w:r w:rsidRPr="00683298">
        <w:rPr>
          <w:rFonts w:cstheme="minorHAnsi"/>
          <w:b/>
          <w:bCs/>
        </w:rPr>
        <w:t xml:space="preserve">Recognises and provides </w:t>
      </w:r>
      <w:r>
        <w:rPr>
          <w:rFonts w:cstheme="minorHAnsi"/>
          <w:b/>
          <w:bCs/>
        </w:rPr>
        <w:t xml:space="preserve">accessibility and </w:t>
      </w:r>
      <w:r w:rsidRPr="00683298">
        <w:rPr>
          <w:rFonts w:cstheme="minorHAnsi"/>
          <w:b/>
          <w:bCs/>
        </w:rPr>
        <w:t xml:space="preserve">reasonable accommodations. </w:t>
      </w:r>
      <w:r w:rsidRPr="00384D11">
        <w:rPr>
          <w:rFonts w:cstheme="minorHAnsi"/>
        </w:rPr>
        <w:t>Accessib</w:t>
      </w:r>
      <w:r>
        <w:rPr>
          <w:rFonts w:cstheme="minorHAnsi"/>
        </w:rPr>
        <w:t xml:space="preserve">ility refers to measures that </w:t>
      </w:r>
      <w:r w:rsidRPr="0063035F">
        <w:rPr>
          <w:rFonts w:cstheme="minorHAnsi"/>
        </w:rPr>
        <w:t>aim to target a</w:t>
      </w:r>
      <w:r>
        <w:rPr>
          <w:rFonts w:cstheme="minorHAnsi"/>
        </w:rPr>
        <w:t xml:space="preserve"> </w:t>
      </w:r>
      <w:r w:rsidRPr="0063035F">
        <w:rPr>
          <w:rFonts w:cstheme="minorHAnsi"/>
        </w:rPr>
        <w:t xml:space="preserve">wide a range of needs. </w:t>
      </w:r>
      <w:r w:rsidRPr="00683298">
        <w:rPr>
          <w:rFonts w:cstheme="minorHAnsi"/>
        </w:rPr>
        <w:t>Reasonable accommodation is the</w:t>
      </w:r>
      <w:r>
        <w:rPr>
          <w:rFonts w:cstheme="minorHAnsi"/>
        </w:rPr>
        <w:t xml:space="preserve"> tailored</w:t>
      </w:r>
      <w:r w:rsidRPr="00683298">
        <w:rPr>
          <w:rFonts w:cstheme="minorHAnsi"/>
        </w:rPr>
        <w:t xml:space="preserve"> provision of support, modifications and/or adjustments that meet the needs of </w:t>
      </w:r>
      <w:r>
        <w:rPr>
          <w:rFonts w:cstheme="minorHAnsi"/>
        </w:rPr>
        <w:t xml:space="preserve">individuals </w:t>
      </w:r>
      <w:r w:rsidRPr="00683298">
        <w:rPr>
          <w:rFonts w:cstheme="minorHAnsi"/>
        </w:rPr>
        <w:t>with disabilities to ensure they enjoy and exercise all human rights and fundamental freedoms on an equal basis to others</w:t>
      </w:r>
      <w:r>
        <w:rPr>
          <w:rFonts w:cstheme="minorHAnsi"/>
        </w:rPr>
        <w:t xml:space="preserve">. </w:t>
      </w:r>
      <w:r w:rsidRPr="00683298">
        <w:rPr>
          <w:rFonts w:cstheme="minorHAnsi"/>
        </w:rPr>
        <w:t>Good GEDSI analysis</w:t>
      </w:r>
      <w:r>
        <w:rPr>
          <w:rFonts w:cstheme="minorHAnsi"/>
        </w:rPr>
        <w:t xml:space="preserve"> seeks to provide accessibility and </w:t>
      </w:r>
      <w:r w:rsidRPr="00683298">
        <w:rPr>
          <w:rFonts w:cstheme="minorHAnsi"/>
        </w:rPr>
        <w:t>reasonable accommodations to enable the participation of</w:t>
      </w:r>
      <w:r w:rsidRPr="00683298">
        <w:rPr>
          <w:rFonts w:cstheme="minorHAnsi"/>
          <w:b/>
          <w:bCs/>
        </w:rPr>
        <w:t xml:space="preserve"> </w:t>
      </w:r>
      <w:r w:rsidRPr="00683298">
        <w:rPr>
          <w:rFonts w:cstheme="minorHAnsi"/>
        </w:rPr>
        <w:t>people with disabilities</w:t>
      </w:r>
      <w:r>
        <w:rPr>
          <w:rFonts w:cstheme="minorHAnsi"/>
        </w:rPr>
        <w:t xml:space="preserve"> in consultation to inform analysis and implementation</w:t>
      </w:r>
      <w:r w:rsidRPr="00683298">
        <w:rPr>
          <w:rFonts w:cstheme="minorHAnsi"/>
          <w:b/>
          <w:bCs/>
        </w:rPr>
        <w:t>.</w:t>
      </w:r>
      <w:r w:rsidRPr="00683298">
        <w:rPr>
          <w:rFonts w:cstheme="minorHAnsi"/>
        </w:rPr>
        <w:t xml:space="preserve"> </w:t>
      </w:r>
      <w:r>
        <w:rPr>
          <w:rFonts w:cstheme="minorHAnsi"/>
        </w:rPr>
        <w:t>Accessibility measures include using accessible meeting venues and documents in accessible formats</w:t>
      </w:r>
      <w:r w:rsidRPr="00683298">
        <w:rPr>
          <w:rFonts w:cstheme="minorHAnsi"/>
          <w:vertAlign w:val="superscript"/>
        </w:rPr>
        <w:footnoteReference w:id="7"/>
      </w:r>
      <w:r>
        <w:rPr>
          <w:rFonts w:cstheme="minorHAnsi"/>
        </w:rPr>
        <w:t>, and r</w:t>
      </w:r>
      <w:r w:rsidRPr="00683298">
        <w:rPr>
          <w:rFonts w:cstheme="minorHAnsi"/>
        </w:rPr>
        <w:t xml:space="preserve">easonable accommodation </w:t>
      </w:r>
      <w:r>
        <w:rPr>
          <w:rFonts w:cstheme="minorHAnsi"/>
        </w:rPr>
        <w:t>may</w:t>
      </w:r>
      <w:r w:rsidRPr="00683298">
        <w:rPr>
          <w:rFonts w:cstheme="minorHAnsi"/>
        </w:rPr>
        <w:t xml:space="preserve"> include the provision of </w:t>
      </w:r>
      <w:r>
        <w:rPr>
          <w:rFonts w:cstheme="minorHAnsi"/>
        </w:rPr>
        <w:t xml:space="preserve">alternative </w:t>
      </w:r>
      <w:r w:rsidRPr="00683298">
        <w:rPr>
          <w:rFonts w:cstheme="minorHAnsi"/>
        </w:rPr>
        <w:t xml:space="preserve">transportation, </w:t>
      </w:r>
      <w:r>
        <w:rPr>
          <w:rFonts w:cstheme="minorHAnsi"/>
        </w:rPr>
        <w:t xml:space="preserve">support people, and </w:t>
      </w:r>
      <w:r w:rsidRPr="00683298">
        <w:rPr>
          <w:rFonts w:cstheme="minorHAnsi"/>
        </w:rPr>
        <w:t>sign-language interpreters.</w:t>
      </w:r>
    </w:p>
    <w:p w14:paraId="5D0A1366" w14:textId="63D37047" w:rsidR="00A20DE6" w:rsidRDefault="00A20DE6" w:rsidP="00D47BB9">
      <w:pPr>
        <w:spacing w:after="120" w:line="238" w:lineRule="auto"/>
        <w:ind w:left="1985"/>
        <w:jc w:val="both"/>
        <w:rPr>
          <w:lang w:val="en-AU"/>
        </w:rPr>
      </w:pPr>
      <w:r>
        <w:rPr>
          <w:b/>
          <w:bCs/>
          <w:noProof/>
          <w:lang w:val="en-AU"/>
        </w:rPr>
        <w:drawing>
          <wp:anchor distT="0" distB="0" distL="114300" distR="114300" simplePos="0" relativeHeight="251722752" behindDoc="0" locked="0" layoutInCell="1" allowOverlap="1" wp14:anchorId="028983CC" wp14:editId="6A4B8E1B">
            <wp:simplePos x="0" y="0"/>
            <wp:positionH relativeFrom="column">
              <wp:posOffset>-3175</wp:posOffset>
            </wp:positionH>
            <wp:positionV relativeFrom="paragraph">
              <wp:posOffset>40640</wp:posOffset>
            </wp:positionV>
            <wp:extent cx="1074857" cy="1026000"/>
            <wp:effectExtent l="0" t="0" r="5080" b="3175"/>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74857" cy="1026000"/>
                    </a:xfrm>
                    <a:prstGeom prst="rect">
                      <a:avLst/>
                    </a:prstGeom>
                  </pic:spPr>
                </pic:pic>
              </a:graphicData>
            </a:graphic>
            <wp14:sizeRelH relativeFrom="page">
              <wp14:pctWidth>0</wp14:pctWidth>
            </wp14:sizeRelH>
            <wp14:sizeRelV relativeFrom="page">
              <wp14:pctHeight>0</wp14:pctHeight>
            </wp14:sizeRelV>
          </wp:anchor>
        </w:drawing>
      </w:r>
      <w:r w:rsidRPr="00DB4858">
        <w:rPr>
          <w:b/>
          <w:bCs/>
          <w:lang w:val="en-AU"/>
        </w:rPr>
        <w:t xml:space="preserve">Makes visible the </w:t>
      </w:r>
      <w:r>
        <w:rPr>
          <w:b/>
          <w:bCs/>
          <w:lang w:val="en-AU"/>
        </w:rPr>
        <w:t xml:space="preserve">inequities </w:t>
      </w:r>
      <w:r w:rsidRPr="00DB4858">
        <w:rPr>
          <w:b/>
          <w:bCs/>
          <w:lang w:val="en-AU"/>
        </w:rPr>
        <w:t>and</w:t>
      </w:r>
      <w:r>
        <w:rPr>
          <w:b/>
          <w:bCs/>
          <w:lang w:val="en-AU"/>
        </w:rPr>
        <w:t xml:space="preserve"> identifies opportunities </w:t>
      </w:r>
      <w:r w:rsidRPr="00DB4858">
        <w:rPr>
          <w:b/>
          <w:bCs/>
          <w:lang w:val="en-AU"/>
        </w:rPr>
        <w:t xml:space="preserve">to transform power </w:t>
      </w:r>
      <w:r>
        <w:rPr>
          <w:b/>
          <w:bCs/>
          <w:lang w:val="en-AU"/>
        </w:rPr>
        <w:t>imbalances</w:t>
      </w:r>
      <w:r w:rsidRPr="00DB4858">
        <w:rPr>
          <w:b/>
          <w:bCs/>
          <w:lang w:val="en-AU"/>
        </w:rPr>
        <w:t xml:space="preserve">. </w:t>
      </w:r>
      <w:r w:rsidRPr="00DB4858">
        <w:rPr>
          <w:lang w:val="en-AU"/>
        </w:rPr>
        <w:t xml:space="preserve">Good GEDSI analysis collects data that highlights </w:t>
      </w:r>
      <w:r>
        <w:rPr>
          <w:lang w:val="en-AU"/>
        </w:rPr>
        <w:t xml:space="preserve">how </w:t>
      </w:r>
      <w:r w:rsidRPr="00DB4858">
        <w:rPr>
          <w:lang w:val="en-AU"/>
        </w:rPr>
        <w:t xml:space="preserve">women, men, girls, boys, </w:t>
      </w:r>
      <w:r w:rsidR="00F34E28">
        <w:rPr>
          <w:lang w:val="en-AU"/>
        </w:rPr>
        <w:t>people with disabilities,</w:t>
      </w:r>
      <w:r w:rsidR="00F34E28" w:rsidRPr="00DB4858">
        <w:rPr>
          <w:lang w:val="en-AU"/>
        </w:rPr>
        <w:t xml:space="preserve"> </w:t>
      </w:r>
      <w:r>
        <w:rPr>
          <w:lang w:val="en-AU"/>
        </w:rPr>
        <w:t xml:space="preserve">gender diverse </w:t>
      </w:r>
      <w:r w:rsidRPr="00DB4858">
        <w:rPr>
          <w:lang w:val="en-AU"/>
        </w:rPr>
        <w:t>people</w:t>
      </w:r>
      <w:r>
        <w:rPr>
          <w:lang w:val="en-AU"/>
        </w:rPr>
        <w:t xml:space="preserve"> </w:t>
      </w:r>
      <w:r w:rsidRPr="00DB4858">
        <w:rPr>
          <w:lang w:val="en-AU"/>
        </w:rPr>
        <w:t xml:space="preserve">negotiate </w:t>
      </w:r>
      <w:r>
        <w:rPr>
          <w:lang w:val="en-AU"/>
        </w:rPr>
        <w:t xml:space="preserve">the </w:t>
      </w:r>
      <w:r w:rsidRPr="00DB4858">
        <w:rPr>
          <w:lang w:val="en-AU"/>
        </w:rPr>
        <w:t>social norms, relations</w:t>
      </w:r>
      <w:r w:rsidR="00F34E28">
        <w:rPr>
          <w:lang w:val="en-AU"/>
        </w:rPr>
        <w:t>, barriers</w:t>
      </w:r>
      <w:r w:rsidRPr="00DB4858">
        <w:rPr>
          <w:lang w:val="en-AU"/>
        </w:rPr>
        <w:t xml:space="preserve"> and power dynamics that influence their lives. It provides critical analysis across these </w:t>
      </w:r>
      <w:r w:rsidRPr="00A72C94">
        <w:rPr>
          <w:lang w:val="en-AU"/>
        </w:rPr>
        <w:t xml:space="preserve">areas, </w:t>
      </w:r>
      <w:r>
        <w:rPr>
          <w:lang w:val="en-AU"/>
        </w:rPr>
        <w:t xml:space="preserve">and highlights: </w:t>
      </w:r>
      <w:r w:rsidRPr="0071455B">
        <w:rPr>
          <w:lang w:val="en-AU"/>
        </w:rPr>
        <w:t xml:space="preserve">where inequalities exist between </w:t>
      </w:r>
      <w:r>
        <w:rPr>
          <w:lang w:val="en-AU"/>
        </w:rPr>
        <w:t xml:space="preserve">different social groups; </w:t>
      </w:r>
      <w:r w:rsidRPr="0071455B">
        <w:rPr>
          <w:lang w:val="en-AU"/>
        </w:rPr>
        <w:t>why these disparities exist</w:t>
      </w:r>
      <w:r>
        <w:rPr>
          <w:lang w:val="en-AU"/>
        </w:rPr>
        <w:t>;</w:t>
      </w:r>
      <w:r w:rsidRPr="0071455B">
        <w:rPr>
          <w:lang w:val="en-AU"/>
        </w:rPr>
        <w:t xml:space="preserve"> potential barriers for </w:t>
      </w:r>
      <w:r>
        <w:rPr>
          <w:lang w:val="en-AU"/>
        </w:rPr>
        <w:t>different social groups</w:t>
      </w:r>
      <w:r w:rsidRPr="0071455B">
        <w:rPr>
          <w:lang w:val="en-AU"/>
        </w:rPr>
        <w:t xml:space="preserve"> in benefitting from the investment</w:t>
      </w:r>
      <w:r w:rsidR="004B2BB1">
        <w:rPr>
          <w:lang w:val="en-AU"/>
        </w:rPr>
        <w:t>;</w:t>
      </w:r>
      <w:r w:rsidRPr="0071455B">
        <w:rPr>
          <w:lang w:val="en-AU"/>
        </w:rPr>
        <w:t xml:space="preserve"> and potential solutions to these issues.</w:t>
      </w:r>
    </w:p>
    <w:p w14:paraId="6C3BE56E" w14:textId="3AB5AAEF" w:rsidR="00A20DE6" w:rsidRPr="006318F2" w:rsidRDefault="00A20DE6" w:rsidP="00D47BB9">
      <w:pPr>
        <w:spacing w:after="120" w:line="238" w:lineRule="auto"/>
        <w:ind w:left="1985"/>
        <w:jc w:val="both"/>
        <w:rPr>
          <w:lang w:val="en-AU"/>
        </w:rPr>
      </w:pPr>
      <w:r>
        <w:rPr>
          <w:b/>
          <w:bCs/>
          <w:noProof/>
          <w:lang w:val="en-AU"/>
        </w:rPr>
        <w:drawing>
          <wp:anchor distT="0" distB="0" distL="114300" distR="114300" simplePos="0" relativeHeight="251723776" behindDoc="0" locked="0" layoutInCell="1" allowOverlap="1" wp14:anchorId="066B084B" wp14:editId="4016CD95">
            <wp:simplePos x="0" y="0"/>
            <wp:positionH relativeFrom="column">
              <wp:posOffset>-3175</wp:posOffset>
            </wp:positionH>
            <wp:positionV relativeFrom="paragraph">
              <wp:posOffset>48602</wp:posOffset>
            </wp:positionV>
            <wp:extent cx="1026000" cy="1026000"/>
            <wp:effectExtent l="0" t="0" r="3175" b="3175"/>
            <wp:wrapSquare wrapText="bothSides"/>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page">
              <wp14:pctWidth>0</wp14:pctWidth>
            </wp14:sizeRelH>
            <wp14:sizeRelV relativeFrom="page">
              <wp14:pctHeight>0</wp14:pctHeight>
            </wp14:sizeRelV>
          </wp:anchor>
        </w:drawing>
      </w:r>
      <w:r>
        <w:rPr>
          <w:b/>
          <w:bCs/>
          <w:lang w:val="en-AU"/>
        </w:rPr>
        <w:t>Takes</w:t>
      </w:r>
      <w:r w:rsidRPr="00DF03EF">
        <w:rPr>
          <w:b/>
          <w:bCs/>
          <w:lang w:val="en-AU"/>
        </w:rPr>
        <w:t xml:space="preserve"> a </w:t>
      </w:r>
      <w:r>
        <w:rPr>
          <w:b/>
          <w:bCs/>
          <w:lang w:val="en-AU"/>
        </w:rPr>
        <w:t>‘</w:t>
      </w:r>
      <w:r w:rsidRPr="00DF03EF">
        <w:rPr>
          <w:b/>
          <w:bCs/>
          <w:lang w:val="en-AU"/>
        </w:rPr>
        <w:t>do no harm</w:t>
      </w:r>
      <w:r>
        <w:rPr>
          <w:b/>
          <w:bCs/>
          <w:lang w:val="en-AU"/>
        </w:rPr>
        <w:t>’</w:t>
      </w:r>
      <w:r w:rsidRPr="00DF03EF">
        <w:rPr>
          <w:b/>
          <w:bCs/>
          <w:lang w:val="en-AU"/>
        </w:rPr>
        <w:t xml:space="preserve"> approach.</w:t>
      </w:r>
      <w:r>
        <w:rPr>
          <w:lang w:val="en-AU"/>
        </w:rPr>
        <w:t xml:space="preserve"> Good GEDSI analysis takes a ‘do no harm’ approach and considers </w:t>
      </w:r>
      <w:r w:rsidRPr="008370F2">
        <w:rPr>
          <w:lang w:val="en-AU"/>
        </w:rPr>
        <w:t>the impact (intended and unintended) an investment could have on different social groups. Addressing marginalisation and stigma can generate backlash, which programs must be designed to manage.  It recognises the risks to safety of LGBTQIA+ individuals</w:t>
      </w:r>
      <w:r w:rsidR="00D86287">
        <w:rPr>
          <w:lang w:val="en-AU"/>
        </w:rPr>
        <w:t xml:space="preserve"> </w:t>
      </w:r>
      <w:r w:rsidRPr="008370F2">
        <w:rPr>
          <w:lang w:val="en-AU"/>
        </w:rPr>
        <w:t xml:space="preserve">in countries where they may face additional discrimination and/or lack protections. GEDSI analysis supports social safeguarding by providing an understanding of the specific harms and risks </w:t>
      </w:r>
      <w:r w:rsidR="00583445">
        <w:rPr>
          <w:lang w:val="en-AU"/>
        </w:rPr>
        <w:t xml:space="preserve">experienced by some </w:t>
      </w:r>
      <w:r w:rsidRPr="008370F2">
        <w:rPr>
          <w:lang w:val="en-AU"/>
        </w:rPr>
        <w:t>social groups</w:t>
      </w:r>
      <w:r w:rsidR="00583445">
        <w:rPr>
          <w:lang w:val="en-AU"/>
        </w:rPr>
        <w:t>.</w:t>
      </w:r>
      <w:r w:rsidRPr="008370F2">
        <w:rPr>
          <w:lang w:val="en-AU"/>
        </w:rPr>
        <w:t xml:space="preserve"> </w:t>
      </w:r>
      <w:r w:rsidR="00D86287">
        <w:rPr>
          <w:lang w:val="en-AU"/>
        </w:rPr>
        <w:t>It recognises that for people with disabilities (including cognitive and psychosocial disabilities) there can be additional risks, unintended consequences</w:t>
      </w:r>
      <w:r w:rsidR="00583445">
        <w:rPr>
          <w:lang w:val="en-AU"/>
        </w:rPr>
        <w:t>,</w:t>
      </w:r>
      <w:r w:rsidR="00D86287">
        <w:rPr>
          <w:lang w:val="en-AU"/>
        </w:rPr>
        <w:t xml:space="preserve"> and discrimination</w:t>
      </w:r>
      <w:r w:rsidR="001D192B">
        <w:rPr>
          <w:lang w:val="en-AU"/>
        </w:rPr>
        <w:t>, including denial of legal capacity, forced sterilisation and institutionalisation</w:t>
      </w:r>
      <w:r w:rsidR="00D86287">
        <w:rPr>
          <w:lang w:val="en-AU"/>
        </w:rPr>
        <w:t>. Assessments of r</w:t>
      </w:r>
      <w:r w:rsidRPr="008370F2">
        <w:rPr>
          <w:lang w:val="en-AU"/>
        </w:rPr>
        <w:t xml:space="preserve">isks should consider gender-based violence, child protection risks, sexual exploitation and abuse, and human rights violations and comply with </w:t>
      </w:r>
      <w:hyperlink r:id="rId32" w:history="1">
        <w:r w:rsidRPr="008370F2">
          <w:rPr>
            <w:rStyle w:val="Hyperlink"/>
            <w:rFonts w:cstheme="minorBidi"/>
            <w:color w:val="495965" w:themeColor="text2"/>
            <w:lang w:val="en-AU"/>
          </w:rPr>
          <w:t>DFAT’s Prevention of Sexual Exploitation, Abuse and Harassment (PSEAH)</w:t>
        </w:r>
      </w:hyperlink>
      <w:r w:rsidRPr="008370F2">
        <w:rPr>
          <w:lang w:val="en-AU"/>
        </w:rPr>
        <w:t xml:space="preserve"> and </w:t>
      </w:r>
      <w:hyperlink r:id="rId33" w:history="1">
        <w:r w:rsidRPr="008370F2">
          <w:rPr>
            <w:rStyle w:val="Hyperlink"/>
            <w:rFonts w:cstheme="minorBidi"/>
            <w:color w:val="495965" w:themeColor="text2"/>
            <w:lang w:val="en-AU"/>
          </w:rPr>
          <w:t>Environmental and Social Safeguard</w:t>
        </w:r>
      </w:hyperlink>
      <w:r w:rsidRPr="008370F2">
        <w:rPr>
          <w:lang w:val="en-AU"/>
        </w:rPr>
        <w:t xml:space="preserve"> and </w:t>
      </w:r>
      <w:hyperlink r:id="rId34" w:history="1">
        <w:r w:rsidRPr="008370F2">
          <w:rPr>
            <w:rStyle w:val="Hyperlink"/>
            <w:rFonts w:cstheme="minorBidi"/>
            <w:color w:val="495965" w:themeColor="text2"/>
            <w:lang w:val="en-AU"/>
          </w:rPr>
          <w:t>Child Protection Policies.</w:t>
        </w:r>
      </w:hyperlink>
      <w:r w:rsidRPr="006318F2">
        <w:rPr>
          <w:lang w:val="en-AU"/>
        </w:rPr>
        <w:t xml:space="preserve"> </w:t>
      </w:r>
    </w:p>
    <w:p w14:paraId="6895E958" w14:textId="578244BD" w:rsidR="0032240D" w:rsidRDefault="00A20DE6" w:rsidP="00D47BB9">
      <w:pPr>
        <w:spacing w:after="120" w:line="238" w:lineRule="auto"/>
        <w:ind w:left="1985"/>
        <w:jc w:val="both"/>
        <w:rPr>
          <w:lang w:val="en-AU"/>
        </w:rPr>
      </w:pPr>
      <w:r>
        <w:rPr>
          <w:b/>
          <w:bCs/>
          <w:noProof/>
          <w:lang w:val="en-AU"/>
        </w:rPr>
        <w:drawing>
          <wp:anchor distT="0" distB="0" distL="114300" distR="114300" simplePos="0" relativeHeight="251724800" behindDoc="0" locked="0" layoutInCell="1" allowOverlap="1" wp14:anchorId="4CDFBAC3" wp14:editId="45D99AD4">
            <wp:simplePos x="0" y="0"/>
            <wp:positionH relativeFrom="column">
              <wp:posOffset>-2686</wp:posOffset>
            </wp:positionH>
            <wp:positionV relativeFrom="paragraph">
              <wp:posOffset>81621</wp:posOffset>
            </wp:positionV>
            <wp:extent cx="1026000" cy="1026000"/>
            <wp:effectExtent l="0" t="0" r="3175" b="3175"/>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page">
              <wp14:pctWidth>0</wp14:pctWidth>
            </wp14:sizeRelH>
            <wp14:sizeRelV relativeFrom="page">
              <wp14:pctHeight>0</wp14:pctHeight>
            </wp14:sizeRelV>
          </wp:anchor>
        </w:drawing>
      </w:r>
      <w:r w:rsidRPr="00DB4858">
        <w:rPr>
          <w:b/>
          <w:bCs/>
          <w:lang w:val="en-AU"/>
        </w:rPr>
        <w:t xml:space="preserve">Goes beyond women, men, girls and boys. </w:t>
      </w:r>
      <w:r w:rsidRPr="00DB4858">
        <w:rPr>
          <w:lang w:val="en-AU"/>
        </w:rPr>
        <w:t xml:space="preserve">Good GEDSI analysis goes beyond </w:t>
      </w:r>
      <w:r>
        <w:rPr>
          <w:lang w:val="en-AU"/>
        </w:rPr>
        <w:t>a binary understanding of gender.</w:t>
      </w:r>
      <w:r w:rsidRPr="00DB4858">
        <w:rPr>
          <w:lang w:val="en-AU"/>
        </w:rPr>
        <w:t xml:space="preserve"> </w:t>
      </w:r>
      <w:r>
        <w:rPr>
          <w:lang w:val="en-AU"/>
        </w:rPr>
        <w:t>I</w:t>
      </w:r>
      <w:r w:rsidRPr="00DB4858">
        <w:rPr>
          <w:lang w:val="en-AU"/>
        </w:rPr>
        <w:t>t</w:t>
      </w:r>
      <w:r>
        <w:rPr>
          <w:lang w:val="en-AU"/>
        </w:rPr>
        <w:t xml:space="preserve"> not only </w:t>
      </w:r>
      <w:r w:rsidRPr="00DB4858">
        <w:rPr>
          <w:lang w:val="en-AU"/>
        </w:rPr>
        <w:t xml:space="preserve">asks which men and which women (which girls and which boys) may face barriers </w:t>
      </w:r>
      <w:r>
        <w:rPr>
          <w:lang w:val="en-AU"/>
        </w:rPr>
        <w:t xml:space="preserve">in benefiting from </w:t>
      </w:r>
      <w:r w:rsidRPr="00DB4858">
        <w:rPr>
          <w:lang w:val="en-AU"/>
        </w:rPr>
        <w:t>an investment</w:t>
      </w:r>
      <w:r>
        <w:rPr>
          <w:lang w:val="en-AU"/>
        </w:rPr>
        <w:t xml:space="preserve">, but also </w:t>
      </w:r>
      <w:r w:rsidRPr="00DB4858">
        <w:rPr>
          <w:lang w:val="en-AU"/>
        </w:rPr>
        <w:t xml:space="preserve">includes </w:t>
      </w:r>
      <w:r>
        <w:rPr>
          <w:lang w:val="en-AU"/>
        </w:rPr>
        <w:t xml:space="preserve">gender diverse people and </w:t>
      </w:r>
      <w:r w:rsidRPr="00DB4858">
        <w:rPr>
          <w:lang w:val="en-AU"/>
        </w:rPr>
        <w:t>diverse categories of women, men, boys, girls based on other intersecting forms of discrimination</w:t>
      </w:r>
      <w:r>
        <w:rPr>
          <w:lang w:val="en-AU"/>
        </w:rPr>
        <w:t>.</w:t>
      </w:r>
      <w:r w:rsidRPr="00DB4858">
        <w:rPr>
          <w:lang w:val="en-AU"/>
        </w:rPr>
        <w:t xml:space="preserve"> Good GEDSI analysis looks for differences between </w:t>
      </w:r>
      <w:r>
        <w:rPr>
          <w:lang w:val="en-AU"/>
        </w:rPr>
        <w:t xml:space="preserve">different social </w:t>
      </w:r>
      <w:r w:rsidRPr="00DB4858">
        <w:rPr>
          <w:lang w:val="en-AU"/>
        </w:rPr>
        <w:t>groups</w:t>
      </w:r>
      <w:r>
        <w:rPr>
          <w:lang w:val="en-AU"/>
        </w:rPr>
        <w:t>, seeks to understand these,</w:t>
      </w:r>
      <w:r w:rsidRPr="00DB4858">
        <w:rPr>
          <w:lang w:val="en-AU"/>
        </w:rPr>
        <w:t xml:space="preserve"> and considers how the investment design </w:t>
      </w:r>
      <w:r>
        <w:rPr>
          <w:lang w:val="en-AU"/>
        </w:rPr>
        <w:t>sh</w:t>
      </w:r>
      <w:r w:rsidRPr="00DB4858">
        <w:rPr>
          <w:lang w:val="en-AU"/>
        </w:rPr>
        <w:t xml:space="preserve">ould </w:t>
      </w:r>
      <w:r>
        <w:rPr>
          <w:lang w:val="en-AU"/>
        </w:rPr>
        <w:t>respond</w:t>
      </w:r>
      <w:r w:rsidRPr="00DB4858">
        <w:rPr>
          <w:lang w:val="en-AU"/>
        </w:rPr>
        <w:t xml:space="preserve">. </w:t>
      </w:r>
    </w:p>
    <w:p w14:paraId="3B93DF3A" w14:textId="77777777" w:rsidR="0032240D" w:rsidRDefault="0032240D">
      <w:pPr>
        <w:suppressAutoHyphens w:val="0"/>
        <w:rPr>
          <w:lang w:val="en-AU"/>
        </w:rPr>
      </w:pPr>
      <w:r>
        <w:rPr>
          <w:lang w:val="en-AU"/>
        </w:rPr>
        <w:br w:type="page"/>
      </w:r>
    </w:p>
    <w:p w14:paraId="310D6BAD" w14:textId="7CEF5501" w:rsidR="00A20DE6" w:rsidRPr="00F55188" w:rsidRDefault="00A20DE6" w:rsidP="00D47BB9">
      <w:pPr>
        <w:spacing w:after="120" w:line="238" w:lineRule="auto"/>
        <w:ind w:left="1985"/>
        <w:jc w:val="both"/>
        <w:rPr>
          <w:b/>
          <w:bCs/>
          <w:lang w:val="en-AU"/>
        </w:rPr>
      </w:pPr>
      <w:r>
        <w:rPr>
          <w:b/>
          <w:bCs/>
          <w:noProof/>
          <w:lang w:val="en-AU"/>
        </w:rPr>
        <w:lastRenderedPageBreak/>
        <w:drawing>
          <wp:anchor distT="0" distB="0" distL="114300" distR="114300" simplePos="0" relativeHeight="251725824" behindDoc="0" locked="0" layoutInCell="1" allowOverlap="1" wp14:anchorId="050E951A" wp14:editId="48159EB7">
            <wp:simplePos x="0" y="0"/>
            <wp:positionH relativeFrom="column">
              <wp:posOffset>-23495</wp:posOffset>
            </wp:positionH>
            <wp:positionV relativeFrom="paragraph">
              <wp:posOffset>127586</wp:posOffset>
            </wp:positionV>
            <wp:extent cx="1026000" cy="1026000"/>
            <wp:effectExtent l="0" t="0" r="3175" b="3175"/>
            <wp:wrapSquare wrapText="bothSides"/>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page">
              <wp14:pctWidth>0</wp14:pctWidth>
            </wp14:sizeRelH>
            <wp14:sizeRelV relativeFrom="page">
              <wp14:pctHeight>0</wp14:pctHeight>
            </wp14:sizeRelV>
          </wp:anchor>
        </w:drawing>
      </w:r>
      <w:r w:rsidRPr="00DB4858">
        <w:rPr>
          <w:b/>
          <w:bCs/>
          <w:lang w:val="en-AU"/>
        </w:rPr>
        <w:t>Combines quantitative and qualitative methods.</w:t>
      </w:r>
      <w:r w:rsidRPr="00DB4858">
        <w:rPr>
          <w:lang w:val="en-AU"/>
        </w:rPr>
        <w:t xml:space="preserve"> Good GEDSI analysis is based on two types of data</w:t>
      </w:r>
      <w:r>
        <w:rPr>
          <w:lang w:val="en-AU"/>
        </w:rPr>
        <w:t>: 1)</w:t>
      </w:r>
      <w:r w:rsidRPr="00DB4858">
        <w:rPr>
          <w:lang w:val="en-AU"/>
        </w:rPr>
        <w:t xml:space="preserve"> </w:t>
      </w:r>
      <w:r w:rsidRPr="007C63DE">
        <w:rPr>
          <w:lang w:val="en-AU"/>
        </w:rPr>
        <w:t>quantitative sex, age and disability-disaggregated data</w:t>
      </w:r>
      <w:r>
        <w:rPr>
          <w:lang w:val="en-AU"/>
        </w:rPr>
        <w:t>,</w:t>
      </w:r>
      <w:r w:rsidRPr="007C63DE">
        <w:rPr>
          <w:lang w:val="en-AU"/>
        </w:rPr>
        <w:t xml:space="preserve"> and</w:t>
      </w:r>
      <w:r>
        <w:rPr>
          <w:lang w:val="en-AU"/>
        </w:rPr>
        <w:t xml:space="preserve"> 2)</w:t>
      </w:r>
      <w:r w:rsidRPr="007C63DE">
        <w:rPr>
          <w:lang w:val="en-AU"/>
        </w:rPr>
        <w:t xml:space="preserve"> qualitative</w:t>
      </w:r>
      <w:r w:rsidRPr="00DB4858">
        <w:rPr>
          <w:lang w:val="en-AU"/>
        </w:rPr>
        <w:t xml:space="preserve"> analytical information. Quantitative methods are best suited for generating information on measurable gaps and disparities between </w:t>
      </w:r>
      <w:r>
        <w:rPr>
          <w:lang w:val="en-AU"/>
        </w:rPr>
        <w:t>different groups of people, and</w:t>
      </w:r>
      <w:r w:rsidRPr="00DB4858">
        <w:rPr>
          <w:lang w:val="en-AU"/>
        </w:rPr>
        <w:t xml:space="preserve"> for identifying patterns of inequality. Qualitative methods </w:t>
      </w:r>
      <w:r>
        <w:rPr>
          <w:lang w:val="en-AU"/>
        </w:rPr>
        <w:t>provide</w:t>
      </w:r>
      <w:r w:rsidRPr="00DB4858">
        <w:rPr>
          <w:lang w:val="en-AU"/>
        </w:rPr>
        <w:t xml:space="preserve"> insight into how</w:t>
      </w:r>
      <w:r>
        <w:rPr>
          <w:lang w:val="en-AU"/>
        </w:rPr>
        <w:t xml:space="preserve"> and </w:t>
      </w:r>
      <w:r w:rsidRPr="0009372D">
        <w:rPr>
          <w:i/>
          <w:iCs/>
          <w:lang w:val="en-AU"/>
        </w:rPr>
        <w:t>why</w:t>
      </w:r>
      <w:r w:rsidRPr="00DB4858">
        <w:rPr>
          <w:lang w:val="en-AU"/>
        </w:rPr>
        <w:t xml:space="preserve"> </w:t>
      </w:r>
      <w:r>
        <w:rPr>
          <w:lang w:val="en-AU"/>
        </w:rPr>
        <w:t xml:space="preserve">different groups of people have different </w:t>
      </w:r>
      <w:r w:rsidRPr="00DB4858">
        <w:rPr>
          <w:lang w:val="en-AU"/>
        </w:rPr>
        <w:t>experience</w:t>
      </w:r>
      <w:r>
        <w:rPr>
          <w:lang w:val="en-AU"/>
        </w:rPr>
        <w:t>s</w:t>
      </w:r>
      <w:r w:rsidRPr="00DB4858">
        <w:rPr>
          <w:lang w:val="en-AU"/>
        </w:rPr>
        <w:t xml:space="preserve"> </w:t>
      </w:r>
      <w:r>
        <w:rPr>
          <w:lang w:val="en-AU"/>
        </w:rPr>
        <w:t xml:space="preserve">– </w:t>
      </w:r>
      <w:r w:rsidRPr="00DB4858">
        <w:rPr>
          <w:lang w:val="en-AU"/>
        </w:rPr>
        <w:t>and</w:t>
      </w:r>
      <w:r>
        <w:rPr>
          <w:lang w:val="en-AU"/>
        </w:rPr>
        <w:t xml:space="preserve"> </w:t>
      </w:r>
      <w:r w:rsidRPr="00DB4858">
        <w:rPr>
          <w:lang w:val="en-AU"/>
        </w:rPr>
        <w:t xml:space="preserve">how these affect their capacity to </w:t>
      </w:r>
      <w:r>
        <w:rPr>
          <w:lang w:val="en-AU"/>
        </w:rPr>
        <w:t xml:space="preserve">participate in, influence, and </w:t>
      </w:r>
      <w:r w:rsidRPr="00DB4858">
        <w:rPr>
          <w:lang w:val="en-AU"/>
        </w:rPr>
        <w:t xml:space="preserve">benefit from program activities. Combining quantitative and qualitative methods enhances the </w:t>
      </w:r>
      <w:r w:rsidR="00CC7679">
        <w:rPr>
          <w:lang w:val="en-AU"/>
        </w:rPr>
        <w:t>robustness</w:t>
      </w:r>
      <w:r w:rsidRPr="00DB4858">
        <w:rPr>
          <w:lang w:val="en-AU"/>
        </w:rPr>
        <w:t xml:space="preserve"> of findings.</w:t>
      </w:r>
    </w:p>
    <w:p w14:paraId="2EF6D85C" w14:textId="4B62353E" w:rsidR="00A20DE6" w:rsidRDefault="00A20DE6" w:rsidP="00D47BB9">
      <w:pPr>
        <w:spacing w:after="120" w:line="238" w:lineRule="auto"/>
        <w:ind w:left="1985"/>
        <w:jc w:val="both"/>
        <w:rPr>
          <w:lang w:val="en-AU"/>
        </w:rPr>
      </w:pPr>
      <w:r w:rsidRPr="00683298">
        <w:rPr>
          <w:b/>
          <w:bCs/>
          <w:noProof/>
          <w:lang w:val="en-AU"/>
        </w:rPr>
        <w:drawing>
          <wp:anchor distT="0" distB="0" distL="114300" distR="114300" simplePos="0" relativeHeight="251726848" behindDoc="0" locked="0" layoutInCell="1" allowOverlap="1" wp14:anchorId="244DB2BC" wp14:editId="0076BB4F">
            <wp:simplePos x="0" y="0"/>
            <wp:positionH relativeFrom="column">
              <wp:posOffset>-3175</wp:posOffset>
            </wp:positionH>
            <wp:positionV relativeFrom="paragraph">
              <wp:posOffset>100379</wp:posOffset>
            </wp:positionV>
            <wp:extent cx="1026000" cy="1026000"/>
            <wp:effectExtent l="0" t="0" r="3175" b="3175"/>
            <wp:wrapSquare wrapText="bothSides"/>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26000" cy="1026000"/>
                    </a:xfrm>
                    <a:prstGeom prst="rect">
                      <a:avLst/>
                    </a:prstGeom>
                  </pic:spPr>
                </pic:pic>
              </a:graphicData>
            </a:graphic>
            <wp14:sizeRelH relativeFrom="page">
              <wp14:pctWidth>0</wp14:pctWidth>
            </wp14:sizeRelH>
            <wp14:sizeRelV relativeFrom="page">
              <wp14:pctHeight>0</wp14:pctHeight>
            </wp14:sizeRelV>
          </wp:anchor>
        </w:drawing>
      </w:r>
      <w:r w:rsidRPr="00683298">
        <w:rPr>
          <w:b/>
          <w:bCs/>
          <w:lang w:val="en-AU"/>
        </w:rPr>
        <w:t xml:space="preserve">Uses participatory approaches. </w:t>
      </w:r>
      <w:r w:rsidRPr="00683298">
        <w:rPr>
          <w:lang w:val="en-AU"/>
        </w:rPr>
        <w:t xml:space="preserve">Good GEDSI analysis requires that different groups </w:t>
      </w:r>
      <w:r w:rsidR="00CC7679">
        <w:rPr>
          <w:lang w:val="en-AU"/>
        </w:rPr>
        <w:t xml:space="preserve">of people </w:t>
      </w:r>
      <w:r w:rsidRPr="00683298">
        <w:rPr>
          <w:lang w:val="en-AU"/>
        </w:rPr>
        <w:t>participate equally in the research. Participatory research methods are essential for engaging with groups directly to understand their needs and identify solutions for their participation in the investment. Participatory methods collect data that is relevant and accurate; it enables those targeted by an investment to share their experiences and provide recommendations for program strategies and activities. Good GEDSI analysis also engages ‘hard-to-reach’ groups. For example, some people with disabilities may be unable to leave their homes or may be purposely hidden due to social stigma, people with communication or cognitive disabilities may face challenges participating in surveys or focus group discussions</w:t>
      </w:r>
      <w:r w:rsidR="00A05734">
        <w:rPr>
          <w:lang w:val="en-AU"/>
        </w:rPr>
        <w:t>, and women may face barriers to participation as a result of their heavy workload burdens</w:t>
      </w:r>
      <w:r w:rsidRPr="00683298">
        <w:rPr>
          <w:lang w:val="en-AU"/>
        </w:rPr>
        <w:t>.</w:t>
      </w:r>
      <w:r w:rsidRPr="00DB4858">
        <w:rPr>
          <w:lang w:val="en-AU"/>
        </w:rPr>
        <w:t xml:space="preserve"> </w:t>
      </w:r>
    </w:p>
    <w:p w14:paraId="6064AAC8" w14:textId="65CA9CB8" w:rsidR="00F34E28" w:rsidRDefault="00F34E28" w:rsidP="00D47BB9">
      <w:pPr>
        <w:spacing w:after="120" w:line="238" w:lineRule="auto"/>
        <w:ind w:left="1985" w:hanging="1985"/>
        <w:jc w:val="both"/>
        <w:rPr>
          <w:lang w:val="en-AU"/>
        </w:rPr>
      </w:pPr>
      <w:r>
        <w:rPr>
          <w:b/>
          <w:bCs/>
          <w:noProof/>
          <w:lang w:val="en-AU"/>
        </w:rPr>
        <w:drawing>
          <wp:anchor distT="0" distB="0" distL="114300" distR="114300" simplePos="0" relativeHeight="251731968" behindDoc="0" locked="0" layoutInCell="1" allowOverlap="1" wp14:anchorId="10F8A296" wp14:editId="2DF55D71">
            <wp:simplePos x="0" y="0"/>
            <wp:positionH relativeFrom="column">
              <wp:posOffset>-635</wp:posOffset>
            </wp:positionH>
            <wp:positionV relativeFrom="paragraph">
              <wp:posOffset>-3175</wp:posOffset>
            </wp:positionV>
            <wp:extent cx="1064260" cy="1064260"/>
            <wp:effectExtent l="0" t="0" r="2540" b="254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64260" cy="1064260"/>
                    </a:xfrm>
                    <a:prstGeom prst="rect">
                      <a:avLst/>
                    </a:prstGeom>
                  </pic:spPr>
                </pic:pic>
              </a:graphicData>
            </a:graphic>
            <wp14:sizeRelH relativeFrom="page">
              <wp14:pctWidth>0</wp14:pctWidth>
            </wp14:sizeRelH>
            <wp14:sizeRelV relativeFrom="page">
              <wp14:pctHeight>0</wp14:pctHeight>
            </wp14:sizeRelV>
          </wp:anchor>
        </w:drawing>
      </w:r>
      <w:r w:rsidR="00BF79D5">
        <w:rPr>
          <w:b/>
          <w:bCs/>
          <w:lang w:val="en-AU"/>
        </w:rPr>
        <w:t xml:space="preserve">  </w:t>
      </w:r>
      <w:r w:rsidRPr="00DB4858">
        <w:rPr>
          <w:b/>
          <w:bCs/>
          <w:lang w:val="en-AU"/>
        </w:rPr>
        <w:t xml:space="preserve">Disaggregates data by sex, </w:t>
      </w:r>
      <w:proofErr w:type="gramStart"/>
      <w:r w:rsidRPr="00DB4858">
        <w:rPr>
          <w:b/>
          <w:bCs/>
          <w:lang w:val="en-AU"/>
        </w:rPr>
        <w:t>age</w:t>
      </w:r>
      <w:proofErr w:type="gramEnd"/>
      <w:r w:rsidRPr="00DB4858">
        <w:rPr>
          <w:b/>
          <w:bCs/>
          <w:lang w:val="en-AU"/>
        </w:rPr>
        <w:t xml:space="preserve"> and disability as a minimum and, where </w:t>
      </w:r>
      <w:r>
        <w:rPr>
          <w:b/>
          <w:bCs/>
          <w:lang w:val="en-AU"/>
        </w:rPr>
        <w:t>safe and appropriate</w:t>
      </w:r>
      <w:r w:rsidRPr="00DB4858">
        <w:rPr>
          <w:b/>
          <w:bCs/>
          <w:lang w:val="en-AU"/>
        </w:rPr>
        <w:t>, gender</w:t>
      </w:r>
      <w:r>
        <w:rPr>
          <w:b/>
          <w:bCs/>
          <w:lang w:val="en-AU"/>
        </w:rPr>
        <w:t xml:space="preserve"> identity</w:t>
      </w:r>
      <w:r w:rsidRPr="00DB4858">
        <w:rPr>
          <w:b/>
          <w:bCs/>
          <w:lang w:val="en-AU"/>
        </w:rPr>
        <w:t xml:space="preserve">. </w:t>
      </w:r>
      <w:r w:rsidRPr="00DB4858">
        <w:rPr>
          <w:lang w:val="en-AU"/>
        </w:rPr>
        <w:t>Good GEDSI analysis presents sex, age and disability-disaggregated statistics</w:t>
      </w:r>
      <w:r>
        <w:rPr>
          <w:lang w:val="en-AU"/>
        </w:rPr>
        <w:t xml:space="preserve">. </w:t>
      </w:r>
      <w:r w:rsidRPr="00DB4858">
        <w:rPr>
          <w:lang w:val="en-AU"/>
        </w:rPr>
        <w:t xml:space="preserve">First, </w:t>
      </w:r>
      <w:r>
        <w:rPr>
          <w:lang w:val="en-AU"/>
        </w:rPr>
        <w:t xml:space="preserve">all </w:t>
      </w:r>
      <w:r w:rsidRPr="00DB4858">
        <w:rPr>
          <w:lang w:val="en-AU"/>
        </w:rPr>
        <w:t>analys</w:t>
      </w:r>
      <w:r>
        <w:rPr>
          <w:lang w:val="en-AU"/>
        </w:rPr>
        <w:t>e</w:t>
      </w:r>
      <w:r w:rsidRPr="00DB4858">
        <w:rPr>
          <w:lang w:val="en-AU"/>
        </w:rPr>
        <w:t>s should disaggregate by sex</w:t>
      </w:r>
      <w:r>
        <w:rPr>
          <w:lang w:val="en-AU"/>
        </w:rPr>
        <w:t xml:space="preserve"> as a minimum</w:t>
      </w:r>
      <w:r w:rsidRPr="00DB4858">
        <w:rPr>
          <w:lang w:val="en-AU"/>
        </w:rPr>
        <w:t xml:space="preserve">. However, there </w:t>
      </w:r>
      <w:r>
        <w:rPr>
          <w:lang w:val="en-AU"/>
        </w:rPr>
        <w:t>are</w:t>
      </w:r>
      <w:r w:rsidRPr="00DB4858">
        <w:rPr>
          <w:lang w:val="en-AU"/>
        </w:rPr>
        <w:t xml:space="preserve"> instances where people do not identify with the</w:t>
      </w:r>
      <w:r>
        <w:rPr>
          <w:lang w:val="en-AU"/>
        </w:rPr>
        <w:t xml:space="preserve"> male/female</w:t>
      </w:r>
      <w:r w:rsidRPr="00DB4858">
        <w:rPr>
          <w:lang w:val="en-AU"/>
        </w:rPr>
        <w:t xml:space="preserve"> binary.</w:t>
      </w:r>
      <w:r>
        <w:rPr>
          <w:lang w:val="en-AU"/>
        </w:rPr>
        <w:t xml:space="preserve"> For example, the </w:t>
      </w:r>
      <w:r w:rsidRPr="00B50771">
        <w:rPr>
          <w:lang w:val="en-AU"/>
        </w:rPr>
        <w:t xml:space="preserve">Pacific </w:t>
      </w:r>
      <w:r>
        <w:rPr>
          <w:lang w:val="en-AU"/>
        </w:rPr>
        <w:t xml:space="preserve">has a number of indigenous </w:t>
      </w:r>
      <w:r w:rsidRPr="00B50771">
        <w:rPr>
          <w:lang w:val="en-AU"/>
        </w:rPr>
        <w:t>alternative expressions of gender,</w:t>
      </w:r>
      <w:r>
        <w:rPr>
          <w:lang w:val="en-AU"/>
        </w:rPr>
        <w:t xml:space="preserve"> such as </w:t>
      </w:r>
      <w:r w:rsidRPr="00B50771">
        <w:rPr>
          <w:lang w:val="en-AU"/>
        </w:rPr>
        <w:t>fakaleitī</w:t>
      </w:r>
      <w:r>
        <w:rPr>
          <w:lang w:val="en-AU"/>
        </w:rPr>
        <w:t xml:space="preserve"> (Tonga)</w:t>
      </w:r>
      <w:r w:rsidRPr="00B50771">
        <w:rPr>
          <w:lang w:val="en-AU"/>
        </w:rPr>
        <w:t xml:space="preserve">, fa'afafine </w:t>
      </w:r>
      <w:r>
        <w:rPr>
          <w:lang w:val="en-AU"/>
        </w:rPr>
        <w:t xml:space="preserve">(Samoa), </w:t>
      </w:r>
      <w:r w:rsidRPr="00BB1580">
        <w:rPr>
          <w:lang w:val="en-AU"/>
        </w:rPr>
        <w:t>vaka sa lewa lewa</w:t>
      </w:r>
      <w:r>
        <w:rPr>
          <w:lang w:val="en-AU"/>
        </w:rPr>
        <w:t xml:space="preserve"> (Fiji) </w:t>
      </w:r>
      <w:r w:rsidRPr="00B50771">
        <w:rPr>
          <w:lang w:val="en-AU"/>
        </w:rPr>
        <w:t xml:space="preserve">and </w:t>
      </w:r>
      <w:r w:rsidRPr="009E4A62">
        <w:rPr>
          <w:lang w:val="en-AU"/>
        </w:rPr>
        <w:t>pinapinaaine</w:t>
      </w:r>
      <w:r>
        <w:rPr>
          <w:lang w:val="en-AU"/>
        </w:rPr>
        <w:t xml:space="preserve"> (Kiribati and Tuvalu).</w:t>
      </w:r>
      <w:r>
        <w:rPr>
          <w:rStyle w:val="FootnoteReference"/>
          <w:lang w:val="en-AU"/>
        </w:rPr>
        <w:footnoteReference w:id="8"/>
      </w:r>
      <w:r>
        <w:rPr>
          <w:lang w:val="en-AU"/>
        </w:rPr>
        <w:t xml:space="preserve">  In other instances, people may not wish to disclose gender.</w:t>
      </w:r>
    </w:p>
    <w:p w14:paraId="6AA3FFCF" w14:textId="42215978" w:rsidR="00A20DE6" w:rsidRPr="00DB4858" w:rsidRDefault="00A20DE6" w:rsidP="00D47BB9">
      <w:pPr>
        <w:spacing w:after="120" w:line="238" w:lineRule="auto"/>
        <w:jc w:val="both"/>
        <w:rPr>
          <w:lang w:val="en-AU"/>
        </w:rPr>
      </w:pPr>
      <w:r>
        <w:rPr>
          <w:lang w:val="en-AU"/>
        </w:rPr>
        <w:t xml:space="preserve">The collection of gender-disaggregated data which enables GEDSI analysis participants to </w:t>
      </w:r>
      <w:r w:rsidRPr="00DB4858">
        <w:rPr>
          <w:lang w:val="en-AU"/>
        </w:rPr>
        <w:t xml:space="preserve">identify based on </w:t>
      </w:r>
      <w:r>
        <w:rPr>
          <w:lang w:val="en-AU"/>
        </w:rPr>
        <w:t xml:space="preserve">their </w:t>
      </w:r>
      <w:r w:rsidRPr="00DB4858">
        <w:rPr>
          <w:lang w:val="en-AU"/>
        </w:rPr>
        <w:t>gender allows for a dignified approach</w:t>
      </w:r>
      <w:r>
        <w:rPr>
          <w:lang w:val="en-AU"/>
        </w:rPr>
        <w:t>, but can</w:t>
      </w:r>
      <w:r w:rsidRPr="003C0578">
        <w:t xml:space="preserve"> </w:t>
      </w:r>
      <w:r w:rsidRPr="003C0578">
        <w:rPr>
          <w:lang w:val="en-AU"/>
        </w:rPr>
        <w:t>raise concerns about privacy,</w:t>
      </w:r>
      <w:r>
        <w:rPr>
          <w:lang w:val="en-AU"/>
        </w:rPr>
        <w:t xml:space="preserve"> </w:t>
      </w:r>
      <w:r w:rsidRPr="003C0578">
        <w:rPr>
          <w:lang w:val="en-AU"/>
        </w:rPr>
        <w:t>identity, self-determination, and security</w:t>
      </w:r>
      <w:r>
        <w:rPr>
          <w:lang w:val="en-AU"/>
        </w:rPr>
        <w:t>. The appropriateness of collecting gender-disaggregated data therefore</w:t>
      </w:r>
      <w:r w:rsidRPr="00DB4858">
        <w:rPr>
          <w:lang w:val="en-AU"/>
        </w:rPr>
        <w:t xml:space="preserve"> depend</w:t>
      </w:r>
      <w:r>
        <w:rPr>
          <w:lang w:val="en-AU"/>
        </w:rPr>
        <w:t>s</w:t>
      </w:r>
      <w:r w:rsidRPr="00DB4858">
        <w:rPr>
          <w:lang w:val="en-AU"/>
        </w:rPr>
        <w:t xml:space="preserve"> on</w:t>
      </w:r>
      <w:r>
        <w:rPr>
          <w:lang w:val="en-AU"/>
        </w:rPr>
        <w:t xml:space="preserve"> the</w:t>
      </w:r>
      <w:r w:rsidRPr="00DB4858">
        <w:rPr>
          <w:lang w:val="en-AU"/>
        </w:rPr>
        <w:t xml:space="preserve"> context</w:t>
      </w:r>
      <w:r w:rsidR="00156C64">
        <w:rPr>
          <w:lang w:val="en-AU"/>
        </w:rPr>
        <w:t>.</w:t>
      </w:r>
      <w:r>
        <w:rPr>
          <w:lang w:val="en-AU"/>
        </w:rPr>
        <w:t xml:space="preserve"> </w:t>
      </w:r>
      <w:r w:rsidR="00156C64">
        <w:rPr>
          <w:lang w:val="en-AU"/>
        </w:rPr>
        <w:t>F</w:t>
      </w:r>
      <w:r>
        <w:rPr>
          <w:lang w:val="en-AU"/>
        </w:rPr>
        <w:t>or example, t</w:t>
      </w:r>
      <w:r w:rsidRPr="003C0578">
        <w:rPr>
          <w:lang w:val="en-AU"/>
        </w:rPr>
        <w:t xml:space="preserve">he decision </w:t>
      </w:r>
      <w:r w:rsidR="004E07A9">
        <w:rPr>
          <w:lang w:val="en-AU"/>
        </w:rPr>
        <w:t xml:space="preserve">to </w:t>
      </w:r>
      <w:r w:rsidR="00DE2586">
        <w:rPr>
          <w:lang w:val="en-AU"/>
        </w:rPr>
        <w:t xml:space="preserve">collect </w:t>
      </w:r>
      <w:r>
        <w:rPr>
          <w:lang w:val="en-AU"/>
        </w:rPr>
        <w:t xml:space="preserve">gender- disaggregated data </w:t>
      </w:r>
      <w:r w:rsidRPr="003C0578">
        <w:rPr>
          <w:lang w:val="en-AU"/>
        </w:rPr>
        <w:t>in</w:t>
      </w:r>
      <w:r w:rsidRPr="003C0578">
        <w:t xml:space="preserve"> </w:t>
      </w:r>
      <w:r>
        <w:t xml:space="preserve">countries where </w:t>
      </w:r>
      <w:r w:rsidRPr="003C0578">
        <w:rPr>
          <w:lang w:val="en-AU"/>
        </w:rPr>
        <w:t>same-sex sexual conduct is</w:t>
      </w:r>
      <w:r>
        <w:rPr>
          <w:lang w:val="en-AU"/>
        </w:rPr>
        <w:t xml:space="preserve"> </w:t>
      </w:r>
      <w:r w:rsidRPr="003C0578">
        <w:rPr>
          <w:lang w:val="en-AU"/>
        </w:rPr>
        <w:t>criminalized</w:t>
      </w:r>
      <w:r>
        <w:rPr>
          <w:lang w:val="en-AU"/>
        </w:rPr>
        <w:t xml:space="preserve"> or </w:t>
      </w:r>
      <w:r w:rsidRPr="003C0578">
        <w:rPr>
          <w:lang w:val="en-AU"/>
        </w:rPr>
        <w:t>where laws and policies discriminate against LGBT</w:t>
      </w:r>
      <w:r>
        <w:rPr>
          <w:lang w:val="en-AU"/>
        </w:rPr>
        <w:t>QIA+</w:t>
      </w:r>
      <w:r w:rsidRPr="003C0578">
        <w:rPr>
          <w:lang w:val="en-AU"/>
        </w:rPr>
        <w:t xml:space="preserve"> persons should be based on an assessment of</w:t>
      </w:r>
      <w:r>
        <w:rPr>
          <w:lang w:val="en-AU"/>
        </w:rPr>
        <w:t xml:space="preserve"> </w:t>
      </w:r>
      <w:r w:rsidRPr="003C0578">
        <w:rPr>
          <w:lang w:val="en-AU"/>
        </w:rPr>
        <w:t>threats and risks to the safety and rights</w:t>
      </w:r>
      <w:r>
        <w:rPr>
          <w:lang w:val="en-AU"/>
        </w:rPr>
        <w:t xml:space="preserve"> </w:t>
      </w:r>
      <w:r w:rsidRPr="003C0578">
        <w:rPr>
          <w:lang w:val="en-AU"/>
        </w:rPr>
        <w:t>of those involved in the activity</w:t>
      </w:r>
      <w:r>
        <w:rPr>
          <w:lang w:val="en-AU"/>
        </w:rPr>
        <w:t>. C</w:t>
      </w:r>
      <w:r w:rsidRPr="00DB4858">
        <w:rPr>
          <w:lang w:val="en-AU"/>
        </w:rPr>
        <w:t xml:space="preserve">onsider the degree to which individuals requested to identify their gender may understand and/or react to diverse gender </w:t>
      </w:r>
      <w:r>
        <w:rPr>
          <w:lang w:val="en-AU"/>
        </w:rPr>
        <w:t>identities</w:t>
      </w:r>
      <w:r w:rsidRPr="00DB4858">
        <w:rPr>
          <w:lang w:val="en-AU"/>
        </w:rPr>
        <w:t xml:space="preserve">. </w:t>
      </w:r>
      <w:r>
        <w:rPr>
          <w:lang w:val="en-AU"/>
        </w:rPr>
        <w:t>GEDSI</w:t>
      </w:r>
      <w:r w:rsidRPr="00DB4858">
        <w:rPr>
          <w:lang w:val="en-AU"/>
        </w:rPr>
        <w:t xml:space="preserve"> analysis must consider potential risks</w:t>
      </w:r>
      <w:r>
        <w:rPr>
          <w:lang w:val="en-AU"/>
        </w:rPr>
        <w:t xml:space="preserve"> and </w:t>
      </w:r>
      <w:r w:rsidRPr="00DB4858">
        <w:rPr>
          <w:lang w:val="en-AU"/>
        </w:rPr>
        <w:t>‘do-no-harm’ to those conducting and/or participating in the analysis.</w:t>
      </w:r>
      <w:r>
        <w:rPr>
          <w:lang w:val="en-AU"/>
        </w:rPr>
        <w:t xml:space="preserve"> Safety and confidentiality </w:t>
      </w:r>
      <w:r w:rsidR="00E01D19">
        <w:rPr>
          <w:lang w:val="en-AU"/>
        </w:rPr>
        <w:t>are</w:t>
      </w:r>
      <w:r>
        <w:rPr>
          <w:lang w:val="en-AU"/>
        </w:rPr>
        <w:t xml:space="preserve"> a primary </w:t>
      </w:r>
      <w:r w:rsidRPr="00E24143">
        <w:rPr>
          <w:lang w:val="en-AU"/>
        </w:rPr>
        <w:t>concern.</w:t>
      </w:r>
    </w:p>
    <w:p w14:paraId="7339427B" w14:textId="5342BAF9" w:rsidR="00A20DE6" w:rsidRPr="00DB4858" w:rsidRDefault="00CB7A08" w:rsidP="00D47BB9">
      <w:pPr>
        <w:spacing w:after="120" w:line="238" w:lineRule="auto"/>
        <w:jc w:val="both"/>
        <w:rPr>
          <w:lang w:val="en-AU"/>
        </w:rPr>
      </w:pPr>
      <w:r>
        <w:rPr>
          <w:lang w:val="en-AU"/>
        </w:rPr>
        <w:t>D</w:t>
      </w:r>
      <w:r w:rsidR="00A20DE6" w:rsidRPr="00DB4858">
        <w:rPr>
          <w:lang w:val="en-AU"/>
        </w:rPr>
        <w:t>isaggregation by</w:t>
      </w:r>
      <w:r w:rsidR="00A20DE6" w:rsidRPr="00DB4858">
        <w:rPr>
          <w:b/>
          <w:bCs/>
          <w:lang w:val="en-AU"/>
        </w:rPr>
        <w:t xml:space="preserve"> </w:t>
      </w:r>
      <w:r w:rsidR="00A20DE6" w:rsidRPr="00DB4858">
        <w:rPr>
          <w:lang w:val="en-AU"/>
        </w:rPr>
        <w:t xml:space="preserve">age is also required. </w:t>
      </w:r>
      <w:r w:rsidR="00A20DE6">
        <w:rPr>
          <w:lang w:val="en-AU"/>
        </w:rPr>
        <w:t>D</w:t>
      </w:r>
      <w:r w:rsidR="00A20DE6" w:rsidRPr="00DB4858">
        <w:rPr>
          <w:lang w:val="en-AU"/>
        </w:rPr>
        <w:t>isaggregation by three age brackets from childhood to adolescen</w:t>
      </w:r>
      <w:r w:rsidR="00A20DE6">
        <w:rPr>
          <w:lang w:val="en-AU"/>
        </w:rPr>
        <w:t>ce</w:t>
      </w:r>
      <w:r w:rsidR="00A20DE6" w:rsidRPr="00DB4858">
        <w:rPr>
          <w:lang w:val="en-AU"/>
        </w:rPr>
        <w:t xml:space="preserve"> (0-5; 6-12; 13-17) and 10-year age brackets thereafter is the internationally accepted standard.</w:t>
      </w:r>
      <w:r w:rsidR="00A20DE6" w:rsidRPr="006B02F1">
        <w:rPr>
          <w:rStyle w:val="FootnoteReference"/>
          <w:lang w:val="en-AU"/>
        </w:rPr>
        <w:footnoteReference w:id="9"/>
      </w:r>
      <w:r w:rsidR="00A20DE6" w:rsidRPr="00DB4858">
        <w:rPr>
          <w:lang w:val="en-AU"/>
        </w:rPr>
        <w:t xml:space="preserve"> Depending on the type of program or investment, other age groups may be better suited for analysis – for example if designing a nutrition program for children, smaller intervals may</w:t>
      </w:r>
      <w:r w:rsidR="00A20DE6">
        <w:rPr>
          <w:lang w:val="en-AU"/>
        </w:rPr>
        <w:t xml:space="preserve"> be</w:t>
      </w:r>
      <w:r w:rsidR="00A20DE6" w:rsidRPr="00DB4858">
        <w:rPr>
          <w:lang w:val="en-AU"/>
        </w:rPr>
        <w:t xml:space="preserve"> </w:t>
      </w:r>
      <w:r w:rsidR="00A20DE6">
        <w:rPr>
          <w:lang w:val="en-AU"/>
        </w:rPr>
        <w:t>used for those younger than</w:t>
      </w:r>
      <w:r w:rsidR="00A20DE6" w:rsidRPr="00DB4858">
        <w:rPr>
          <w:lang w:val="en-AU"/>
        </w:rPr>
        <w:t xml:space="preserve"> </w:t>
      </w:r>
      <w:r w:rsidR="00A20DE6">
        <w:rPr>
          <w:lang w:val="en-AU"/>
        </w:rPr>
        <w:t>5</w:t>
      </w:r>
      <w:r w:rsidR="00A20DE6" w:rsidRPr="00DB4858">
        <w:rPr>
          <w:lang w:val="en-AU"/>
        </w:rPr>
        <w:t xml:space="preserve"> years</w:t>
      </w:r>
      <w:r w:rsidR="00A20DE6">
        <w:rPr>
          <w:lang w:val="en-AU"/>
        </w:rPr>
        <w:t xml:space="preserve">. </w:t>
      </w:r>
    </w:p>
    <w:p w14:paraId="09575B9E" w14:textId="0336E326" w:rsidR="00D47BB9" w:rsidRDefault="00A20DE6" w:rsidP="00D47BB9">
      <w:pPr>
        <w:spacing w:after="120" w:line="238" w:lineRule="auto"/>
        <w:jc w:val="both"/>
        <w:rPr>
          <w:lang w:val="en-AU"/>
        </w:rPr>
      </w:pPr>
      <w:r>
        <w:rPr>
          <w:lang w:val="en-AU"/>
        </w:rPr>
        <w:t>W</w:t>
      </w:r>
      <w:r w:rsidRPr="00DB4858">
        <w:rPr>
          <w:lang w:val="en-AU"/>
        </w:rPr>
        <w:t>hen collecting disability disaggregated data, the focus should be on people’s experience of their individual level of function, which better captures the relationship between their disability</w:t>
      </w:r>
      <w:r>
        <w:rPr>
          <w:lang w:val="en-AU"/>
        </w:rPr>
        <w:t>,</w:t>
      </w:r>
      <w:r w:rsidRPr="00DB4858">
        <w:rPr>
          <w:lang w:val="en-AU"/>
        </w:rPr>
        <w:t xml:space="preserve"> the environment</w:t>
      </w:r>
      <w:r>
        <w:rPr>
          <w:lang w:val="en-AU"/>
        </w:rPr>
        <w:t xml:space="preserve"> and barriers to participation and the enjoyment of rights</w:t>
      </w:r>
      <w:r w:rsidRPr="00DB4858">
        <w:rPr>
          <w:lang w:val="en-AU"/>
        </w:rPr>
        <w:t xml:space="preserve">. </w:t>
      </w:r>
      <w:r>
        <w:rPr>
          <w:lang w:val="en-AU"/>
        </w:rPr>
        <w:t>T</w:t>
      </w:r>
      <w:r w:rsidRPr="00DB4858">
        <w:rPr>
          <w:lang w:val="en-AU"/>
        </w:rPr>
        <w:t xml:space="preserve">he </w:t>
      </w:r>
      <w:hyperlink r:id="rId39" w:history="1">
        <w:r w:rsidRPr="00B06A77">
          <w:rPr>
            <w:rStyle w:val="Hyperlink"/>
            <w:rFonts w:cstheme="minorBidi"/>
            <w:color w:val="495965" w:themeColor="text2"/>
            <w:lang w:val="en-AU"/>
          </w:rPr>
          <w:t>Washington Group Short Set (WG-SS) of Disability Questions</w:t>
        </w:r>
      </w:hyperlink>
      <w:r w:rsidRPr="00B06A77">
        <w:rPr>
          <w:rStyle w:val="Hyperlink"/>
          <w:rFonts w:cstheme="minorBidi"/>
          <w:color w:val="495965" w:themeColor="text2"/>
          <w:lang w:val="en-AU"/>
        </w:rPr>
        <w:t xml:space="preserve"> </w:t>
      </w:r>
      <w:r w:rsidRPr="00DB4858">
        <w:rPr>
          <w:lang w:val="en-AU"/>
        </w:rPr>
        <w:t>standardise</w:t>
      </w:r>
      <w:r>
        <w:rPr>
          <w:lang w:val="en-AU"/>
        </w:rPr>
        <w:t>s</w:t>
      </w:r>
      <w:r w:rsidRPr="00DB4858">
        <w:rPr>
          <w:lang w:val="en-AU"/>
        </w:rPr>
        <w:t xml:space="preserve"> the collection of disability disaggregated data</w:t>
      </w:r>
      <w:r>
        <w:rPr>
          <w:lang w:val="en-AU"/>
        </w:rPr>
        <w:t xml:space="preserve"> and</w:t>
      </w:r>
      <w:r w:rsidRPr="00CD42C5">
        <w:rPr>
          <w:lang w:val="en-AU"/>
        </w:rPr>
        <w:t xml:space="preserve"> can be rapidly and easily deployed in a variety of settings.</w:t>
      </w:r>
      <w:r>
        <w:rPr>
          <w:lang w:val="en-AU"/>
        </w:rPr>
        <w:t xml:space="preserve">  </w:t>
      </w:r>
      <w:r w:rsidRPr="00DB4858">
        <w:rPr>
          <w:lang w:val="en-AU"/>
        </w:rPr>
        <w:t xml:space="preserve">Finally, when data on sex, gender, </w:t>
      </w:r>
      <w:proofErr w:type="gramStart"/>
      <w:r w:rsidRPr="00DB4858">
        <w:rPr>
          <w:lang w:val="en-AU"/>
        </w:rPr>
        <w:t>age</w:t>
      </w:r>
      <w:proofErr w:type="gramEnd"/>
      <w:r w:rsidRPr="00DB4858">
        <w:rPr>
          <w:lang w:val="en-AU"/>
        </w:rPr>
        <w:t xml:space="preserve"> or disability are not available, this should be identified as a gap and addressed as an opportunity through the investment monitoring, evaluation and learning system.</w:t>
      </w:r>
    </w:p>
    <w:p w14:paraId="6BB4D35D" w14:textId="77777777" w:rsidR="00D47BB9" w:rsidRDefault="00D47BB9">
      <w:pPr>
        <w:suppressAutoHyphens w:val="0"/>
        <w:rPr>
          <w:lang w:val="en-AU"/>
        </w:rPr>
      </w:pPr>
      <w:r>
        <w:rPr>
          <w:lang w:val="en-AU"/>
        </w:rPr>
        <w:br w:type="page"/>
      </w:r>
    </w:p>
    <w:p w14:paraId="5F90AE37" w14:textId="6C73876B" w:rsidR="00A20DE6" w:rsidRPr="000C7B2D" w:rsidRDefault="00A20DE6" w:rsidP="00FA7965">
      <w:pPr>
        <w:pStyle w:val="Box2Heading"/>
      </w:pPr>
      <w:r w:rsidRPr="000C7B2D">
        <w:lastRenderedPageBreak/>
        <w:t>What about GEDSI analysis during humanitarian crises?</w:t>
      </w:r>
    </w:p>
    <w:p w14:paraId="3FC9B1E4" w14:textId="43D47E71" w:rsidR="00A20DE6" w:rsidRPr="00DB4858" w:rsidRDefault="00A20DE6" w:rsidP="00FA7965">
      <w:pPr>
        <w:pStyle w:val="Box2Text"/>
      </w:pPr>
      <w:r>
        <w:t xml:space="preserve">Humanitarian crises and emergencies affect women and men, girls and boys, gender-diverse people and people with disabilities differently. </w:t>
      </w:r>
      <w:r w:rsidRPr="00FF16E0">
        <w:t>Pre-existing inequalities are often exacerbated in times of crisis and limit access to the resources and services</w:t>
      </w:r>
      <w:r>
        <w:t xml:space="preserve">. </w:t>
      </w:r>
      <w:r w:rsidRPr="00FF16E0">
        <w:t>This is particularly true for those who experience intersecting and compounding marginalisation including women and girls with disabilities</w:t>
      </w:r>
      <w:r>
        <w:t>, and people of diverse sexual orientation and gender identity. C</w:t>
      </w:r>
      <w:r w:rsidRPr="00DB4858">
        <w:t xml:space="preserve">onducting </w:t>
      </w:r>
      <w:r>
        <w:t>GEDSI analysis</w:t>
      </w:r>
      <w:r w:rsidRPr="00DB4858">
        <w:t xml:space="preserve"> </w:t>
      </w:r>
      <w:r>
        <w:t xml:space="preserve">during an emergency </w:t>
      </w:r>
      <w:r w:rsidRPr="00DB4858">
        <w:t xml:space="preserve">may be </w:t>
      </w:r>
      <w:r w:rsidR="00E01D19" w:rsidRPr="00DB4858">
        <w:t>challenging</w:t>
      </w:r>
      <w:r w:rsidR="00E01D19">
        <w:t xml:space="preserve"> but</w:t>
      </w:r>
      <w:r>
        <w:t xml:space="preserve"> is critical to inform targeted and effective emergency responses that do no harm. </w:t>
      </w:r>
    </w:p>
    <w:p w14:paraId="37BA4A53" w14:textId="38CC1AE5" w:rsidR="00A20DE6" w:rsidRDefault="00A20DE6" w:rsidP="00FA7965">
      <w:pPr>
        <w:pStyle w:val="Box2Text"/>
      </w:pPr>
      <w:r w:rsidRPr="00072242">
        <w:t xml:space="preserve">Rapid gender analysis (RGA) is </w:t>
      </w:r>
      <w:r>
        <w:t>designed for emergency contexts</w:t>
      </w:r>
      <w:r w:rsidRPr="00072242">
        <w:t>.</w:t>
      </w:r>
      <w:r>
        <w:t xml:space="preserve"> </w:t>
      </w:r>
      <w:r w:rsidRPr="00072242">
        <w:t xml:space="preserve">RGA provides essential information about roles and responsibilities, capacities and vulnerabilities of different groups of </w:t>
      </w:r>
      <w:r>
        <w:t>people</w:t>
      </w:r>
      <w:r w:rsidRPr="00072242">
        <w:t>, together with programming recommendations. It can be</w:t>
      </w:r>
      <w:r>
        <w:t xml:space="preserve"> used in</w:t>
      </w:r>
      <w:r w:rsidRPr="00072242">
        <w:t xml:space="preserve"> different sectors, include disability inclusion analysis, and can easily be incorporated into existing needs assessment tools and used to monitor and evaluate outcomes. RGA</w:t>
      </w:r>
      <w:r>
        <w:t>s</w:t>
      </w:r>
      <w:r w:rsidRPr="00072242">
        <w:t xml:space="preserve"> can </w:t>
      </w:r>
      <w:r>
        <w:t xml:space="preserve">also </w:t>
      </w:r>
      <w:r w:rsidRPr="00072242">
        <w:t>be done progressively as more information becomes available.</w:t>
      </w:r>
    </w:p>
    <w:p w14:paraId="030FCD9F" w14:textId="3E64C735" w:rsidR="00A20DE6" w:rsidRPr="00EC61ED" w:rsidRDefault="0017148F" w:rsidP="00AB7BC5">
      <w:pPr>
        <w:pStyle w:val="Box2Text"/>
      </w:pPr>
      <w:hyperlink r:id="rId40" w:history="1">
        <w:r w:rsidR="00A20DE6" w:rsidRPr="00583A80">
          <w:rPr>
            <w:rStyle w:val="Green"/>
            <w:b/>
            <w:bCs/>
            <w:color w:val="FFFFFF" w:themeColor="background1"/>
            <w:u w:val="single"/>
          </w:rPr>
          <w:t>CARE’s Gender in Emergencies Guidance Note Preparing a Rapid Gender Analysis</w:t>
        </w:r>
      </w:hyperlink>
      <w:r w:rsidR="00A20DE6" w:rsidRPr="00583A80">
        <w:t xml:space="preserve"> </w:t>
      </w:r>
      <w:r w:rsidR="00A20DE6" w:rsidRPr="00072242">
        <w:t xml:space="preserve">and </w:t>
      </w:r>
      <w:r w:rsidR="00A20DE6" w:rsidRPr="00583A80">
        <w:rPr>
          <w:rStyle w:val="Green"/>
          <w:b/>
          <w:bCs/>
          <w:color w:val="FFFFFF" w:themeColor="background1"/>
          <w:u w:val="single"/>
        </w:rPr>
        <w:t xml:space="preserve">the </w:t>
      </w:r>
      <w:hyperlink r:id="rId41" w:history="1">
        <w:r w:rsidR="00A20DE6" w:rsidRPr="00583A80">
          <w:rPr>
            <w:rStyle w:val="Green"/>
            <w:b/>
            <w:bCs/>
            <w:color w:val="FFFFFF" w:themeColor="background1"/>
            <w:u w:val="single"/>
          </w:rPr>
          <w:t>Interagency Standing Committee’s Gender Handbook for Humanitarian Action</w:t>
        </w:r>
      </w:hyperlink>
      <w:r w:rsidR="00A20DE6" w:rsidRPr="00583A80">
        <w:t xml:space="preserve"> provide </w:t>
      </w:r>
      <w:r w:rsidR="00A20DE6" w:rsidRPr="00072242">
        <w:t xml:space="preserve">step by step guidance on how to undertake an RGA. DFAT’s gender </w:t>
      </w:r>
      <w:r w:rsidR="00A20DE6">
        <w:t xml:space="preserve">equality and disability teams </w:t>
      </w:r>
      <w:r w:rsidR="00A20DE6" w:rsidRPr="00072242">
        <w:t>can support with the RGA process.</w:t>
      </w:r>
    </w:p>
    <w:p w14:paraId="61AC0425" w14:textId="478D61C2" w:rsidR="00A20DE6" w:rsidRPr="00537A7C" w:rsidRDefault="00A20DE6" w:rsidP="00FA7965">
      <w:pPr>
        <w:pStyle w:val="Box1Heading"/>
      </w:pPr>
      <w:r w:rsidRPr="00537A7C">
        <w:t xml:space="preserve">RESOURCES </w:t>
      </w:r>
    </w:p>
    <w:p w14:paraId="56E9C198" w14:textId="1AEE11CF" w:rsidR="00A20DE6" w:rsidRPr="00537A7C" w:rsidRDefault="00A20DE6" w:rsidP="00FA7965">
      <w:pPr>
        <w:pStyle w:val="Box1Text"/>
      </w:pPr>
      <w:r w:rsidRPr="00537A7C">
        <w:t>For further information on</w:t>
      </w:r>
      <w:r>
        <w:t xml:space="preserve"> GEDSI analysis</w:t>
      </w:r>
      <w:r w:rsidRPr="00537A7C">
        <w:t xml:space="preserve"> tools see:</w:t>
      </w:r>
    </w:p>
    <w:p w14:paraId="31AC4590" w14:textId="2E536797" w:rsidR="00A20DE6" w:rsidRPr="00537A7C" w:rsidRDefault="0017148F" w:rsidP="009A357E">
      <w:pPr>
        <w:pStyle w:val="Box1Text"/>
      </w:pPr>
      <w:hyperlink r:id="rId42" w:history="1">
        <w:r w:rsidR="00A20DE6" w:rsidRPr="00537A7C">
          <w:rPr>
            <w:rStyle w:val="Hyperlink"/>
            <w:rFonts w:cstheme="minorBidi"/>
            <w:b/>
            <w:bCs/>
            <w:color w:val="495965" w:themeColor="text2"/>
          </w:rPr>
          <w:t>DFAT Ethical Research and Evaluation Guidance Note</w:t>
        </w:r>
      </w:hyperlink>
      <w:r w:rsidR="00A20DE6">
        <w:rPr>
          <w:rStyle w:val="Hyperlink"/>
          <w:rFonts w:cstheme="minorBidi"/>
          <w:b/>
          <w:bCs/>
          <w:color w:val="495965" w:themeColor="text2"/>
        </w:rPr>
        <w:t>:</w:t>
      </w:r>
      <w:r w:rsidR="00A20DE6" w:rsidRPr="00537A7C">
        <w:t xml:space="preserve"> </w:t>
      </w:r>
      <w:r w:rsidR="00A20DE6">
        <w:t>S</w:t>
      </w:r>
      <w:r w:rsidR="00A20DE6" w:rsidRPr="00537A7C">
        <w:t xml:space="preserve">ets out requirements for ethical research and evaluation. It aligns </w:t>
      </w:r>
      <w:r w:rsidR="00A20DE6">
        <w:t xml:space="preserve">with </w:t>
      </w:r>
      <w:r w:rsidR="00A20DE6" w:rsidRPr="00537A7C">
        <w:t xml:space="preserve">DFAT’s policies </w:t>
      </w:r>
      <w:r w:rsidR="00A20DE6">
        <w:t>on</w:t>
      </w:r>
      <w:r w:rsidR="00A20DE6" w:rsidRPr="00537A7C">
        <w:t xml:space="preserve"> program management, conduct and risk management</w:t>
      </w:r>
      <w:r w:rsidR="00A20DE6">
        <w:t>,</w:t>
      </w:r>
      <w:r w:rsidR="00A20DE6" w:rsidRPr="00537A7C">
        <w:t xml:space="preserve"> and safeguarding policies.</w:t>
      </w:r>
    </w:p>
    <w:p w14:paraId="58EF1582" w14:textId="77777777" w:rsidR="00A20DE6" w:rsidRDefault="0017148F" w:rsidP="00C861DC">
      <w:pPr>
        <w:pStyle w:val="Box1Text"/>
      </w:pPr>
      <w:hyperlink r:id="rId43" w:history="1">
        <w:r w:rsidR="00A20DE6" w:rsidRPr="00537A7C">
          <w:rPr>
            <w:rStyle w:val="Hyperlink"/>
            <w:rFonts w:cstheme="minorBidi"/>
            <w:b/>
            <w:bCs/>
            <w:color w:val="495965" w:themeColor="text2"/>
          </w:rPr>
          <w:t>ACFID and Research Development for Impact Network Principles and Guidelines for Ethical Research and Evaluation in Development</w:t>
        </w:r>
      </w:hyperlink>
      <w:r w:rsidR="00A20DE6">
        <w:rPr>
          <w:rStyle w:val="Hyperlink"/>
          <w:rFonts w:cstheme="minorBidi"/>
          <w:b/>
          <w:bCs/>
          <w:color w:val="495965" w:themeColor="text2"/>
        </w:rPr>
        <w:t>:</w:t>
      </w:r>
      <w:r w:rsidR="00A20DE6">
        <w:t xml:space="preserve"> P</w:t>
      </w:r>
      <w:r w:rsidR="00A20DE6" w:rsidRPr="00537A7C">
        <w:t>rovide</w:t>
      </w:r>
      <w:r w:rsidR="00A20DE6">
        <w:t>s</w:t>
      </w:r>
      <w:r w:rsidR="00A20DE6" w:rsidRPr="00537A7C">
        <w:t xml:space="preserve"> practical support for the design, implementation and u</w:t>
      </w:r>
      <w:r w:rsidR="00A20DE6">
        <w:t>se</w:t>
      </w:r>
      <w:r w:rsidR="00A20DE6" w:rsidRPr="00537A7C">
        <w:t xml:space="preserve"> of research</w:t>
      </w:r>
      <w:r w:rsidR="00A20DE6">
        <w:t>,</w:t>
      </w:r>
      <w:r w:rsidR="00A20DE6" w:rsidRPr="00537A7C">
        <w:t xml:space="preserve"> including GEDSI analysis. </w:t>
      </w:r>
      <w:r w:rsidR="00A20DE6">
        <w:t>A</w:t>
      </w:r>
      <w:r w:rsidR="00A20DE6" w:rsidRPr="00537A7C">
        <w:t>n essential resource</w:t>
      </w:r>
      <w:r w:rsidR="00A20DE6">
        <w:t xml:space="preserve"> to ensure </w:t>
      </w:r>
      <w:r w:rsidR="00A20DE6" w:rsidRPr="00537A7C">
        <w:t>research activities ‘do no harm.’</w:t>
      </w:r>
    </w:p>
    <w:p w14:paraId="670725C1" w14:textId="77777777" w:rsidR="00A20DE6" w:rsidRDefault="0017148F" w:rsidP="00C861DC">
      <w:pPr>
        <w:pStyle w:val="Box1Text"/>
      </w:pPr>
      <w:hyperlink r:id="rId44" w:history="1">
        <w:r w:rsidR="00A20DE6" w:rsidRPr="00537A7C">
          <w:rPr>
            <w:rStyle w:val="Hyperlink"/>
            <w:rFonts w:cstheme="minorBidi"/>
            <w:b/>
            <w:bCs/>
            <w:color w:val="495965" w:themeColor="text2"/>
          </w:rPr>
          <w:t>Government of Canada</w:t>
        </w:r>
        <w:r w:rsidR="00A20DE6" w:rsidRPr="00537A7C">
          <w:rPr>
            <w:rStyle w:val="Hyperlink"/>
            <w:rFonts w:cstheme="minorBidi"/>
            <w:color w:val="495965" w:themeColor="text2"/>
          </w:rPr>
          <w:t xml:space="preserve"> </w:t>
        </w:r>
        <w:r w:rsidR="00A20DE6" w:rsidRPr="00537A7C">
          <w:rPr>
            <w:rStyle w:val="Hyperlink"/>
            <w:rFonts w:cstheme="minorBidi"/>
            <w:b/>
            <w:bCs/>
            <w:color w:val="495965" w:themeColor="text2"/>
          </w:rPr>
          <w:t>Gender-Based Analysis Plus (GBA+)</w:t>
        </w:r>
        <w:r w:rsidR="00A20DE6">
          <w:rPr>
            <w:rStyle w:val="Hyperlink"/>
            <w:rFonts w:cstheme="minorBidi"/>
            <w:b/>
            <w:bCs/>
            <w:color w:val="495965" w:themeColor="text2"/>
          </w:rPr>
          <w:t xml:space="preserve">: </w:t>
        </w:r>
      </w:hyperlink>
      <w:r w:rsidR="00A20DE6" w:rsidRPr="00537A7C">
        <w:t xml:space="preserve">GBA+ assesses how diverse groups of </w:t>
      </w:r>
      <w:r w:rsidR="00A20DE6">
        <w:t xml:space="preserve">people </w:t>
      </w:r>
      <w:r w:rsidR="00A20DE6" w:rsidRPr="00537A7C">
        <w:t xml:space="preserve">experience policies, programs and initiatives. The “plus” in GBA+ acknowledges that GBA goes beyond biological (sex) and socio-cultural (gender) differences. </w:t>
      </w:r>
    </w:p>
    <w:p w14:paraId="6C7AE3C2" w14:textId="5ED68708" w:rsidR="00A20DE6" w:rsidRPr="00537A7C" w:rsidRDefault="0017148F" w:rsidP="00C861DC">
      <w:pPr>
        <w:pStyle w:val="Box1Text"/>
      </w:pPr>
      <w:hyperlink r:id="rId45" w:history="1">
        <w:r w:rsidR="00A20DE6" w:rsidRPr="00537A7C">
          <w:rPr>
            <w:rStyle w:val="Hyperlink"/>
            <w:rFonts w:cstheme="minorBidi"/>
            <w:b/>
            <w:bCs/>
            <w:color w:val="495965" w:themeColor="text2"/>
          </w:rPr>
          <w:t>DFAT and Asian Development Bank Tool Kit on Gender Equality Results and Indicators</w:t>
        </w:r>
        <w:r w:rsidR="00A20DE6">
          <w:rPr>
            <w:rStyle w:val="Hyperlink"/>
            <w:rFonts w:cstheme="minorBidi"/>
            <w:b/>
            <w:bCs/>
            <w:color w:val="495965" w:themeColor="text2"/>
          </w:rPr>
          <w:t>:</w:t>
        </w:r>
        <w:r w:rsidR="00A20DE6" w:rsidRPr="00537A7C">
          <w:rPr>
            <w:rStyle w:val="Hyperlink"/>
            <w:rFonts w:cstheme="minorBidi"/>
            <w:b/>
            <w:bCs/>
            <w:color w:val="495965" w:themeColor="text2"/>
          </w:rPr>
          <w:t xml:space="preserve"> </w:t>
        </w:r>
        <w:r w:rsidR="00A20DE6" w:rsidRPr="00C861DC">
          <w:rPr>
            <w:rStyle w:val="Hyperlink"/>
            <w:rFonts w:cstheme="minorBidi"/>
            <w:b/>
            <w:bCs/>
            <w:color w:val="495965" w:themeColor="text2"/>
            <w:u w:val="none"/>
          </w:rPr>
          <w:t xml:space="preserve"> </w:t>
        </w:r>
      </w:hyperlink>
      <w:r w:rsidR="00A20DE6">
        <w:t>P</w:t>
      </w:r>
      <w:r w:rsidR="00A20DE6" w:rsidRPr="00537A7C">
        <w:t>resents a menu of gender equality outcomes, results, and indicators, focusing on the sectors and strategic priorities of the Asian Development Bank (ADB) and Australia's development program.</w:t>
      </w:r>
    </w:p>
    <w:p w14:paraId="4B9273AB" w14:textId="16EBDA0A" w:rsidR="00A20DE6" w:rsidRDefault="0017148F" w:rsidP="00B05731">
      <w:pPr>
        <w:pStyle w:val="Box1Text"/>
      </w:pPr>
      <w:hyperlink r:id="rId46" w:history="1">
        <w:r w:rsidR="00A20DE6" w:rsidRPr="00537A7C">
          <w:rPr>
            <w:rStyle w:val="Hyperlink"/>
            <w:rFonts w:cstheme="minorBidi"/>
            <w:b/>
            <w:bCs/>
            <w:color w:val="495965" w:themeColor="text2"/>
          </w:rPr>
          <w:t>CBM International Disability and Gender Analysis toolkit</w:t>
        </w:r>
      </w:hyperlink>
      <w:r w:rsidR="00A20DE6">
        <w:rPr>
          <w:rStyle w:val="Hyperlink"/>
          <w:rFonts w:cstheme="minorBidi"/>
          <w:b/>
          <w:bCs/>
          <w:color w:val="495965" w:themeColor="text2"/>
        </w:rPr>
        <w:t>:</w:t>
      </w:r>
      <w:r w:rsidR="00A20DE6">
        <w:t xml:space="preserve"> P</w:t>
      </w:r>
      <w:r w:rsidR="00A20DE6" w:rsidRPr="00537A7C">
        <w:t xml:space="preserve">rovides tools for programs to assess knowledge, attitudes and practice to inform situation analysis and design, to create baseline data and/or to improve monitoring, evaluation, accountability and learning. </w:t>
      </w:r>
    </w:p>
    <w:p w14:paraId="08357FE4" w14:textId="20981AB2" w:rsidR="00A20DE6" w:rsidRPr="003F7519" w:rsidRDefault="0017148F" w:rsidP="00B05731">
      <w:pPr>
        <w:pStyle w:val="Box1Text"/>
      </w:pPr>
      <w:hyperlink r:id="rId47" w:history="1">
        <w:r w:rsidR="00A20DE6" w:rsidRPr="003F7519">
          <w:rPr>
            <w:rStyle w:val="Hyperlink"/>
            <w:rFonts w:cstheme="minorBidi"/>
            <w:b/>
            <w:bCs/>
            <w:color w:val="495965" w:themeColor="text2"/>
          </w:rPr>
          <w:t>UN Partnership on the Rights of Persons with Disabilities Guidance for Conducting a Situational Country Analysis of the Rights of Persons with Disabilities:</w:t>
        </w:r>
      </w:hyperlink>
      <w:r w:rsidR="00A20DE6" w:rsidRPr="003F7519">
        <w:t xml:space="preserve"> Sets out a framework for analysing the pre-conditions to disability inclusion, level of participation, inclusion of marginalised and under-represented groups, and the rights of women and girls with disabilities.</w:t>
      </w:r>
    </w:p>
    <w:p w14:paraId="722BD599" w14:textId="13C5437C" w:rsidR="00A20DE6" w:rsidRPr="00321BBB" w:rsidRDefault="00A20DE6" w:rsidP="00321BBB">
      <w:pPr>
        <w:rPr>
          <w:lang w:val="en-AU"/>
        </w:rPr>
      </w:pPr>
    </w:p>
    <w:p w14:paraId="0B56362F" w14:textId="04863EE6" w:rsidR="00A20DE6" w:rsidRPr="00815DFD" w:rsidRDefault="00A20DE6" w:rsidP="0017148F">
      <w:pPr>
        <w:pStyle w:val="Heading3"/>
      </w:pPr>
      <w:r w:rsidRPr="00815DFD">
        <w:t xml:space="preserve">STEP </w:t>
      </w:r>
      <w:r>
        <w:t>3</w:t>
      </w:r>
      <w:r w:rsidRPr="00815DFD">
        <w:t xml:space="preserve"> - ANALYSIS </w:t>
      </w:r>
    </w:p>
    <w:p w14:paraId="679662AC" w14:textId="4AA44AD9" w:rsidR="00A20DE6" w:rsidRDefault="00A20DE6" w:rsidP="002658B1">
      <w:pPr>
        <w:spacing w:after="120"/>
        <w:jc w:val="both"/>
        <w:rPr>
          <w:lang w:val="en-AU"/>
        </w:rPr>
      </w:pPr>
      <w:r>
        <w:rPr>
          <w:lang w:val="en-AU"/>
        </w:rPr>
        <w:t xml:space="preserve">GEDSI analysis data can be analysed using standard quantitative and qualitative analytical methods and systems. What distinguishes good GEDSI analysis is that it is specific to the proposed investment. </w:t>
      </w:r>
    </w:p>
    <w:p w14:paraId="0E9A71C5" w14:textId="20FF13BF" w:rsidR="00A20DE6" w:rsidRPr="00A359E1" w:rsidRDefault="00A20DE6" w:rsidP="002658B1">
      <w:pPr>
        <w:spacing w:after="120"/>
        <w:jc w:val="both"/>
        <w:rPr>
          <w:lang w:val="en-AU"/>
        </w:rPr>
      </w:pPr>
      <w:r w:rsidRPr="00A359E1">
        <w:rPr>
          <w:lang w:val="en-AU"/>
        </w:rPr>
        <w:t>Data analysis should compare information about women, men, girls, boys and gender</w:t>
      </w:r>
      <w:r>
        <w:rPr>
          <w:lang w:val="en-AU"/>
        </w:rPr>
        <w:t xml:space="preserve"> </w:t>
      </w:r>
      <w:r w:rsidRPr="00A359E1">
        <w:rPr>
          <w:lang w:val="en-AU"/>
        </w:rPr>
        <w:t>diverse people, and</w:t>
      </w:r>
      <w:r>
        <w:rPr>
          <w:lang w:val="en-AU"/>
        </w:rPr>
        <w:t xml:space="preserve"> compare</w:t>
      </w:r>
      <w:r w:rsidRPr="00A359E1">
        <w:rPr>
          <w:lang w:val="en-AU"/>
        </w:rPr>
        <w:t xml:space="preserve"> different </w:t>
      </w:r>
      <w:r>
        <w:rPr>
          <w:lang w:val="en-AU"/>
        </w:rPr>
        <w:t>groups</w:t>
      </w:r>
      <w:r w:rsidRPr="00A359E1">
        <w:rPr>
          <w:lang w:val="en-AU"/>
        </w:rPr>
        <w:t xml:space="preserve"> of women, men, girls, boys and gender</w:t>
      </w:r>
      <w:r>
        <w:rPr>
          <w:lang w:val="en-AU"/>
        </w:rPr>
        <w:t xml:space="preserve"> </w:t>
      </w:r>
      <w:r w:rsidRPr="00A359E1">
        <w:rPr>
          <w:lang w:val="en-AU"/>
        </w:rPr>
        <w:t>diverse people (e.g.,</w:t>
      </w:r>
      <w:r w:rsidRPr="00A359E1">
        <w:t xml:space="preserve"> </w:t>
      </w:r>
      <w:r w:rsidRPr="00A359E1">
        <w:rPr>
          <w:lang w:val="en-AU"/>
        </w:rPr>
        <w:t xml:space="preserve">age, disability, income, education, faith, race, ethnicity and </w:t>
      </w:r>
      <w:r>
        <w:rPr>
          <w:lang w:val="en-AU"/>
        </w:rPr>
        <w:t>sexual orientation</w:t>
      </w:r>
      <w:r w:rsidRPr="00A359E1">
        <w:rPr>
          <w:lang w:val="en-AU"/>
        </w:rPr>
        <w:t xml:space="preserve">). These comparisons </w:t>
      </w:r>
      <w:r>
        <w:rPr>
          <w:lang w:val="en-AU"/>
        </w:rPr>
        <w:t>will</w:t>
      </w:r>
      <w:r w:rsidRPr="00A359E1">
        <w:rPr>
          <w:lang w:val="en-AU"/>
        </w:rPr>
        <w:t xml:space="preserve"> reveal where there are inequalities that </w:t>
      </w:r>
      <w:r>
        <w:rPr>
          <w:lang w:val="en-AU"/>
        </w:rPr>
        <w:t>the investment needs to respond to.</w:t>
      </w:r>
    </w:p>
    <w:p w14:paraId="53FA4538" w14:textId="478C8603" w:rsidR="00A20DE6" w:rsidRPr="00240C7A" w:rsidRDefault="00A20DE6" w:rsidP="00F34E28">
      <w:pPr>
        <w:spacing w:after="120"/>
        <w:jc w:val="both"/>
        <w:rPr>
          <w:lang w:val="en-AU"/>
        </w:rPr>
      </w:pPr>
      <w:r w:rsidRPr="00A359E1">
        <w:rPr>
          <w:lang w:val="en-AU"/>
        </w:rPr>
        <w:lastRenderedPageBreak/>
        <w:t xml:space="preserve">The </w:t>
      </w:r>
      <w:r w:rsidRPr="003F7519">
        <w:rPr>
          <w:lang w:val="en-AU"/>
        </w:rPr>
        <w:t>analysis should also provide an understanding of why these gaps and disparities exist and how they affect the opportunities and aspirations of different social groups. It should reveal the strengths of different social groups, and where social norms change is already occurring. Taking a strengths-based approach enables the identification of opportunities and entry points that the program can leverage to transform harmful gender and social nor</w:t>
      </w:r>
      <w:r w:rsidRPr="003F7519" w:rsidDel="005A786F">
        <w:rPr>
          <w:lang w:val="en-AU"/>
        </w:rPr>
        <w:t>m</w:t>
      </w:r>
      <w:r w:rsidRPr="003F7519">
        <w:rPr>
          <w:lang w:val="en-AU"/>
        </w:rPr>
        <w:t xml:space="preserve">s </w:t>
      </w:r>
      <w:r w:rsidRPr="00F34E28">
        <w:rPr>
          <w:lang w:val="en-AU"/>
        </w:rPr>
        <w:t>and address barriers to full and effective access and participation in society. on an equal basis with others</w:t>
      </w:r>
      <w:r w:rsidRPr="003F7519">
        <w:rPr>
          <w:lang w:val="en-AU"/>
        </w:rPr>
        <w:t>.</w:t>
      </w:r>
      <w:r w:rsidR="00F34E28">
        <w:rPr>
          <w:lang w:val="en-AU"/>
        </w:rPr>
        <w:t xml:space="preserve">  </w:t>
      </w:r>
      <w:r>
        <w:rPr>
          <w:lang w:val="en-AU"/>
        </w:rPr>
        <w:t>Findings from the analytical process should be used to: ensure that the investment does no harm; identify priority areas of action in the design; and enhance the effectiveness and sustainability of overall program outcomes.</w:t>
      </w:r>
    </w:p>
    <w:p w14:paraId="74241604" w14:textId="0EA7BC94" w:rsidR="00A20DE6" w:rsidRPr="003C457C" w:rsidRDefault="00A20DE6" w:rsidP="0017148F">
      <w:pPr>
        <w:pStyle w:val="Heading3"/>
      </w:pPr>
      <w:r w:rsidRPr="003C457C">
        <w:t xml:space="preserve">STEP </w:t>
      </w:r>
      <w:r>
        <w:t>4</w:t>
      </w:r>
      <w:r w:rsidRPr="003C457C">
        <w:t xml:space="preserve"> – </w:t>
      </w:r>
      <w:r>
        <w:t>ACTION</w:t>
      </w:r>
      <w:r w:rsidRPr="003C457C">
        <w:t xml:space="preserve"> </w:t>
      </w:r>
    </w:p>
    <w:p w14:paraId="56B956C3" w14:textId="16382490" w:rsidR="00A20DE6" w:rsidRDefault="00A20DE6" w:rsidP="00861B6F">
      <w:pPr>
        <w:spacing w:after="120"/>
        <w:jc w:val="both"/>
        <w:rPr>
          <w:lang w:val="en-AU"/>
        </w:rPr>
      </w:pPr>
      <w:r>
        <w:rPr>
          <w:lang w:val="en-AU"/>
        </w:rPr>
        <w:t>GEDSI analysis is only useful if it provides clear recommendations to inform the investment</w:t>
      </w:r>
      <w:r w:rsidRPr="002658B1">
        <w:rPr>
          <w:lang w:val="en-AU"/>
        </w:rPr>
        <w:t xml:space="preserve">. </w:t>
      </w:r>
      <w:r>
        <w:rPr>
          <w:lang w:val="en-AU"/>
        </w:rPr>
        <w:t>Good GEDSI analysis recommendations should build on existing strengths, identify opportunities and entry points, and propose realistic activities and approaches that can be feasibly implemented as part of the investment. Recommendations should identify actions and opportunities to affect positive change that advances gender equality, and disability and social inclusion.</w:t>
      </w:r>
    </w:p>
    <w:p w14:paraId="6DDEC98D" w14:textId="325CF89A" w:rsidR="00811CDC" w:rsidRPr="005E203D" w:rsidRDefault="00A20DE6" w:rsidP="00811CDC">
      <w:pPr>
        <w:spacing w:after="120"/>
        <w:jc w:val="both"/>
        <w:rPr>
          <w:lang w:val="en-AU"/>
        </w:rPr>
      </w:pPr>
      <w:r w:rsidRPr="005E203D">
        <w:rPr>
          <w:lang w:val="en-AU"/>
        </w:rPr>
        <w:t xml:space="preserve">As part of </w:t>
      </w:r>
      <w:r>
        <w:rPr>
          <w:lang w:val="en-AU"/>
        </w:rPr>
        <w:t>developing recommendations</w:t>
      </w:r>
      <w:r w:rsidRPr="005E203D">
        <w:rPr>
          <w:lang w:val="en-AU"/>
        </w:rPr>
        <w:t>, consider the following questions</w:t>
      </w:r>
      <w:r w:rsidR="00FD7EFC">
        <w:rPr>
          <w:lang w:val="en-AU"/>
        </w:rPr>
        <w:t>:</w:t>
      </w:r>
      <w:r>
        <w:rPr>
          <w:rStyle w:val="FootnoteReference"/>
          <w:lang w:val="en-AU"/>
        </w:rPr>
        <w:footnoteReference w:id="10"/>
      </w:r>
    </w:p>
    <w:p w14:paraId="13E92B04" w14:textId="52C18D03" w:rsidR="008E60CA" w:rsidRDefault="00811CDC" w:rsidP="005E203D">
      <w:pPr>
        <w:pStyle w:val="ListParagraph"/>
        <w:numPr>
          <w:ilvl w:val="0"/>
          <w:numId w:val="20"/>
        </w:numPr>
        <w:spacing w:after="120"/>
        <w:ind w:left="357" w:hanging="357"/>
        <w:contextualSpacing w:val="0"/>
        <w:jc w:val="both"/>
        <w:rPr>
          <w:lang w:val="en-AU"/>
        </w:rPr>
      </w:pPr>
      <w:r w:rsidRPr="005E203D">
        <w:rPr>
          <w:lang w:val="en-AU"/>
        </w:rPr>
        <w:t xml:space="preserve">Have any issues been identified that will impact the ability of the </w:t>
      </w:r>
      <w:r w:rsidR="005E203D" w:rsidRPr="005E203D">
        <w:rPr>
          <w:lang w:val="en-AU"/>
        </w:rPr>
        <w:t xml:space="preserve">investment </w:t>
      </w:r>
      <w:r w:rsidRPr="005E203D">
        <w:rPr>
          <w:lang w:val="en-AU"/>
        </w:rPr>
        <w:t>to achieve its</w:t>
      </w:r>
      <w:r w:rsidR="00F70A1C">
        <w:rPr>
          <w:lang w:val="en-AU"/>
        </w:rPr>
        <w:t xml:space="preserve"> e</w:t>
      </w:r>
      <w:r w:rsidR="005E203D" w:rsidRPr="005E203D">
        <w:rPr>
          <w:lang w:val="en-AU"/>
        </w:rPr>
        <w:t>nd-of-program outcomes or intermediate outcomes</w:t>
      </w:r>
      <w:r w:rsidR="008E60CA">
        <w:rPr>
          <w:lang w:val="en-AU"/>
        </w:rPr>
        <w:t>?</w:t>
      </w:r>
      <w:r w:rsidR="008E60CA" w:rsidRPr="005E203D">
        <w:rPr>
          <w:lang w:val="en-AU"/>
        </w:rPr>
        <w:t xml:space="preserve"> </w:t>
      </w:r>
    </w:p>
    <w:p w14:paraId="77DEBA89" w14:textId="05C3D488" w:rsidR="008E60CA" w:rsidRPr="005E203D" w:rsidRDefault="00E4636B" w:rsidP="00F70A1C">
      <w:pPr>
        <w:pStyle w:val="ListParagraph"/>
        <w:numPr>
          <w:ilvl w:val="1"/>
          <w:numId w:val="20"/>
        </w:numPr>
        <w:spacing w:after="120"/>
        <w:contextualSpacing w:val="0"/>
        <w:jc w:val="both"/>
        <w:rPr>
          <w:lang w:val="en-AU"/>
        </w:rPr>
      </w:pPr>
      <w:r>
        <w:rPr>
          <w:lang w:val="en-AU"/>
        </w:rPr>
        <w:t>If yes, d</w:t>
      </w:r>
      <w:r w:rsidR="008E60CA" w:rsidRPr="005E203D">
        <w:rPr>
          <w:lang w:val="en-AU"/>
        </w:rPr>
        <w:t>o the</w:t>
      </w:r>
      <w:r w:rsidR="008E60CA">
        <w:rPr>
          <w:lang w:val="en-AU"/>
        </w:rPr>
        <w:t>se</w:t>
      </w:r>
      <w:r w:rsidR="008E60CA" w:rsidRPr="005E203D">
        <w:rPr>
          <w:lang w:val="en-AU"/>
        </w:rPr>
        <w:t xml:space="preserve"> issues require that the </w:t>
      </w:r>
      <w:r w:rsidR="00F70A1C">
        <w:rPr>
          <w:lang w:val="en-AU"/>
        </w:rPr>
        <w:t>end</w:t>
      </w:r>
      <w:r w:rsidR="008E60CA" w:rsidRPr="005E203D">
        <w:rPr>
          <w:lang w:val="en-AU"/>
        </w:rPr>
        <w:t>-of-</w:t>
      </w:r>
      <w:r w:rsidR="00516264">
        <w:rPr>
          <w:lang w:val="en-AU"/>
        </w:rPr>
        <w:t>investment</w:t>
      </w:r>
      <w:r w:rsidR="008E60CA" w:rsidRPr="005E203D">
        <w:rPr>
          <w:lang w:val="en-AU"/>
        </w:rPr>
        <w:t xml:space="preserve"> </w:t>
      </w:r>
      <w:r w:rsidR="00F70A1C">
        <w:rPr>
          <w:lang w:val="en-AU"/>
        </w:rPr>
        <w:t>o</w:t>
      </w:r>
      <w:r w:rsidR="008E60CA" w:rsidRPr="005E203D">
        <w:rPr>
          <w:lang w:val="en-AU"/>
        </w:rPr>
        <w:t xml:space="preserve">utcomes or </w:t>
      </w:r>
      <w:r w:rsidR="00F70A1C">
        <w:rPr>
          <w:lang w:val="en-AU"/>
        </w:rPr>
        <w:t>i</w:t>
      </w:r>
      <w:r w:rsidR="008E60CA" w:rsidRPr="005E203D">
        <w:rPr>
          <w:lang w:val="en-AU"/>
        </w:rPr>
        <w:t xml:space="preserve">ntermediate </w:t>
      </w:r>
      <w:r w:rsidR="00F70A1C">
        <w:rPr>
          <w:lang w:val="en-AU"/>
        </w:rPr>
        <w:t>o</w:t>
      </w:r>
      <w:r w:rsidR="008E60CA" w:rsidRPr="005E203D">
        <w:rPr>
          <w:lang w:val="en-AU"/>
        </w:rPr>
        <w:t>utcomes be re-phrased or reconceptuali</w:t>
      </w:r>
      <w:r w:rsidR="00A04668">
        <w:rPr>
          <w:lang w:val="en-AU"/>
        </w:rPr>
        <w:t>s</w:t>
      </w:r>
      <w:r w:rsidR="008E60CA" w:rsidRPr="005E203D">
        <w:rPr>
          <w:lang w:val="en-AU"/>
        </w:rPr>
        <w:t>ed?</w:t>
      </w:r>
    </w:p>
    <w:p w14:paraId="7C16D7D8" w14:textId="0B33F618" w:rsidR="00811CDC" w:rsidRPr="005E203D" w:rsidRDefault="008E60CA" w:rsidP="005E203D">
      <w:pPr>
        <w:pStyle w:val="ListParagraph"/>
        <w:numPr>
          <w:ilvl w:val="0"/>
          <w:numId w:val="20"/>
        </w:numPr>
        <w:spacing w:after="120"/>
        <w:ind w:left="357" w:hanging="357"/>
        <w:contextualSpacing w:val="0"/>
        <w:jc w:val="both"/>
        <w:rPr>
          <w:lang w:val="en-AU"/>
        </w:rPr>
      </w:pPr>
      <w:r>
        <w:rPr>
          <w:lang w:val="en-AU"/>
        </w:rPr>
        <w:t xml:space="preserve">Have any issues been identified that will </w:t>
      </w:r>
      <w:r w:rsidR="00811CDC" w:rsidRPr="005E203D">
        <w:rPr>
          <w:lang w:val="en-AU"/>
        </w:rPr>
        <w:t xml:space="preserve">prevent </w:t>
      </w:r>
      <w:r w:rsidR="00A04668">
        <w:rPr>
          <w:lang w:val="en-AU"/>
        </w:rPr>
        <w:t xml:space="preserve">some </w:t>
      </w:r>
      <w:r w:rsidR="006318F2">
        <w:rPr>
          <w:lang w:val="en-AU"/>
        </w:rPr>
        <w:t>social groups</w:t>
      </w:r>
      <w:r w:rsidR="00A04668">
        <w:rPr>
          <w:lang w:val="en-AU"/>
        </w:rPr>
        <w:t xml:space="preserve"> </w:t>
      </w:r>
      <w:r w:rsidR="00811CDC" w:rsidRPr="005E203D">
        <w:rPr>
          <w:lang w:val="en-AU"/>
        </w:rPr>
        <w:t>from</w:t>
      </w:r>
      <w:r>
        <w:rPr>
          <w:lang w:val="en-AU"/>
        </w:rPr>
        <w:t xml:space="preserve"> participating in and</w:t>
      </w:r>
      <w:r w:rsidR="00811CDC" w:rsidRPr="005E203D">
        <w:rPr>
          <w:lang w:val="en-AU"/>
        </w:rPr>
        <w:t xml:space="preserve"> benefitting equally from the </w:t>
      </w:r>
      <w:r w:rsidR="005E203D" w:rsidRPr="005E203D">
        <w:rPr>
          <w:lang w:val="en-AU"/>
        </w:rPr>
        <w:t>program</w:t>
      </w:r>
      <w:r w:rsidR="00811CDC" w:rsidRPr="005E203D">
        <w:rPr>
          <w:lang w:val="en-AU"/>
        </w:rPr>
        <w:t>?</w:t>
      </w:r>
    </w:p>
    <w:p w14:paraId="609065EB" w14:textId="1ED1E95D" w:rsidR="008E60CA" w:rsidRPr="005E203D" w:rsidRDefault="00811CDC" w:rsidP="00F70A1C">
      <w:pPr>
        <w:pStyle w:val="ListParagraph"/>
        <w:numPr>
          <w:ilvl w:val="1"/>
          <w:numId w:val="20"/>
        </w:numPr>
        <w:spacing w:after="120"/>
        <w:contextualSpacing w:val="0"/>
        <w:jc w:val="both"/>
        <w:rPr>
          <w:lang w:val="en-AU"/>
        </w:rPr>
      </w:pPr>
      <w:r w:rsidRPr="005E203D">
        <w:rPr>
          <w:lang w:val="en-AU"/>
        </w:rPr>
        <w:t>If yes, how can the pro</w:t>
      </w:r>
      <w:r w:rsidR="00E12E68">
        <w:rPr>
          <w:lang w:val="en-AU"/>
        </w:rPr>
        <w:t>gram</w:t>
      </w:r>
      <w:r w:rsidRPr="005E203D">
        <w:rPr>
          <w:lang w:val="en-AU"/>
        </w:rPr>
        <w:t xml:space="preserve"> be amended to ensure that </w:t>
      </w:r>
      <w:r w:rsidR="005E203D" w:rsidRPr="005E203D">
        <w:rPr>
          <w:lang w:val="en-AU"/>
        </w:rPr>
        <w:t>these groups</w:t>
      </w:r>
      <w:r w:rsidRPr="005E203D">
        <w:rPr>
          <w:lang w:val="en-AU"/>
        </w:rPr>
        <w:t xml:space="preserve"> benefit equally?</w:t>
      </w:r>
    </w:p>
    <w:p w14:paraId="707BA070" w14:textId="1F6A4005" w:rsidR="00F70A1C" w:rsidRDefault="00F70A1C" w:rsidP="00F70A1C">
      <w:pPr>
        <w:pStyle w:val="ListParagraph"/>
        <w:numPr>
          <w:ilvl w:val="0"/>
          <w:numId w:val="20"/>
        </w:numPr>
        <w:spacing w:after="120"/>
        <w:ind w:left="357" w:hanging="357"/>
        <w:contextualSpacing w:val="0"/>
        <w:jc w:val="both"/>
        <w:rPr>
          <w:lang w:val="en-AU"/>
        </w:rPr>
      </w:pPr>
      <w:r>
        <w:rPr>
          <w:lang w:val="en-AU"/>
        </w:rPr>
        <w:t xml:space="preserve">What </w:t>
      </w:r>
      <w:r w:rsidRPr="005E203D">
        <w:rPr>
          <w:lang w:val="en-AU"/>
        </w:rPr>
        <w:t xml:space="preserve">points of entry </w:t>
      </w:r>
      <w:r>
        <w:rPr>
          <w:lang w:val="en-AU"/>
        </w:rPr>
        <w:t>and</w:t>
      </w:r>
      <w:r w:rsidRPr="005E203D">
        <w:rPr>
          <w:lang w:val="en-AU"/>
        </w:rPr>
        <w:t xml:space="preserve"> opportunities</w:t>
      </w:r>
      <w:r>
        <w:rPr>
          <w:lang w:val="en-AU"/>
        </w:rPr>
        <w:t xml:space="preserve"> exist</w:t>
      </w:r>
      <w:r w:rsidRPr="005E203D">
        <w:rPr>
          <w:lang w:val="en-AU"/>
        </w:rPr>
        <w:t xml:space="preserve"> for </w:t>
      </w:r>
      <w:r>
        <w:rPr>
          <w:lang w:val="en-AU"/>
        </w:rPr>
        <w:t>engaging marginalised</w:t>
      </w:r>
      <w:r w:rsidRPr="005E203D">
        <w:rPr>
          <w:lang w:val="en-AU"/>
        </w:rPr>
        <w:t xml:space="preserve"> groups of women, girls</w:t>
      </w:r>
      <w:r w:rsidR="00E70F92">
        <w:rPr>
          <w:lang w:val="en-AU"/>
        </w:rPr>
        <w:t xml:space="preserve">, </w:t>
      </w:r>
      <w:r w:rsidR="00F34E28" w:rsidRPr="005E203D">
        <w:rPr>
          <w:lang w:val="en-AU"/>
        </w:rPr>
        <w:t>people with disabilities</w:t>
      </w:r>
      <w:r w:rsidR="00F34E28">
        <w:rPr>
          <w:lang w:val="en-AU"/>
        </w:rPr>
        <w:t>,</w:t>
      </w:r>
      <w:r w:rsidR="00F34E28" w:rsidRPr="005E203D">
        <w:rPr>
          <w:lang w:val="en-AU"/>
        </w:rPr>
        <w:t xml:space="preserve"> </w:t>
      </w:r>
      <w:r w:rsidR="000064BC">
        <w:rPr>
          <w:lang w:val="en-AU"/>
        </w:rPr>
        <w:t xml:space="preserve">people of diverse sexual orientation, </w:t>
      </w:r>
      <w:r w:rsidR="00E70F92">
        <w:rPr>
          <w:lang w:val="en-AU"/>
        </w:rPr>
        <w:t xml:space="preserve">gender </w:t>
      </w:r>
      <w:r w:rsidR="000064BC">
        <w:rPr>
          <w:lang w:val="en-AU"/>
        </w:rPr>
        <w:t>identity, or sex characteristics</w:t>
      </w:r>
      <w:r w:rsidRPr="005E203D">
        <w:rPr>
          <w:lang w:val="en-AU"/>
        </w:rPr>
        <w:t xml:space="preserve"> through </w:t>
      </w:r>
      <w:r>
        <w:rPr>
          <w:lang w:val="en-AU"/>
        </w:rPr>
        <w:t>the investment</w:t>
      </w:r>
      <w:r w:rsidRPr="005E203D">
        <w:rPr>
          <w:lang w:val="en-AU"/>
        </w:rPr>
        <w:t>?</w:t>
      </w:r>
    </w:p>
    <w:p w14:paraId="23450BAF" w14:textId="0126A451" w:rsidR="00811CDC" w:rsidRPr="005E203D" w:rsidRDefault="00811CDC" w:rsidP="005E203D">
      <w:pPr>
        <w:pStyle w:val="ListParagraph"/>
        <w:numPr>
          <w:ilvl w:val="0"/>
          <w:numId w:val="20"/>
        </w:numPr>
        <w:spacing w:after="120"/>
        <w:ind w:left="357" w:hanging="357"/>
        <w:contextualSpacing w:val="0"/>
        <w:jc w:val="both"/>
        <w:rPr>
          <w:lang w:val="en-AU"/>
        </w:rPr>
      </w:pPr>
      <w:r w:rsidRPr="005E203D">
        <w:rPr>
          <w:lang w:val="en-AU"/>
        </w:rPr>
        <w:t xml:space="preserve">Are the needs of </w:t>
      </w:r>
      <w:r w:rsidR="005E203D" w:rsidRPr="005E203D">
        <w:rPr>
          <w:lang w:val="en-AU"/>
        </w:rPr>
        <w:t>any groups</w:t>
      </w:r>
      <w:r w:rsidR="00516264">
        <w:rPr>
          <w:lang w:val="en-AU"/>
        </w:rPr>
        <w:t xml:space="preserve"> of people</w:t>
      </w:r>
      <w:r w:rsidRPr="005E203D">
        <w:rPr>
          <w:lang w:val="en-AU"/>
        </w:rPr>
        <w:t xml:space="preserve"> in relation to this </w:t>
      </w:r>
      <w:r w:rsidR="005E203D" w:rsidRPr="005E203D">
        <w:rPr>
          <w:lang w:val="en-AU"/>
        </w:rPr>
        <w:t>program</w:t>
      </w:r>
      <w:r w:rsidRPr="005E203D">
        <w:rPr>
          <w:lang w:val="en-AU"/>
        </w:rPr>
        <w:t xml:space="preserve"> different enough that a separate </w:t>
      </w:r>
      <w:r w:rsidR="005E203D" w:rsidRPr="005E203D">
        <w:rPr>
          <w:lang w:val="en-AU"/>
        </w:rPr>
        <w:t xml:space="preserve">program </w:t>
      </w:r>
      <w:r w:rsidRPr="005E203D">
        <w:rPr>
          <w:lang w:val="en-AU"/>
        </w:rPr>
        <w:t xml:space="preserve">component focusing on </w:t>
      </w:r>
      <w:r w:rsidR="005E203D" w:rsidRPr="005E203D">
        <w:rPr>
          <w:lang w:val="en-AU"/>
        </w:rPr>
        <w:t xml:space="preserve">that sub-group </w:t>
      </w:r>
      <w:r w:rsidRPr="005E203D">
        <w:rPr>
          <w:lang w:val="en-AU"/>
        </w:rPr>
        <w:t>needs to be created?</w:t>
      </w:r>
    </w:p>
    <w:p w14:paraId="78120799" w14:textId="14F078A7" w:rsidR="00811CDC" w:rsidRDefault="00811CDC" w:rsidP="005E203D">
      <w:pPr>
        <w:pStyle w:val="ListParagraph"/>
        <w:numPr>
          <w:ilvl w:val="0"/>
          <w:numId w:val="20"/>
        </w:numPr>
        <w:spacing w:after="120"/>
        <w:ind w:left="357" w:hanging="357"/>
        <w:contextualSpacing w:val="0"/>
        <w:jc w:val="both"/>
        <w:rPr>
          <w:lang w:val="en-AU"/>
        </w:rPr>
      </w:pPr>
      <w:r w:rsidRPr="005E203D">
        <w:rPr>
          <w:lang w:val="en-AU"/>
        </w:rPr>
        <w:t xml:space="preserve">What types of data must be collected to track the impacts of the </w:t>
      </w:r>
      <w:r w:rsidR="005E203D" w:rsidRPr="005E203D">
        <w:rPr>
          <w:lang w:val="en-AU"/>
        </w:rPr>
        <w:t>program on women, girls</w:t>
      </w:r>
      <w:r w:rsidR="004846FA">
        <w:rPr>
          <w:lang w:val="en-AU"/>
        </w:rPr>
        <w:t xml:space="preserve">, </w:t>
      </w:r>
      <w:r w:rsidR="000064BC">
        <w:rPr>
          <w:lang w:val="en-AU"/>
        </w:rPr>
        <w:t xml:space="preserve">people of diverse sexual orientation, </w:t>
      </w:r>
      <w:r w:rsidR="004846FA">
        <w:rPr>
          <w:lang w:val="en-AU"/>
        </w:rPr>
        <w:t>gender</w:t>
      </w:r>
      <w:r w:rsidR="00E70F92">
        <w:rPr>
          <w:lang w:val="en-AU"/>
        </w:rPr>
        <w:t xml:space="preserve"> </w:t>
      </w:r>
      <w:r w:rsidR="000064BC">
        <w:rPr>
          <w:lang w:val="en-AU"/>
        </w:rPr>
        <w:t>identity</w:t>
      </w:r>
      <w:r w:rsidR="004846FA">
        <w:rPr>
          <w:lang w:val="en-AU"/>
        </w:rPr>
        <w:t>,</w:t>
      </w:r>
      <w:r w:rsidR="000064BC">
        <w:rPr>
          <w:lang w:val="en-AU"/>
        </w:rPr>
        <w:t xml:space="preserve"> or sex characteristics,</w:t>
      </w:r>
      <w:r w:rsidR="004846FA">
        <w:rPr>
          <w:lang w:val="en-AU"/>
        </w:rPr>
        <w:t xml:space="preserve"> </w:t>
      </w:r>
      <w:r w:rsidR="005E203D" w:rsidRPr="005E203D">
        <w:rPr>
          <w:lang w:val="en-AU"/>
        </w:rPr>
        <w:t>people with disabilities and any other social</w:t>
      </w:r>
      <w:r w:rsidR="00516264">
        <w:rPr>
          <w:lang w:val="en-AU"/>
        </w:rPr>
        <w:t xml:space="preserve"> </w:t>
      </w:r>
      <w:r w:rsidR="005E203D" w:rsidRPr="005E203D">
        <w:rPr>
          <w:lang w:val="en-AU"/>
        </w:rPr>
        <w:t>group</w:t>
      </w:r>
      <w:r w:rsidRPr="005E203D">
        <w:rPr>
          <w:lang w:val="en-AU"/>
        </w:rPr>
        <w:t>?</w:t>
      </w:r>
    </w:p>
    <w:p w14:paraId="76C1132A" w14:textId="72A7C28C" w:rsidR="008E60CA" w:rsidRDefault="00811CDC" w:rsidP="005E203D">
      <w:pPr>
        <w:pStyle w:val="ListParagraph"/>
        <w:numPr>
          <w:ilvl w:val="0"/>
          <w:numId w:val="20"/>
        </w:numPr>
        <w:spacing w:after="120"/>
        <w:ind w:left="357" w:hanging="357"/>
        <w:contextualSpacing w:val="0"/>
        <w:jc w:val="both"/>
        <w:rPr>
          <w:lang w:val="en-AU"/>
        </w:rPr>
      </w:pPr>
      <w:r w:rsidRPr="005E203D">
        <w:rPr>
          <w:lang w:val="en-AU"/>
        </w:rPr>
        <w:t xml:space="preserve">Have any potential unintended </w:t>
      </w:r>
      <w:r w:rsidR="009C0B47">
        <w:rPr>
          <w:lang w:val="en-AU"/>
        </w:rPr>
        <w:t xml:space="preserve">negative </w:t>
      </w:r>
      <w:r w:rsidRPr="005E203D">
        <w:rPr>
          <w:lang w:val="en-AU"/>
        </w:rPr>
        <w:t>consequences</w:t>
      </w:r>
      <w:r w:rsidR="009C0B47">
        <w:rPr>
          <w:lang w:val="en-AU"/>
        </w:rPr>
        <w:t xml:space="preserve"> of the investment on </w:t>
      </w:r>
      <w:r w:rsidR="00516264">
        <w:rPr>
          <w:lang w:val="en-AU"/>
        </w:rPr>
        <w:t>different social</w:t>
      </w:r>
      <w:r w:rsidR="009C0B47">
        <w:rPr>
          <w:lang w:val="en-AU"/>
        </w:rPr>
        <w:t xml:space="preserve"> groups</w:t>
      </w:r>
      <w:r w:rsidRPr="005E203D">
        <w:rPr>
          <w:lang w:val="en-AU"/>
        </w:rPr>
        <w:t xml:space="preserve"> been identified? </w:t>
      </w:r>
    </w:p>
    <w:p w14:paraId="03BC7C23" w14:textId="71C19A41" w:rsidR="00811CDC" w:rsidRPr="005E203D" w:rsidRDefault="00811CDC" w:rsidP="00F70A1C">
      <w:pPr>
        <w:pStyle w:val="ListParagraph"/>
        <w:numPr>
          <w:ilvl w:val="1"/>
          <w:numId w:val="20"/>
        </w:numPr>
        <w:spacing w:after="120"/>
        <w:contextualSpacing w:val="0"/>
        <w:jc w:val="both"/>
        <w:rPr>
          <w:lang w:val="en-AU"/>
        </w:rPr>
      </w:pPr>
      <w:r w:rsidRPr="005E203D">
        <w:rPr>
          <w:lang w:val="en-AU"/>
        </w:rPr>
        <w:t xml:space="preserve">If yes, </w:t>
      </w:r>
      <w:r w:rsidR="00AD6EEA">
        <w:rPr>
          <w:lang w:val="en-AU"/>
        </w:rPr>
        <w:t>following the</w:t>
      </w:r>
      <w:r w:rsidR="009C0B47">
        <w:rPr>
          <w:lang w:val="en-AU"/>
        </w:rPr>
        <w:t xml:space="preserve"> ‘do no harm’ </w:t>
      </w:r>
      <w:r w:rsidR="00AD6EEA">
        <w:rPr>
          <w:lang w:val="en-AU"/>
        </w:rPr>
        <w:t xml:space="preserve">principle, </w:t>
      </w:r>
      <w:r w:rsidRPr="005E203D">
        <w:rPr>
          <w:lang w:val="en-AU"/>
        </w:rPr>
        <w:t xml:space="preserve">how </w:t>
      </w:r>
      <w:r w:rsidR="00E51CE6">
        <w:rPr>
          <w:lang w:val="en-AU"/>
        </w:rPr>
        <w:t>can these</w:t>
      </w:r>
      <w:r w:rsidR="00AD6EEA">
        <w:rPr>
          <w:lang w:val="en-AU"/>
        </w:rPr>
        <w:t xml:space="preserve"> risks</w:t>
      </w:r>
      <w:r w:rsidR="00E51CE6">
        <w:rPr>
          <w:lang w:val="en-AU"/>
        </w:rPr>
        <w:t xml:space="preserve"> be mitigated against and monitored</w:t>
      </w:r>
      <w:r w:rsidRPr="005E203D">
        <w:rPr>
          <w:lang w:val="en-AU"/>
        </w:rPr>
        <w:t>?</w:t>
      </w:r>
    </w:p>
    <w:p w14:paraId="3C555379" w14:textId="09A01262" w:rsidR="006F2CBF" w:rsidRPr="00F70A1C" w:rsidRDefault="00A21AA7" w:rsidP="00FC0F19">
      <w:pPr>
        <w:pStyle w:val="ListParagraph"/>
        <w:numPr>
          <w:ilvl w:val="0"/>
          <w:numId w:val="20"/>
        </w:numPr>
        <w:spacing w:after="120"/>
        <w:contextualSpacing w:val="0"/>
        <w:jc w:val="both"/>
        <w:rPr>
          <w:lang w:val="en-AU"/>
        </w:rPr>
      </w:pPr>
      <w:r w:rsidRPr="00F70A1C">
        <w:rPr>
          <w:lang w:val="en-AU"/>
        </w:rPr>
        <w:t xml:space="preserve">Has partner capacity been assessed, and what gaps and needs have been identified by partner agencies themselves to implement </w:t>
      </w:r>
      <w:r w:rsidR="00516264">
        <w:rPr>
          <w:lang w:val="en-AU"/>
        </w:rPr>
        <w:t xml:space="preserve">the </w:t>
      </w:r>
      <w:r w:rsidRPr="00F70A1C">
        <w:rPr>
          <w:lang w:val="en-AU"/>
        </w:rPr>
        <w:t>actions needed to achieve GEDSI outcomes?</w:t>
      </w:r>
    </w:p>
    <w:p w14:paraId="10092505" w14:textId="132A881B" w:rsidR="00BF4E5D" w:rsidRPr="00606B68" w:rsidRDefault="523EDCBD" w:rsidP="00606B68">
      <w:pPr>
        <w:spacing w:after="120"/>
        <w:jc w:val="both"/>
        <w:rPr>
          <w:lang w:val="en-AU"/>
        </w:rPr>
      </w:pPr>
      <w:r w:rsidRPr="523EDCBD">
        <w:rPr>
          <w:lang w:val="en-AU"/>
        </w:rPr>
        <w:t xml:space="preserve">GEDSI analysis should be visible throughout investment design documentation – starting from understanding of the development issue to be addressed, specification of the target group, and design of the investment objective, outcomes, outputs, activities, indicators and budget. See the </w:t>
      </w:r>
      <w:hyperlink r:id="rId48">
        <w:r w:rsidRPr="523EDCBD">
          <w:rPr>
            <w:rStyle w:val="Hyperlink"/>
            <w:rFonts w:cstheme="minorBidi"/>
            <w:color w:val="495965" w:themeColor="text2"/>
            <w:lang w:val="en-AU"/>
          </w:rPr>
          <w:t>Gender Equality in Investment Design Good Practice Note</w:t>
        </w:r>
      </w:hyperlink>
      <w:r w:rsidRPr="523EDCBD">
        <w:rPr>
          <w:lang w:val="en-AU"/>
        </w:rPr>
        <w:t xml:space="preserve">, and </w:t>
      </w:r>
      <w:hyperlink r:id="rId49">
        <w:r w:rsidRPr="523EDCBD">
          <w:rPr>
            <w:rStyle w:val="Hyperlink"/>
            <w:rFonts w:cstheme="minorBidi"/>
            <w:color w:val="495965" w:themeColor="text2"/>
            <w:lang w:val="en-AU"/>
          </w:rPr>
          <w:t>Gender Equality in Monitoring and Evaluation and Reporting Good Practice Note</w:t>
        </w:r>
      </w:hyperlink>
      <w:r w:rsidRPr="523EDCBD">
        <w:rPr>
          <w:lang w:val="en-AU"/>
        </w:rPr>
        <w:t xml:space="preserve"> for further guidance, and the </w:t>
      </w:r>
      <w:hyperlink r:id="rId50">
        <w:r w:rsidRPr="523EDCBD">
          <w:rPr>
            <w:rStyle w:val="Hyperlink"/>
            <w:rFonts w:cstheme="minorBidi"/>
            <w:color w:val="495965" w:themeColor="text2"/>
            <w:lang w:val="en-AU"/>
          </w:rPr>
          <w:t>Disability Inclusion in the DFAT Development Program Good Practice Note</w:t>
        </w:r>
      </w:hyperlink>
      <w:r w:rsidRPr="523EDCBD">
        <w:rPr>
          <w:lang w:val="en-AU"/>
        </w:rPr>
        <w:t xml:space="preserve">. </w:t>
      </w:r>
    </w:p>
    <w:sectPr w:rsidR="00BF4E5D" w:rsidRPr="00606B68" w:rsidSect="00FD7EFC">
      <w:headerReference w:type="default" r:id="rId51"/>
      <w:footerReference w:type="default" r:id="rId52"/>
      <w:headerReference w:type="first" r:id="rId53"/>
      <w:pgSz w:w="11906" w:h="16838" w:code="9"/>
      <w:pgMar w:top="1113" w:right="1134" w:bottom="1260" w:left="1134" w:header="425" w:footer="493"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7E770" w14:textId="77777777" w:rsidR="00BB227D" w:rsidRDefault="00BB227D" w:rsidP="00D37B04">
      <w:r>
        <w:separator/>
      </w:r>
    </w:p>
  </w:endnote>
  <w:endnote w:type="continuationSeparator" w:id="0">
    <w:p w14:paraId="60E0D918" w14:textId="77777777" w:rsidR="00BB227D" w:rsidRDefault="00BB227D" w:rsidP="00D3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altName w:val="Calibri"/>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Arial-ItalicMT">
    <w:altName w:val="Arial"/>
    <w:panose1 w:val="00000000000000000000"/>
    <w:charset w:val="4D"/>
    <w:family w:val="auto"/>
    <w:notTrueType/>
    <w:pitch w:val="default"/>
    <w:sig w:usb0="00000003" w:usb1="00000000" w:usb2="00000000" w:usb3="00000000" w:csb0="00000001" w:csb1="00000000"/>
  </w:font>
  <w:font w:name="Times New Roman (Body CS)">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Bod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sz w:val="18"/>
        <w:szCs w:val="18"/>
      </w:rPr>
      <w:id w:val="209397270"/>
      <w:docPartObj>
        <w:docPartGallery w:val="Page Numbers (Bottom of Page)"/>
        <w:docPartUnique/>
      </w:docPartObj>
    </w:sdtPr>
    <w:sdtEndPr>
      <w:rPr>
        <w:noProof/>
        <w:color w:val="005C66" w:themeColor="accent6" w:themeShade="BF"/>
      </w:rPr>
    </w:sdtEndPr>
    <w:sdtContent>
      <w:p w14:paraId="39D60C45" w14:textId="77777777" w:rsidR="00DB5841" w:rsidRPr="00AC008D" w:rsidRDefault="00DB5841" w:rsidP="00DB5841">
        <w:pPr>
          <w:pStyle w:val="Footer"/>
          <w:rPr>
            <w:color w:val="005C66" w:themeColor="accent6" w:themeShade="BF"/>
            <w:sz w:val="18"/>
            <w:szCs w:val="18"/>
          </w:rPr>
        </w:pPr>
        <w:r w:rsidRPr="007F791D">
          <w:rPr>
            <w:b/>
            <w:bCs/>
            <w:color w:val="495965" w:themeColor="text2"/>
            <w:sz w:val="18"/>
            <w:szCs w:val="18"/>
          </w:rPr>
          <w:t xml:space="preserve">GEDSI </w:t>
        </w:r>
        <w:proofErr w:type="spellStart"/>
        <w:r w:rsidRPr="007F791D">
          <w:rPr>
            <w:b/>
            <w:bCs/>
            <w:color w:val="495965" w:themeColor="text2"/>
            <w:sz w:val="18"/>
            <w:szCs w:val="18"/>
          </w:rPr>
          <w:t>Analysis</w:t>
        </w:r>
        <w:r w:rsidRPr="00AC008D">
          <w:rPr>
            <w:rFonts w:ascii="Webdings" w:eastAsia="Webdings" w:hAnsi="Webdings" w:cs="Webdings"/>
            <w:color w:val="auto"/>
            <w:sz w:val="18"/>
            <w:szCs w:val="18"/>
          </w:rPr>
          <w:t>|</w:t>
        </w:r>
        <w:r w:rsidRPr="00AC008D">
          <w:rPr>
            <w:color w:val="auto"/>
            <w:sz w:val="18"/>
            <w:szCs w:val="18"/>
          </w:rPr>
          <w:t>Good</w:t>
        </w:r>
        <w:proofErr w:type="spellEnd"/>
        <w:r w:rsidRPr="00AC008D">
          <w:rPr>
            <w:color w:val="auto"/>
            <w:sz w:val="18"/>
            <w:szCs w:val="18"/>
          </w:rPr>
          <w:t xml:space="preserve"> Practice Note </w:t>
        </w:r>
        <w:r w:rsidRPr="00AC008D">
          <w:rPr>
            <w:rFonts w:ascii="Webdings" w:eastAsia="Webdings" w:hAnsi="Webdings" w:cs="Webdings"/>
            <w:color w:val="auto"/>
            <w:sz w:val="18"/>
            <w:szCs w:val="18"/>
          </w:rPr>
          <w:t>|</w:t>
        </w:r>
        <w:r w:rsidRPr="007F791D">
          <w:rPr>
            <w:b/>
            <w:bCs/>
            <w:color w:val="495965" w:themeColor="text2"/>
            <w:sz w:val="18"/>
            <w:szCs w:val="18"/>
          </w:rPr>
          <w:fldChar w:fldCharType="begin"/>
        </w:r>
        <w:r w:rsidRPr="007F791D">
          <w:rPr>
            <w:b/>
            <w:bCs/>
            <w:color w:val="495965" w:themeColor="text2"/>
            <w:sz w:val="18"/>
            <w:szCs w:val="18"/>
          </w:rPr>
          <w:instrText xml:space="preserve"> PAGE   \* MERGEFORMAT </w:instrText>
        </w:r>
        <w:r w:rsidRPr="007F791D">
          <w:rPr>
            <w:b/>
            <w:bCs/>
            <w:color w:val="495965" w:themeColor="text2"/>
            <w:sz w:val="18"/>
            <w:szCs w:val="18"/>
          </w:rPr>
          <w:fldChar w:fldCharType="separate"/>
        </w:r>
        <w:r>
          <w:rPr>
            <w:b/>
            <w:bCs/>
            <w:color w:val="495965" w:themeColor="text2"/>
            <w:sz w:val="18"/>
            <w:szCs w:val="18"/>
          </w:rPr>
          <w:t>9</w:t>
        </w:r>
        <w:r w:rsidRPr="007F791D">
          <w:rPr>
            <w:b/>
            <w:bCs/>
            <w:noProof/>
            <w:color w:val="495965" w:themeColor="text2"/>
            <w:sz w:val="18"/>
            <w:szCs w:val="18"/>
          </w:rPr>
          <w:fldChar w:fldCharType="end"/>
        </w:r>
      </w:p>
    </w:sdtContent>
  </w:sdt>
  <w:p w14:paraId="78F94F09" w14:textId="77777777" w:rsidR="00DB5841" w:rsidRDefault="00DB5841" w:rsidP="00DB5841">
    <w:pPr>
      <w:pStyle w:val="Footer"/>
    </w:pPr>
  </w:p>
  <w:p w14:paraId="44AAD45B" w14:textId="77777777" w:rsidR="00DB5841" w:rsidRDefault="00DB5841" w:rsidP="00DB5841">
    <w:pPr>
      <w:pStyle w:val="Footer"/>
    </w:pPr>
  </w:p>
  <w:p w14:paraId="1456E633" w14:textId="77777777" w:rsidR="00DB5841" w:rsidRPr="00DB5841" w:rsidRDefault="00DB5841" w:rsidP="00DB58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sz w:val="18"/>
        <w:szCs w:val="18"/>
      </w:rPr>
      <w:id w:val="1295634328"/>
      <w:docPartObj>
        <w:docPartGallery w:val="Page Numbers (Bottom of Page)"/>
        <w:docPartUnique/>
      </w:docPartObj>
    </w:sdtPr>
    <w:sdtEndPr>
      <w:rPr>
        <w:noProof/>
        <w:color w:val="005C66" w:themeColor="accent6" w:themeShade="BF"/>
      </w:rPr>
    </w:sdtEndPr>
    <w:sdtContent>
      <w:p w14:paraId="35B5FDA0" w14:textId="1B52EC75" w:rsidR="00AC008D" w:rsidRPr="00AC008D" w:rsidRDefault="00AD01AD" w:rsidP="00367A57">
        <w:pPr>
          <w:pStyle w:val="Footer"/>
          <w:rPr>
            <w:color w:val="005C66" w:themeColor="accent6" w:themeShade="BF"/>
            <w:sz w:val="18"/>
            <w:szCs w:val="18"/>
          </w:rPr>
        </w:pPr>
        <w:r w:rsidRPr="007F791D">
          <w:rPr>
            <w:b/>
            <w:bCs/>
            <w:color w:val="495965" w:themeColor="text2"/>
            <w:sz w:val="18"/>
            <w:szCs w:val="18"/>
          </w:rPr>
          <w:t>GEDSI</w:t>
        </w:r>
        <w:r w:rsidR="00AC008D" w:rsidRPr="007F791D">
          <w:rPr>
            <w:b/>
            <w:bCs/>
            <w:color w:val="495965" w:themeColor="text2"/>
            <w:sz w:val="18"/>
            <w:szCs w:val="18"/>
          </w:rPr>
          <w:t xml:space="preserve"> Analysis</w:t>
        </w:r>
        <w:r w:rsidR="00AC008D" w:rsidRPr="00AC008D">
          <w:rPr>
            <w:rFonts w:ascii="Webdings" w:eastAsia="Webdings" w:hAnsi="Webdings" w:cs="Webdings"/>
            <w:color w:val="auto"/>
            <w:sz w:val="18"/>
            <w:szCs w:val="18"/>
          </w:rPr>
          <w:t>|</w:t>
        </w:r>
        <w:r w:rsidR="00AC008D" w:rsidRPr="00AC008D">
          <w:rPr>
            <w:color w:val="auto"/>
            <w:sz w:val="18"/>
            <w:szCs w:val="18"/>
          </w:rPr>
          <w:t xml:space="preserve">Good Practice Note </w:t>
        </w:r>
        <w:r w:rsidR="00AC008D" w:rsidRPr="00AC008D">
          <w:rPr>
            <w:rFonts w:ascii="Webdings" w:eastAsia="Webdings" w:hAnsi="Webdings" w:cs="Webdings"/>
            <w:color w:val="auto"/>
            <w:sz w:val="18"/>
            <w:szCs w:val="18"/>
          </w:rPr>
          <w:t>|</w:t>
        </w:r>
        <w:r w:rsidR="00AC008D" w:rsidRPr="007F791D">
          <w:rPr>
            <w:b/>
            <w:bCs/>
            <w:color w:val="495965" w:themeColor="text2"/>
            <w:sz w:val="18"/>
            <w:szCs w:val="18"/>
          </w:rPr>
          <w:fldChar w:fldCharType="begin"/>
        </w:r>
        <w:r w:rsidR="00AC008D" w:rsidRPr="007F791D">
          <w:rPr>
            <w:b/>
            <w:bCs/>
            <w:color w:val="495965" w:themeColor="text2"/>
            <w:sz w:val="18"/>
            <w:szCs w:val="18"/>
          </w:rPr>
          <w:instrText xml:space="preserve"> PAGE   \* MERGEFORMAT </w:instrText>
        </w:r>
        <w:r w:rsidR="00AC008D" w:rsidRPr="007F791D">
          <w:rPr>
            <w:b/>
            <w:bCs/>
            <w:color w:val="495965" w:themeColor="text2"/>
            <w:sz w:val="18"/>
            <w:szCs w:val="18"/>
          </w:rPr>
          <w:fldChar w:fldCharType="separate"/>
        </w:r>
        <w:r w:rsidR="00AC008D" w:rsidRPr="007F791D">
          <w:rPr>
            <w:b/>
            <w:bCs/>
            <w:noProof/>
            <w:color w:val="495965" w:themeColor="text2"/>
            <w:sz w:val="18"/>
            <w:szCs w:val="18"/>
          </w:rPr>
          <w:t>2</w:t>
        </w:r>
        <w:r w:rsidR="00AC008D" w:rsidRPr="007F791D">
          <w:rPr>
            <w:b/>
            <w:bCs/>
            <w:noProof/>
            <w:color w:val="495965" w:themeColor="text2"/>
            <w:sz w:val="18"/>
            <w:szCs w:val="18"/>
          </w:rPr>
          <w:fldChar w:fldCharType="end"/>
        </w:r>
      </w:p>
    </w:sdtContent>
  </w:sdt>
  <w:p w14:paraId="191034C9" w14:textId="24026279" w:rsidR="00AC008D" w:rsidRPr="00AC008D" w:rsidRDefault="00AC008D">
    <w:pPr>
      <w:pStyle w:val="Foote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35CFD" w14:textId="77777777" w:rsidR="00BB227D" w:rsidRPr="008C5A0E" w:rsidRDefault="00BB227D" w:rsidP="00D37B04">
      <w:pPr>
        <w:pStyle w:val="Footer"/>
      </w:pPr>
    </w:p>
  </w:footnote>
  <w:footnote w:type="continuationSeparator" w:id="0">
    <w:p w14:paraId="366CAD95" w14:textId="77777777" w:rsidR="00BB227D" w:rsidRDefault="00BB227D" w:rsidP="00D37B04">
      <w:r>
        <w:continuationSeparator/>
      </w:r>
    </w:p>
  </w:footnote>
  <w:footnote w:id="1">
    <w:p w14:paraId="5D3922A2" w14:textId="5603C569" w:rsidR="0063035F" w:rsidRPr="00A112F5" w:rsidRDefault="0063035F" w:rsidP="00A112F5">
      <w:pPr>
        <w:pStyle w:val="EndnoteText"/>
        <w:rPr>
          <w:sz w:val="15"/>
          <w:szCs w:val="15"/>
          <w:lang w:val="en-AU"/>
        </w:rPr>
      </w:pPr>
      <w:r w:rsidRPr="00A112F5">
        <w:rPr>
          <w:rStyle w:val="FootnoteReference"/>
          <w:sz w:val="15"/>
          <w:szCs w:val="15"/>
        </w:rPr>
        <w:footnoteRef/>
      </w:r>
      <w:r w:rsidRPr="00A112F5">
        <w:rPr>
          <w:sz w:val="15"/>
          <w:szCs w:val="15"/>
          <w:vertAlign w:val="superscript"/>
        </w:rPr>
        <w:t xml:space="preserve"> </w:t>
      </w:r>
      <w:r w:rsidRPr="00A112F5">
        <w:rPr>
          <w:sz w:val="15"/>
          <w:szCs w:val="15"/>
        </w:rPr>
        <w:t>The minimum criteria for an investment to have gender equality as the principal or a significant objective are set by the OECD DAC. Gender equality is</w:t>
      </w:r>
      <w:r w:rsidR="00DB5841" w:rsidRPr="00A112F5">
        <w:rPr>
          <w:sz w:val="15"/>
          <w:szCs w:val="15"/>
        </w:rPr>
        <w:t xml:space="preserve"> </w:t>
      </w:r>
      <w:r w:rsidRPr="00A112F5">
        <w:rPr>
          <w:sz w:val="15"/>
          <w:szCs w:val="15"/>
        </w:rPr>
        <w:t xml:space="preserve">considered a </w:t>
      </w:r>
      <w:r w:rsidR="00BC435B" w:rsidRPr="00A112F5">
        <w:rPr>
          <w:sz w:val="15"/>
          <w:szCs w:val="15"/>
        </w:rPr>
        <w:t>‘</w:t>
      </w:r>
      <w:r w:rsidRPr="00A112F5">
        <w:rPr>
          <w:sz w:val="15"/>
          <w:szCs w:val="15"/>
        </w:rPr>
        <w:t>significant objective</w:t>
      </w:r>
      <w:r w:rsidR="00BC435B" w:rsidRPr="00A112F5">
        <w:rPr>
          <w:sz w:val="15"/>
          <w:szCs w:val="15"/>
        </w:rPr>
        <w:t>’</w:t>
      </w:r>
      <w:r w:rsidRPr="00A112F5">
        <w:rPr>
          <w:sz w:val="15"/>
          <w:szCs w:val="15"/>
        </w:rPr>
        <w:t xml:space="preserve"> where it is an important and deliberate objective, but not the principal reason for undertaking the investment. Gender equality is considered the </w:t>
      </w:r>
      <w:r w:rsidR="00BC435B" w:rsidRPr="00A112F5">
        <w:rPr>
          <w:sz w:val="15"/>
          <w:szCs w:val="15"/>
        </w:rPr>
        <w:t>‘</w:t>
      </w:r>
      <w:r w:rsidRPr="00A112F5">
        <w:rPr>
          <w:sz w:val="15"/>
          <w:szCs w:val="15"/>
        </w:rPr>
        <w:t>principal objective</w:t>
      </w:r>
      <w:r w:rsidR="00BC435B" w:rsidRPr="00A112F5">
        <w:rPr>
          <w:sz w:val="15"/>
          <w:szCs w:val="15"/>
        </w:rPr>
        <w:t>’</w:t>
      </w:r>
      <w:r w:rsidRPr="00A112F5">
        <w:rPr>
          <w:sz w:val="15"/>
          <w:szCs w:val="15"/>
        </w:rPr>
        <w:t xml:space="preserve"> where gender equality is the main objective of the investment and is fundamental to its design and expected results. The investment would not have been undertaken without this gender equality objective. </w:t>
      </w:r>
    </w:p>
  </w:footnote>
  <w:footnote w:id="2">
    <w:p w14:paraId="3F99C4B2" w14:textId="23130F31" w:rsidR="00A20DE6" w:rsidRPr="00A112F5" w:rsidRDefault="00A20DE6" w:rsidP="00A112F5">
      <w:pPr>
        <w:pStyle w:val="Style4endnote"/>
      </w:pPr>
      <w:r w:rsidRPr="00A112F5">
        <w:rPr>
          <w:rStyle w:val="FootnoteReference"/>
        </w:rPr>
        <w:footnoteRef/>
      </w:r>
      <w:r w:rsidRPr="00A112F5">
        <w:t xml:space="preserve"> </w:t>
      </w:r>
      <w:r w:rsidRPr="00A112F5">
        <w:rPr>
          <w:rStyle w:val="cf01"/>
          <w:rFonts w:asciiTheme="minorHAnsi" w:hAnsiTheme="minorHAnsi" w:cstheme="minorBidi"/>
          <w:color w:val="495965" w:themeColor="text2"/>
          <w:sz w:val="15"/>
          <w:szCs w:val="15"/>
        </w:rPr>
        <w:t>UN General Assembly, </w:t>
      </w:r>
      <w:r w:rsidRPr="001B7433">
        <w:rPr>
          <w:rStyle w:val="cf31"/>
          <w:rFonts w:asciiTheme="minorHAnsi" w:hAnsiTheme="minorHAnsi" w:cstheme="minorBidi"/>
          <w:color w:val="495965" w:themeColor="text2"/>
          <w:sz w:val="15"/>
          <w:szCs w:val="15"/>
        </w:rPr>
        <w:t>Convention on the Rights of Persons with Disabilities: resolution / adopted by the General Assembly, 24 January 2007, A/RES/61/106</w:t>
      </w:r>
      <w:r w:rsidRPr="00A112F5">
        <w:rPr>
          <w:rStyle w:val="cf31"/>
          <w:rFonts w:asciiTheme="minorHAnsi" w:hAnsiTheme="minorHAnsi" w:cstheme="minorBidi"/>
          <w:i w:val="0"/>
          <w:iCs w:val="0"/>
          <w:color w:val="495965" w:themeColor="text2"/>
          <w:sz w:val="15"/>
          <w:szCs w:val="15"/>
        </w:rPr>
        <w:t>, available at: https://www.refworld.org/docid/45f973632.html [accessed 4 April 2023], Article 1</w:t>
      </w:r>
    </w:p>
  </w:footnote>
  <w:footnote w:id="3">
    <w:p w14:paraId="0F73E389" w14:textId="77777777" w:rsidR="00470FAF" w:rsidRPr="004016DD" w:rsidRDefault="00470FAF" w:rsidP="00A112F5">
      <w:pPr>
        <w:pStyle w:val="Style4endnote"/>
        <w:rPr>
          <w:lang w:val="en-AU"/>
        </w:rPr>
      </w:pPr>
      <w:r w:rsidRPr="00A112F5">
        <w:rPr>
          <w:rStyle w:val="FootnoteReference"/>
        </w:rPr>
        <w:footnoteRef/>
      </w:r>
      <w:r w:rsidRPr="00A112F5">
        <w:t xml:space="preserve"> Adapted from Equality Institute (2019) </w:t>
      </w:r>
      <w:r w:rsidRPr="001B7433">
        <w:rPr>
          <w:i/>
          <w:iCs/>
        </w:rPr>
        <w:t>Identity and different forms of discrimination</w:t>
      </w:r>
      <w:r w:rsidRPr="00A112F5">
        <w:t>. Melbourne.</w:t>
      </w:r>
    </w:p>
  </w:footnote>
  <w:footnote w:id="4">
    <w:p w14:paraId="70ECB926" w14:textId="133489A1" w:rsidR="00A20DE6" w:rsidRPr="004016DD" w:rsidRDefault="00A20DE6" w:rsidP="00A112F5">
      <w:pPr>
        <w:pStyle w:val="Style4endnote"/>
        <w:rPr>
          <w:lang w:val="en-AU"/>
        </w:rPr>
      </w:pPr>
      <w:r w:rsidRPr="004016DD">
        <w:rPr>
          <w:rStyle w:val="FootnoteReference"/>
          <w:sz w:val="16"/>
          <w:szCs w:val="16"/>
        </w:rPr>
        <w:footnoteRef/>
      </w:r>
      <w:r w:rsidRPr="004016DD">
        <w:t xml:space="preserve"> The Gender at Work Framework is not grounded in an understanding of the specific barriers experienced by persons with disabilities</w:t>
      </w:r>
      <w:r w:rsidR="00161D77">
        <w:t xml:space="preserve"> – including regarding resourcing to disability-specific </w:t>
      </w:r>
      <w:r w:rsidR="00AC729D">
        <w:t xml:space="preserve">supports and </w:t>
      </w:r>
      <w:r w:rsidR="00161D77">
        <w:t>services</w:t>
      </w:r>
      <w:r w:rsidR="0063035F">
        <w:t xml:space="preserve"> – </w:t>
      </w:r>
      <w:r w:rsidRPr="004016DD">
        <w:t>which</w:t>
      </w:r>
      <w:r w:rsidR="0063035F">
        <w:t xml:space="preserve"> </w:t>
      </w:r>
      <w:r w:rsidRPr="004016DD">
        <w:t xml:space="preserve">is why DFAT encourages further consideration </w:t>
      </w:r>
      <w:r w:rsidR="0063035F">
        <w:t>of</w:t>
      </w:r>
      <w:r w:rsidRPr="004016DD">
        <w:t xml:space="preserve"> these priorities.</w:t>
      </w:r>
    </w:p>
  </w:footnote>
  <w:footnote w:id="5">
    <w:p w14:paraId="3DD0A592" w14:textId="77777777" w:rsidR="00A20DE6" w:rsidRPr="004016DD" w:rsidRDefault="00A20DE6" w:rsidP="00A112F5">
      <w:pPr>
        <w:pStyle w:val="Style4endnote"/>
        <w:rPr>
          <w:lang w:val="en-AU"/>
        </w:rPr>
      </w:pPr>
      <w:r w:rsidRPr="004016DD">
        <w:rPr>
          <w:rStyle w:val="FootnoteReference"/>
          <w:sz w:val="16"/>
          <w:szCs w:val="16"/>
        </w:rPr>
        <w:footnoteRef/>
      </w:r>
      <w:r w:rsidRPr="004016DD">
        <w:t xml:space="preserve"> UN Women, United Nations Entity for Gender </w:t>
      </w:r>
      <w:proofErr w:type="gramStart"/>
      <w:r w:rsidRPr="004016DD">
        <w:t>Equality</w:t>
      </w:r>
      <w:proofErr w:type="gramEnd"/>
      <w:r w:rsidRPr="004016DD">
        <w:t xml:space="preserve"> and the Empowerment of Women</w:t>
      </w:r>
      <w:r w:rsidRPr="004016DD">
        <w:rPr>
          <w:lang w:val="en-AU"/>
        </w:rPr>
        <w:t xml:space="preserve"> (2022) </w:t>
      </w:r>
      <w:r w:rsidRPr="004016DD">
        <w:rPr>
          <w:i/>
          <w:iCs/>
          <w:lang w:val="en-AU"/>
        </w:rPr>
        <w:t>Intersectionality Resource Guide and Toolkit: An Intersectional Approach to Leave No One Behind</w:t>
      </w:r>
      <w:r w:rsidRPr="004016DD">
        <w:rPr>
          <w:lang w:val="en-AU"/>
        </w:rPr>
        <w:t>. Washington D.C.</w:t>
      </w:r>
    </w:p>
  </w:footnote>
  <w:footnote w:id="6">
    <w:p w14:paraId="3933350E" w14:textId="77777777" w:rsidR="00A20DE6" w:rsidRPr="004016DD" w:rsidRDefault="00A20DE6" w:rsidP="00A112F5">
      <w:pPr>
        <w:pStyle w:val="Style4endnote"/>
        <w:rPr>
          <w:lang w:val="en-AU"/>
        </w:rPr>
      </w:pPr>
      <w:r w:rsidRPr="004016DD">
        <w:rPr>
          <w:rStyle w:val="FootnoteReference"/>
          <w:sz w:val="16"/>
          <w:szCs w:val="16"/>
        </w:rPr>
        <w:footnoteRef/>
      </w:r>
      <w:r w:rsidRPr="004016DD">
        <w:t xml:space="preserve"> Ibid</w:t>
      </w:r>
    </w:p>
  </w:footnote>
  <w:footnote w:id="7">
    <w:p w14:paraId="18312253" w14:textId="343D44A5" w:rsidR="00F34E28" w:rsidRPr="00A112F5" w:rsidRDefault="00F34E28" w:rsidP="00A112F5">
      <w:pPr>
        <w:pStyle w:val="Style4endnote"/>
      </w:pPr>
      <w:r w:rsidRPr="004016DD">
        <w:rPr>
          <w:vertAlign w:val="superscript"/>
        </w:rPr>
        <w:footnoteRef/>
      </w:r>
      <w:r w:rsidR="00A112F5">
        <w:t xml:space="preserve"> </w:t>
      </w:r>
      <w:r w:rsidRPr="00A112F5">
        <w:t>Documents in accessible formats can include electronic versions that are compatible with screen readers or versions in more simple language and</w:t>
      </w:r>
      <w:r w:rsidR="00A112F5">
        <w:t xml:space="preserve"> </w:t>
      </w:r>
      <w:r w:rsidRPr="00A112F5">
        <w:t>illustrations</w:t>
      </w:r>
      <w:r w:rsidR="00B06A77">
        <w:t xml:space="preserve"> </w:t>
      </w:r>
      <w:r w:rsidRPr="00A112F5">
        <w:t>for people with intellectual disabilities.</w:t>
      </w:r>
    </w:p>
  </w:footnote>
  <w:footnote w:id="8">
    <w:p w14:paraId="7019AB08" w14:textId="77777777" w:rsidR="00F34E28" w:rsidRPr="00A112F5" w:rsidRDefault="00F34E28" w:rsidP="00A112F5">
      <w:pPr>
        <w:pStyle w:val="Style4endnote"/>
        <w:rPr>
          <w:lang w:val="en-AU"/>
        </w:rPr>
      </w:pPr>
      <w:r w:rsidRPr="00A112F5">
        <w:rPr>
          <w:rStyle w:val="FootnoteReference"/>
          <w:rFonts w:cs="Calibri Light (Body)"/>
          <w:sz w:val="16"/>
          <w:szCs w:val="16"/>
        </w:rPr>
        <w:footnoteRef/>
      </w:r>
      <w:r w:rsidRPr="00A112F5">
        <w:rPr>
          <w:vertAlign w:val="superscript"/>
        </w:rPr>
        <w:t xml:space="preserve"> </w:t>
      </w:r>
      <w:r w:rsidRPr="00A112F5">
        <w:t>Within the Pacific region, these terms refer to people assigned male at birth who live as women according to tradition – in such cases people who have non-heteronormative lifestyles are not always considered minorities.</w:t>
      </w:r>
    </w:p>
  </w:footnote>
  <w:footnote w:id="9">
    <w:p w14:paraId="110CF9FA" w14:textId="1BD775E2" w:rsidR="00A20DE6" w:rsidRPr="004016DD" w:rsidRDefault="00A20DE6" w:rsidP="00A112F5">
      <w:pPr>
        <w:pStyle w:val="Style4endnote"/>
      </w:pPr>
      <w:r w:rsidRPr="00A112F5">
        <w:rPr>
          <w:rStyle w:val="FootnoteReference"/>
          <w:rFonts w:cs="Calibri Light (Body)"/>
          <w:sz w:val="16"/>
          <w:szCs w:val="16"/>
        </w:rPr>
        <w:footnoteRef/>
      </w:r>
      <w:r w:rsidRPr="00A112F5">
        <w:rPr>
          <w:vertAlign w:val="superscript"/>
        </w:rPr>
        <w:t xml:space="preserve"> </w:t>
      </w:r>
      <w:r w:rsidRPr="00A112F5">
        <w:t xml:space="preserve">IFRC (2018) </w:t>
      </w:r>
      <w:r w:rsidRPr="000304E9">
        <w:rPr>
          <w:i/>
          <w:iCs/>
        </w:rPr>
        <w:t xml:space="preserve">Minimum standards for protection, </w:t>
      </w:r>
      <w:proofErr w:type="gramStart"/>
      <w:r w:rsidRPr="000304E9">
        <w:rPr>
          <w:i/>
          <w:iCs/>
        </w:rPr>
        <w:t>gender</w:t>
      </w:r>
      <w:proofErr w:type="gramEnd"/>
      <w:r w:rsidRPr="000304E9">
        <w:rPr>
          <w:i/>
          <w:iCs/>
        </w:rPr>
        <w:t xml:space="preserve"> and inclusion in emergencies</w:t>
      </w:r>
      <w:r w:rsidRPr="00A112F5">
        <w:rPr>
          <w:lang w:val="en-AU"/>
        </w:rPr>
        <w:t>. Geneva.</w:t>
      </w:r>
    </w:p>
  </w:footnote>
  <w:footnote w:id="10">
    <w:p w14:paraId="566F1AEC" w14:textId="5E47EC08" w:rsidR="00A20DE6" w:rsidRPr="00A112F5" w:rsidRDefault="00A20DE6" w:rsidP="00A112F5">
      <w:pPr>
        <w:pStyle w:val="Style4endnote"/>
        <w:rPr>
          <w:lang w:val="en-AU"/>
        </w:rPr>
      </w:pPr>
      <w:r w:rsidRPr="00A112F5">
        <w:rPr>
          <w:rStyle w:val="FootnoteReference"/>
          <w:sz w:val="16"/>
          <w:szCs w:val="16"/>
        </w:rPr>
        <w:footnoteRef/>
      </w:r>
      <w:r w:rsidRPr="00A112F5">
        <w:t xml:space="preserve"> </w:t>
      </w:r>
      <w:r w:rsidRPr="00A112F5">
        <w:rPr>
          <w:lang w:val="en-AU"/>
        </w:rPr>
        <w:t xml:space="preserve">Adapted from USAID. (2010) </w:t>
      </w:r>
      <w:r w:rsidRPr="000304E9">
        <w:rPr>
          <w:i/>
          <w:iCs/>
          <w:lang w:val="en-AU"/>
        </w:rPr>
        <w:t>Tips for Conducting a Gender Analysis at the project-level</w:t>
      </w:r>
      <w:r w:rsidRPr="00A112F5">
        <w:rPr>
          <w:lang w:val="en-AU"/>
        </w:rPr>
        <w:t>. Washington 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538B" w14:textId="77777777" w:rsidR="00A20DE6" w:rsidRDefault="00A20DE6" w:rsidP="004627DE">
    <w:pPr>
      <w:pStyle w:val="Header"/>
      <w:ind w:left="0"/>
    </w:pPr>
    <w:r w:rsidRPr="00943730">
      <w:rPr>
        <w:noProof/>
        <w:lang w:val="en-AU" w:eastAsia="en-AU"/>
      </w:rPr>
      <w:drawing>
        <wp:anchor distT="0" distB="0" distL="114300" distR="114300" simplePos="0" relativeHeight="251672576" behindDoc="1" locked="1" layoutInCell="1" allowOverlap="1" wp14:anchorId="1A76C886" wp14:editId="658FCAB3">
          <wp:simplePos x="0" y="0"/>
          <wp:positionH relativeFrom="page">
            <wp:posOffset>-28575</wp:posOffset>
          </wp:positionH>
          <wp:positionV relativeFrom="page">
            <wp:align>top</wp:align>
          </wp:positionV>
          <wp:extent cx="7559040" cy="10911205"/>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911205"/>
                  </a:xfrm>
                  <a:prstGeom prst="rect">
                    <a:avLst/>
                  </a:prstGeom>
                </pic:spPr>
              </pic:pic>
            </a:graphicData>
          </a:graphic>
          <wp14:sizeRelH relativeFrom="margin">
            <wp14:pctWidth>0</wp14:pctWidth>
          </wp14:sizeRelH>
          <wp14:sizeRelV relativeFrom="margin">
            <wp14:pctHeight>0</wp14:pctHeight>
          </wp14:sizeRelV>
        </wp:anchor>
      </w:drawing>
    </w:r>
    <w:r w:rsidRPr="00583A80">
      <w:rPr>
        <w:noProof/>
        <w:color w:val="000000" w:themeColor="text1"/>
        <w:lang w:val="en-AU" w:eastAsia="en-AU"/>
      </w:rPr>
      <w:t xml:space="preserve">  </w:t>
    </w:r>
    <w:r w:rsidR="00FF2814">
      <w:rPr>
        <w:noProof/>
        <w:color w:val="000000" w:themeColor="text1"/>
        <w:lang w:val="en-AU" w:eastAsia="en-AU"/>
      </w:rPr>
      <w:t>OCTOBER</w:t>
    </w:r>
    <w:r w:rsidRPr="00F44BB7">
      <w:rPr>
        <w:color w:val="000000" w:themeColor="text1"/>
      </w:rPr>
      <w:t xml:space="preserv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5202" w14:textId="3F1BDA7B" w:rsidR="00A20DE6" w:rsidRDefault="00A20DE6" w:rsidP="004627DE">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EB8F8" w14:textId="235AE54D" w:rsidR="00DB5841" w:rsidRPr="00DB5841" w:rsidRDefault="00367A57" w:rsidP="00367A57">
    <w:pPr>
      <w:pStyle w:val="Header"/>
      <w:ind w:left="0"/>
      <w:rPr>
        <w:noProof/>
        <w:color w:val="000000" w:themeColor="text1"/>
        <w:lang w:val="en-AU" w:eastAsia="en-AU"/>
      </w:rPr>
    </w:pPr>
    <w:r w:rsidRPr="00943730">
      <w:rPr>
        <w:noProof/>
        <w:lang w:val="en-AU" w:eastAsia="en-AU"/>
      </w:rPr>
      <w:drawing>
        <wp:anchor distT="0" distB="0" distL="114300" distR="114300" simplePos="0" relativeHeight="251668480" behindDoc="1" locked="1" layoutInCell="1" allowOverlap="1" wp14:anchorId="54388C7B" wp14:editId="6F3BD82F">
          <wp:simplePos x="0" y="0"/>
          <wp:positionH relativeFrom="page">
            <wp:posOffset>-28575</wp:posOffset>
          </wp:positionH>
          <wp:positionV relativeFrom="page">
            <wp:align>top</wp:align>
          </wp:positionV>
          <wp:extent cx="7559040" cy="10911205"/>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911205"/>
                  </a:xfrm>
                  <a:prstGeom prst="rect">
                    <a:avLst/>
                  </a:prstGeom>
                </pic:spPr>
              </pic:pic>
            </a:graphicData>
          </a:graphic>
          <wp14:sizeRelH relativeFrom="margin">
            <wp14:pctWidth>0</wp14:pctWidth>
          </wp14:sizeRelH>
          <wp14:sizeRelV relativeFrom="margin">
            <wp14:pctHeight>0</wp14:pctHeight>
          </wp14:sizeRelV>
        </wp:anchor>
      </w:drawing>
    </w:r>
    <w:r w:rsidRPr="00583A80">
      <w:rPr>
        <w:noProof/>
        <w:color w:val="000000" w:themeColor="text1"/>
        <w:lang w:val="en-AU" w:eastAsia="en-AU"/>
      </w:rPr>
      <w:t xml:space="preserve">  </w:t>
    </w:r>
    <w:r w:rsidR="00DB5841">
      <w:rPr>
        <w:noProof/>
        <w:color w:val="000000" w:themeColor="text1"/>
        <w:lang w:val="en-AU" w:eastAsia="en-AU"/>
      </w:rPr>
      <w:t>OCTOBER 2023</w:t>
    </w:r>
  </w:p>
  <w:p w14:paraId="69B25367" w14:textId="3C3298A0" w:rsidR="00367A57" w:rsidRDefault="00367A57" w:rsidP="004627DE">
    <w:pPr>
      <w:pStyle w:val="Header"/>
      <w:ind w:left="0"/>
    </w:pPr>
    <w:r w:rsidRPr="00943730">
      <w:rPr>
        <w:noProof/>
        <w:lang w:val="en-AU" w:eastAsia="en-AU"/>
      </w:rPr>
      <w:drawing>
        <wp:anchor distT="0" distB="0" distL="114300" distR="114300" simplePos="0" relativeHeight="251666432" behindDoc="1" locked="1" layoutInCell="1" allowOverlap="1" wp14:anchorId="7936866F" wp14:editId="08B17ED5">
          <wp:simplePos x="0" y="0"/>
          <wp:positionH relativeFrom="page">
            <wp:posOffset>-188595</wp:posOffset>
          </wp:positionH>
          <wp:positionV relativeFrom="page">
            <wp:posOffset>0</wp:posOffset>
          </wp:positionV>
          <wp:extent cx="7559040" cy="1091120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91120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81BC" w14:textId="2BCF103A" w:rsidR="00D37B04" w:rsidRPr="00943730" w:rsidRDefault="002D5B25" w:rsidP="00943730">
    <w:pPr>
      <w:pStyle w:val="Header"/>
    </w:pPr>
    <w:r w:rsidRPr="00943730">
      <w:fldChar w:fldCharType="begin"/>
    </w:r>
    <w:r w:rsidRPr="00943730">
      <w:instrText xml:space="preserve"> DATE  \@ "MMMM yyyy"  \* MERGEFORMAT </w:instrText>
    </w:r>
    <w:r w:rsidRPr="00943730">
      <w:fldChar w:fldCharType="separate"/>
    </w:r>
    <w:r w:rsidR="0017148F" w:rsidRPr="0017148F">
      <w:rPr>
        <w:noProof/>
        <w:color w:val="000000" w:themeColor="text1"/>
      </w:rPr>
      <w:t>November 2023</w:t>
    </w:r>
    <w:r w:rsidRPr="00943730">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7CCB"/>
    <w:multiLevelType w:val="hybridMultilevel"/>
    <w:tmpl w:val="930C966E"/>
    <w:lvl w:ilvl="0" w:tplc="7F44B052">
      <w:start w:val="1"/>
      <w:numFmt w:val="bullet"/>
      <w:lvlText w:val=""/>
      <w:lvlJc w:val="left"/>
      <w:pPr>
        <w:ind w:left="720" w:hanging="360"/>
      </w:pPr>
      <w:rPr>
        <w:rFonts w:ascii="Symbol" w:hAnsi="Symbol"/>
      </w:rPr>
    </w:lvl>
    <w:lvl w:ilvl="1" w:tplc="A7F4E092">
      <w:start w:val="1"/>
      <w:numFmt w:val="bullet"/>
      <w:lvlText w:val=""/>
      <w:lvlJc w:val="left"/>
      <w:pPr>
        <w:ind w:left="720" w:hanging="360"/>
      </w:pPr>
      <w:rPr>
        <w:rFonts w:ascii="Symbol" w:hAnsi="Symbol"/>
      </w:rPr>
    </w:lvl>
    <w:lvl w:ilvl="2" w:tplc="D7348DB4">
      <w:start w:val="1"/>
      <w:numFmt w:val="bullet"/>
      <w:lvlText w:val=""/>
      <w:lvlJc w:val="left"/>
      <w:pPr>
        <w:ind w:left="720" w:hanging="360"/>
      </w:pPr>
      <w:rPr>
        <w:rFonts w:ascii="Symbol" w:hAnsi="Symbol"/>
      </w:rPr>
    </w:lvl>
    <w:lvl w:ilvl="3" w:tplc="A9162454">
      <w:start w:val="1"/>
      <w:numFmt w:val="bullet"/>
      <w:lvlText w:val=""/>
      <w:lvlJc w:val="left"/>
      <w:pPr>
        <w:ind w:left="720" w:hanging="360"/>
      </w:pPr>
      <w:rPr>
        <w:rFonts w:ascii="Symbol" w:hAnsi="Symbol"/>
      </w:rPr>
    </w:lvl>
    <w:lvl w:ilvl="4" w:tplc="16C86002">
      <w:start w:val="1"/>
      <w:numFmt w:val="bullet"/>
      <w:lvlText w:val=""/>
      <w:lvlJc w:val="left"/>
      <w:pPr>
        <w:ind w:left="720" w:hanging="360"/>
      </w:pPr>
      <w:rPr>
        <w:rFonts w:ascii="Symbol" w:hAnsi="Symbol"/>
      </w:rPr>
    </w:lvl>
    <w:lvl w:ilvl="5" w:tplc="A6AC921C">
      <w:start w:val="1"/>
      <w:numFmt w:val="bullet"/>
      <w:lvlText w:val=""/>
      <w:lvlJc w:val="left"/>
      <w:pPr>
        <w:ind w:left="720" w:hanging="360"/>
      </w:pPr>
      <w:rPr>
        <w:rFonts w:ascii="Symbol" w:hAnsi="Symbol"/>
      </w:rPr>
    </w:lvl>
    <w:lvl w:ilvl="6" w:tplc="BBF42FF8">
      <w:start w:val="1"/>
      <w:numFmt w:val="bullet"/>
      <w:lvlText w:val=""/>
      <w:lvlJc w:val="left"/>
      <w:pPr>
        <w:ind w:left="720" w:hanging="360"/>
      </w:pPr>
      <w:rPr>
        <w:rFonts w:ascii="Symbol" w:hAnsi="Symbol"/>
      </w:rPr>
    </w:lvl>
    <w:lvl w:ilvl="7" w:tplc="867CBAE6">
      <w:start w:val="1"/>
      <w:numFmt w:val="bullet"/>
      <w:lvlText w:val=""/>
      <w:lvlJc w:val="left"/>
      <w:pPr>
        <w:ind w:left="720" w:hanging="360"/>
      </w:pPr>
      <w:rPr>
        <w:rFonts w:ascii="Symbol" w:hAnsi="Symbol"/>
      </w:rPr>
    </w:lvl>
    <w:lvl w:ilvl="8" w:tplc="BE543EEA">
      <w:start w:val="1"/>
      <w:numFmt w:val="bullet"/>
      <w:lvlText w:val=""/>
      <w:lvlJc w:val="left"/>
      <w:pPr>
        <w:ind w:left="720" w:hanging="360"/>
      </w:pPr>
      <w:rPr>
        <w:rFonts w:ascii="Symbol" w:hAnsi="Symbol"/>
      </w:rPr>
    </w:lvl>
  </w:abstractNum>
  <w:abstractNum w:abstractNumId="1" w15:restartNumberingAfterBreak="0">
    <w:nsid w:val="0A2F6B80"/>
    <w:multiLevelType w:val="multilevel"/>
    <w:tmpl w:val="73283DF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 w15:restartNumberingAfterBreak="0">
    <w:nsid w:val="16A321EE"/>
    <w:multiLevelType w:val="hybridMultilevel"/>
    <w:tmpl w:val="B9126F96"/>
    <w:lvl w:ilvl="0" w:tplc="89F041FE">
      <w:start w:val="1"/>
      <w:numFmt w:val="bullet"/>
      <w:pStyle w:val="Box1Bullet"/>
      <w:lvlText w:val=""/>
      <w:lvlJc w:val="left"/>
      <w:pPr>
        <w:ind w:left="872" w:hanging="360"/>
      </w:pPr>
      <w:rPr>
        <w:rFonts w:ascii="Symbol" w:hAnsi="Symbol" w:hint="default"/>
      </w:rPr>
    </w:lvl>
    <w:lvl w:ilvl="1" w:tplc="0C090003">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abstractNum w:abstractNumId="3" w15:restartNumberingAfterBreak="0">
    <w:nsid w:val="1B9B3B25"/>
    <w:multiLevelType w:val="hybridMultilevel"/>
    <w:tmpl w:val="5B4E44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BEE3612"/>
    <w:multiLevelType w:val="hybridMultilevel"/>
    <w:tmpl w:val="26AC1176"/>
    <w:lvl w:ilvl="0" w:tplc="F43ADAC0">
      <w:numFmt w:val="bullet"/>
      <w:lvlText w:val="•"/>
      <w:lvlJc w:val="left"/>
      <w:pPr>
        <w:ind w:left="360" w:hanging="360"/>
      </w:pPr>
      <w:rPr>
        <w:rFonts w:ascii="Calibri" w:hAnsi="Calibri" w:hint="default"/>
        <w:color w:val="296C60" w:themeColor="accent1" w:themeShade="80"/>
        <w:sz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C5E70E5"/>
    <w:multiLevelType w:val="hybridMultilevel"/>
    <w:tmpl w:val="A7F033A8"/>
    <w:lvl w:ilvl="0" w:tplc="3FCE2CB6">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9103F7"/>
    <w:multiLevelType w:val="hybridMultilevel"/>
    <w:tmpl w:val="9C96D714"/>
    <w:lvl w:ilvl="0" w:tplc="927C0C74">
      <w:start w:val="1"/>
      <w:numFmt w:val="bullet"/>
      <w:lvlText w:val=""/>
      <w:lvlJc w:val="left"/>
      <w:pPr>
        <w:ind w:left="720" w:hanging="360"/>
      </w:pPr>
      <w:rPr>
        <w:rFonts w:ascii="Symbol" w:hAnsi="Symbol"/>
      </w:rPr>
    </w:lvl>
    <w:lvl w:ilvl="1" w:tplc="25C0A0E2">
      <w:start w:val="1"/>
      <w:numFmt w:val="bullet"/>
      <w:lvlText w:val=""/>
      <w:lvlJc w:val="left"/>
      <w:pPr>
        <w:ind w:left="720" w:hanging="360"/>
      </w:pPr>
      <w:rPr>
        <w:rFonts w:ascii="Symbol" w:hAnsi="Symbol"/>
      </w:rPr>
    </w:lvl>
    <w:lvl w:ilvl="2" w:tplc="7BEEE584">
      <w:start w:val="1"/>
      <w:numFmt w:val="bullet"/>
      <w:lvlText w:val=""/>
      <w:lvlJc w:val="left"/>
      <w:pPr>
        <w:ind w:left="720" w:hanging="360"/>
      </w:pPr>
      <w:rPr>
        <w:rFonts w:ascii="Symbol" w:hAnsi="Symbol"/>
      </w:rPr>
    </w:lvl>
    <w:lvl w:ilvl="3" w:tplc="8A707984">
      <w:start w:val="1"/>
      <w:numFmt w:val="bullet"/>
      <w:lvlText w:val=""/>
      <w:lvlJc w:val="left"/>
      <w:pPr>
        <w:ind w:left="720" w:hanging="360"/>
      </w:pPr>
      <w:rPr>
        <w:rFonts w:ascii="Symbol" w:hAnsi="Symbol"/>
      </w:rPr>
    </w:lvl>
    <w:lvl w:ilvl="4" w:tplc="54E2D44A">
      <w:start w:val="1"/>
      <w:numFmt w:val="bullet"/>
      <w:lvlText w:val=""/>
      <w:lvlJc w:val="left"/>
      <w:pPr>
        <w:ind w:left="720" w:hanging="360"/>
      </w:pPr>
      <w:rPr>
        <w:rFonts w:ascii="Symbol" w:hAnsi="Symbol"/>
      </w:rPr>
    </w:lvl>
    <w:lvl w:ilvl="5" w:tplc="C1F6B238">
      <w:start w:val="1"/>
      <w:numFmt w:val="bullet"/>
      <w:lvlText w:val=""/>
      <w:lvlJc w:val="left"/>
      <w:pPr>
        <w:ind w:left="720" w:hanging="360"/>
      </w:pPr>
      <w:rPr>
        <w:rFonts w:ascii="Symbol" w:hAnsi="Symbol"/>
      </w:rPr>
    </w:lvl>
    <w:lvl w:ilvl="6" w:tplc="8D624FF0">
      <w:start w:val="1"/>
      <w:numFmt w:val="bullet"/>
      <w:lvlText w:val=""/>
      <w:lvlJc w:val="left"/>
      <w:pPr>
        <w:ind w:left="720" w:hanging="360"/>
      </w:pPr>
      <w:rPr>
        <w:rFonts w:ascii="Symbol" w:hAnsi="Symbol"/>
      </w:rPr>
    </w:lvl>
    <w:lvl w:ilvl="7" w:tplc="3F424A18">
      <w:start w:val="1"/>
      <w:numFmt w:val="bullet"/>
      <w:lvlText w:val=""/>
      <w:lvlJc w:val="left"/>
      <w:pPr>
        <w:ind w:left="720" w:hanging="360"/>
      </w:pPr>
      <w:rPr>
        <w:rFonts w:ascii="Symbol" w:hAnsi="Symbol"/>
      </w:rPr>
    </w:lvl>
    <w:lvl w:ilvl="8" w:tplc="01DA5F24">
      <w:start w:val="1"/>
      <w:numFmt w:val="bullet"/>
      <w:lvlText w:val=""/>
      <w:lvlJc w:val="left"/>
      <w:pPr>
        <w:ind w:left="720" w:hanging="360"/>
      </w:pPr>
      <w:rPr>
        <w:rFonts w:ascii="Symbol" w:hAnsi="Symbol"/>
      </w:rPr>
    </w:lvl>
  </w:abstractNum>
  <w:abstractNum w:abstractNumId="7" w15:restartNumberingAfterBreak="0">
    <w:nsid w:val="1EDE5CEA"/>
    <w:multiLevelType w:val="hybridMultilevel"/>
    <w:tmpl w:val="8CD4322E"/>
    <w:lvl w:ilvl="0" w:tplc="9596FF30">
      <w:start w:val="1"/>
      <w:numFmt w:val="bullet"/>
      <w:lvlText w:val=""/>
      <w:lvlJc w:val="left"/>
      <w:pPr>
        <w:ind w:left="720" w:hanging="360"/>
      </w:pPr>
      <w:rPr>
        <w:rFonts w:ascii="Symbol" w:hAnsi="Symbol"/>
      </w:rPr>
    </w:lvl>
    <w:lvl w:ilvl="1" w:tplc="62802314">
      <w:start w:val="1"/>
      <w:numFmt w:val="bullet"/>
      <w:lvlText w:val=""/>
      <w:lvlJc w:val="left"/>
      <w:pPr>
        <w:ind w:left="720" w:hanging="360"/>
      </w:pPr>
      <w:rPr>
        <w:rFonts w:ascii="Symbol" w:hAnsi="Symbol"/>
      </w:rPr>
    </w:lvl>
    <w:lvl w:ilvl="2" w:tplc="FAA2A4DA">
      <w:start w:val="1"/>
      <w:numFmt w:val="bullet"/>
      <w:lvlText w:val=""/>
      <w:lvlJc w:val="left"/>
      <w:pPr>
        <w:ind w:left="720" w:hanging="360"/>
      </w:pPr>
      <w:rPr>
        <w:rFonts w:ascii="Symbol" w:hAnsi="Symbol"/>
      </w:rPr>
    </w:lvl>
    <w:lvl w:ilvl="3" w:tplc="CC989296">
      <w:start w:val="1"/>
      <w:numFmt w:val="bullet"/>
      <w:lvlText w:val=""/>
      <w:lvlJc w:val="left"/>
      <w:pPr>
        <w:ind w:left="720" w:hanging="360"/>
      </w:pPr>
      <w:rPr>
        <w:rFonts w:ascii="Symbol" w:hAnsi="Symbol"/>
      </w:rPr>
    </w:lvl>
    <w:lvl w:ilvl="4" w:tplc="232CBD8A">
      <w:start w:val="1"/>
      <w:numFmt w:val="bullet"/>
      <w:lvlText w:val=""/>
      <w:lvlJc w:val="left"/>
      <w:pPr>
        <w:ind w:left="720" w:hanging="360"/>
      </w:pPr>
      <w:rPr>
        <w:rFonts w:ascii="Symbol" w:hAnsi="Symbol"/>
      </w:rPr>
    </w:lvl>
    <w:lvl w:ilvl="5" w:tplc="0D502AA6">
      <w:start w:val="1"/>
      <w:numFmt w:val="bullet"/>
      <w:lvlText w:val=""/>
      <w:lvlJc w:val="left"/>
      <w:pPr>
        <w:ind w:left="720" w:hanging="360"/>
      </w:pPr>
      <w:rPr>
        <w:rFonts w:ascii="Symbol" w:hAnsi="Symbol"/>
      </w:rPr>
    </w:lvl>
    <w:lvl w:ilvl="6" w:tplc="7DFE0632">
      <w:start w:val="1"/>
      <w:numFmt w:val="bullet"/>
      <w:lvlText w:val=""/>
      <w:lvlJc w:val="left"/>
      <w:pPr>
        <w:ind w:left="720" w:hanging="360"/>
      </w:pPr>
      <w:rPr>
        <w:rFonts w:ascii="Symbol" w:hAnsi="Symbol"/>
      </w:rPr>
    </w:lvl>
    <w:lvl w:ilvl="7" w:tplc="27067D60">
      <w:start w:val="1"/>
      <w:numFmt w:val="bullet"/>
      <w:lvlText w:val=""/>
      <w:lvlJc w:val="left"/>
      <w:pPr>
        <w:ind w:left="720" w:hanging="360"/>
      </w:pPr>
      <w:rPr>
        <w:rFonts w:ascii="Symbol" w:hAnsi="Symbol"/>
      </w:rPr>
    </w:lvl>
    <w:lvl w:ilvl="8" w:tplc="34B21E9E">
      <w:start w:val="1"/>
      <w:numFmt w:val="bullet"/>
      <w:lvlText w:val=""/>
      <w:lvlJc w:val="left"/>
      <w:pPr>
        <w:ind w:left="720" w:hanging="360"/>
      </w:pPr>
      <w:rPr>
        <w:rFonts w:ascii="Symbol" w:hAnsi="Symbol"/>
      </w:rPr>
    </w:lvl>
  </w:abstractNum>
  <w:abstractNum w:abstractNumId="8" w15:restartNumberingAfterBreak="0">
    <w:nsid w:val="25770536"/>
    <w:multiLevelType w:val="hybridMultilevel"/>
    <w:tmpl w:val="28E65490"/>
    <w:lvl w:ilvl="0" w:tplc="93800A74">
      <w:start w:val="1"/>
      <w:numFmt w:val="bullet"/>
      <w:lvlText w:val=""/>
      <w:lvlJc w:val="left"/>
      <w:pPr>
        <w:ind w:left="720" w:hanging="360"/>
      </w:pPr>
      <w:rPr>
        <w:rFonts w:ascii="Symbol" w:hAnsi="Symbol" w:hint="default"/>
        <w:b/>
        <w:i w:val="0"/>
        <w:color w:val="296C60" w:themeColor="accent1" w:themeShade="8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2D3FEA"/>
    <w:multiLevelType w:val="multilevel"/>
    <w:tmpl w:val="D0641FFC"/>
    <w:lvl w:ilvl="0">
      <w:start w:val="1"/>
      <w:numFmt w:val="decimal"/>
      <w:pStyle w:val="Heading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71C16F1"/>
    <w:multiLevelType w:val="hybridMultilevel"/>
    <w:tmpl w:val="C7360AB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A194719"/>
    <w:multiLevelType w:val="hybridMultilevel"/>
    <w:tmpl w:val="B472F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15:restartNumberingAfterBreak="0">
    <w:nsid w:val="2C8766A2"/>
    <w:multiLevelType w:val="hybridMultilevel"/>
    <w:tmpl w:val="4A90CD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DF551AA"/>
    <w:multiLevelType w:val="hybridMultilevel"/>
    <w:tmpl w:val="F2D20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AB3C29"/>
    <w:multiLevelType w:val="hybridMultilevel"/>
    <w:tmpl w:val="1040B3E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1A54C41"/>
    <w:multiLevelType w:val="hybridMultilevel"/>
    <w:tmpl w:val="1D302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5534DC"/>
    <w:multiLevelType w:val="hybridMultilevel"/>
    <w:tmpl w:val="9946990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3092BD9"/>
    <w:multiLevelType w:val="hybridMultilevel"/>
    <w:tmpl w:val="CBB8D064"/>
    <w:lvl w:ilvl="0" w:tplc="227898F4">
      <w:start w:val="1"/>
      <w:numFmt w:val="bullet"/>
      <w:lvlText w:val=""/>
      <w:lvlJc w:val="left"/>
      <w:pPr>
        <w:ind w:left="720" w:hanging="360"/>
      </w:pPr>
      <w:rPr>
        <w:rFonts w:ascii="Symbol" w:hAnsi="Symbol"/>
      </w:rPr>
    </w:lvl>
    <w:lvl w:ilvl="1" w:tplc="30EC57D6">
      <w:start w:val="1"/>
      <w:numFmt w:val="bullet"/>
      <w:lvlText w:val=""/>
      <w:lvlJc w:val="left"/>
      <w:pPr>
        <w:ind w:left="720" w:hanging="360"/>
      </w:pPr>
      <w:rPr>
        <w:rFonts w:ascii="Symbol" w:hAnsi="Symbol"/>
      </w:rPr>
    </w:lvl>
    <w:lvl w:ilvl="2" w:tplc="01F0A7F4">
      <w:start w:val="1"/>
      <w:numFmt w:val="bullet"/>
      <w:lvlText w:val=""/>
      <w:lvlJc w:val="left"/>
      <w:pPr>
        <w:ind w:left="720" w:hanging="360"/>
      </w:pPr>
      <w:rPr>
        <w:rFonts w:ascii="Symbol" w:hAnsi="Symbol"/>
      </w:rPr>
    </w:lvl>
    <w:lvl w:ilvl="3" w:tplc="BD3C4B02">
      <w:start w:val="1"/>
      <w:numFmt w:val="bullet"/>
      <w:lvlText w:val=""/>
      <w:lvlJc w:val="left"/>
      <w:pPr>
        <w:ind w:left="720" w:hanging="360"/>
      </w:pPr>
      <w:rPr>
        <w:rFonts w:ascii="Symbol" w:hAnsi="Symbol"/>
      </w:rPr>
    </w:lvl>
    <w:lvl w:ilvl="4" w:tplc="192027B0">
      <w:start w:val="1"/>
      <w:numFmt w:val="bullet"/>
      <w:lvlText w:val=""/>
      <w:lvlJc w:val="left"/>
      <w:pPr>
        <w:ind w:left="720" w:hanging="360"/>
      </w:pPr>
      <w:rPr>
        <w:rFonts w:ascii="Symbol" w:hAnsi="Symbol"/>
      </w:rPr>
    </w:lvl>
    <w:lvl w:ilvl="5" w:tplc="DAB4CCDC">
      <w:start w:val="1"/>
      <w:numFmt w:val="bullet"/>
      <w:lvlText w:val=""/>
      <w:lvlJc w:val="left"/>
      <w:pPr>
        <w:ind w:left="720" w:hanging="360"/>
      </w:pPr>
      <w:rPr>
        <w:rFonts w:ascii="Symbol" w:hAnsi="Symbol"/>
      </w:rPr>
    </w:lvl>
    <w:lvl w:ilvl="6" w:tplc="B790959A">
      <w:start w:val="1"/>
      <w:numFmt w:val="bullet"/>
      <w:lvlText w:val=""/>
      <w:lvlJc w:val="left"/>
      <w:pPr>
        <w:ind w:left="720" w:hanging="360"/>
      </w:pPr>
      <w:rPr>
        <w:rFonts w:ascii="Symbol" w:hAnsi="Symbol"/>
      </w:rPr>
    </w:lvl>
    <w:lvl w:ilvl="7" w:tplc="D4CE651A">
      <w:start w:val="1"/>
      <w:numFmt w:val="bullet"/>
      <w:lvlText w:val=""/>
      <w:lvlJc w:val="left"/>
      <w:pPr>
        <w:ind w:left="720" w:hanging="360"/>
      </w:pPr>
      <w:rPr>
        <w:rFonts w:ascii="Symbol" w:hAnsi="Symbol"/>
      </w:rPr>
    </w:lvl>
    <w:lvl w:ilvl="8" w:tplc="FAA2E648">
      <w:start w:val="1"/>
      <w:numFmt w:val="bullet"/>
      <w:lvlText w:val=""/>
      <w:lvlJc w:val="left"/>
      <w:pPr>
        <w:ind w:left="720" w:hanging="360"/>
      </w:pPr>
      <w:rPr>
        <w:rFonts w:ascii="Symbol" w:hAnsi="Symbol"/>
      </w:rPr>
    </w:lvl>
  </w:abstractNum>
  <w:abstractNum w:abstractNumId="19" w15:restartNumberingAfterBreak="0">
    <w:nsid w:val="409734A0"/>
    <w:multiLevelType w:val="hybridMultilevel"/>
    <w:tmpl w:val="ADB47BE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539624C"/>
    <w:multiLevelType w:val="hybridMultilevel"/>
    <w:tmpl w:val="80302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E12577"/>
    <w:multiLevelType w:val="hybridMultilevel"/>
    <w:tmpl w:val="F86CF280"/>
    <w:lvl w:ilvl="0" w:tplc="D2326022">
      <w:start w:val="1"/>
      <w:numFmt w:val="bullet"/>
      <w:lvlText w:val=""/>
      <w:lvlJc w:val="left"/>
      <w:pPr>
        <w:ind w:left="720" w:hanging="360"/>
      </w:pPr>
      <w:rPr>
        <w:rFonts w:ascii="Symbol" w:hAnsi="Symbol"/>
      </w:rPr>
    </w:lvl>
    <w:lvl w:ilvl="1" w:tplc="8E12C51A">
      <w:start w:val="1"/>
      <w:numFmt w:val="bullet"/>
      <w:lvlText w:val=""/>
      <w:lvlJc w:val="left"/>
      <w:pPr>
        <w:ind w:left="720" w:hanging="360"/>
      </w:pPr>
      <w:rPr>
        <w:rFonts w:ascii="Symbol" w:hAnsi="Symbol"/>
      </w:rPr>
    </w:lvl>
    <w:lvl w:ilvl="2" w:tplc="084EF864">
      <w:start w:val="1"/>
      <w:numFmt w:val="bullet"/>
      <w:lvlText w:val=""/>
      <w:lvlJc w:val="left"/>
      <w:pPr>
        <w:ind w:left="720" w:hanging="360"/>
      </w:pPr>
      <w:rPr>
        <w:rFonts w:ascii="Symbol" w:hAnsi="Symbol"/>
      </w:rPr>
    </w:lvl>
    <w:lvl w:ilvl="3" w:tplc="A8B6EF64">
      <w:start w:val="1"/>
      <w:numFmt w:val="bullet"/>
      <w:lvlText w:val=""/>
      <w:lvlJc w:val="left"/>
      <w:pPr>
        <w:ind w:left="720" w:hanging="360"/>
      </w:pPr>
      <w:rPr>
        <w:rFonts w:ascii="Symbol" w:hAnsi="Symbol"/>
      </w:rPr>
    </w:lvl>
    <w:lvl w:ilvl="4" w:tplc="5360F244">
      <w:start w:val="1"/>
      <w:numFmt w:val="bullet"/>
      <w:lvlText w:val=""/>
      <w:lvlJc w:val="left"/>
      <w:pPr>
        <w:ind w:left="720" w:hanging="360"/>
      </w:pPr>
      <w:rPr>
        <w:rFonts w:ascii="Symbol" w:hAnsi="Symbol"/>
      </w:rPr>
    </w:lvl>
    <w:lvl w:ilvl="5" w:tplc="DEDC5550">
      <w:start w:val="1"/>
      <w:numFmt w:val="bullet"/>
      <w:lvlText w:val=""/>
      <w:lvlJc w:val="left"/>
      <w:pPr>
        <w:ind w:left="720" w:hanging="360"/>
      </w:pPr>
      <w:rPr>
        <w:rFonts w:ascii="Symbol" w:hAnsi="Symbol"/>
      </w:rPr>
    </w:lvl>
    <w:lvl w:ilvl="6" w:tplc="65422E38">
      <w:start w:val="1"/>
      <w:numFmt w:val="bullet"/>
      <w:lvlText w:val=""/>
      <w:lvlJc w:val="left"/>
      <w:pPr>
        <w:ind w:left="720" w:hanging="360"/>
      </w:pPr>
      <w:rPr>
        <w:rFonts w:ascii="Symbol" w:hAnsi="Symbol"/>
      </w:rPr>
    </w:lvl>
    <w:lvl w:ilvl="7" w:tplc="A1164F20">
      <w:start w:val="1"/>
      <w:numFmt w:val="bullet"/>
      <w:lvlText w:val=""/>
      <w:lvlJc w:val="left"/>
      <w:pPr>
        <w:ind w:left="720" w:hanging="360"/>
      </w:pPr>
      <w:rPr>
        <w:rFonts w:ascii="Symbol" w:hAnsi="Symbol"/>
      </w:rPr>
    </w:lvl>
    <w:lvl w:ilvl="8" w:tplc="CEB6DCDA">
      <w:start w:val="1"/>
      <w:numFmt w:val="bullet"/>
      <w:lvlText w:val=""/>
      <w:lvlJc w:val="left"/>
      <w:pPr>
        <w:ind w:left="720" w:hanging="360"/>
      </w:pPr>
      <w:rPr>
        <w:rFonts w:ascii="Symbol" w:hAnsi="Symbol"/>
      </w:rPr>
    </w:lvl>
  </w:abstractNum>
  <w:abstractNum w:abstractNumId="22" w15:restartNumberingAfterBreak="0">
    <w:nsid w:val="4EAE1DAD"/>
    <w:multiLevelType w:val="hybridMultilevel"/>
    <w:tmpl w:val="5B261E70"/>
    <w:lvl w:ilvl="0" w:tplc="21CAC20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0712BE"/>
    <w:multiLevelType w:val="hybridMultilevel"/>
    <w:tmpl w:val="8744BBE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4FE71890"/>
    <w:multiLevelType w:val="hybridMultilevel"/>
    <w:tmpl w:val="037AB8FC"/>
    <w:lvl w:ilvl="0" w:tplc="460E0AF0">
      <w:start w:val="1"/>
      <w:numFmt w:val="bullet"/>
      <w:lvlText w:val=""/>
      <w:lvlJc w:val="left"/>
      <w:pPr>
        <w:ind w:left="720" w:hanging="360"/>
      </w:pPr>
      <w:rPr>
        <w:rFonts w:ascii="Symbol" w:hAnsi="Symbol"/>
      </w:rPr>
    </w:lvl>
    <w:lvl w:ilvl="1" w:tplc="1BE228F8">
      <w:start w:val="1"/>
      <w:numFmt w:val="bullet"/>
      <w:lvlText w:val=""/>
      <w:lvlJc w:val="left"/>
      <w:pPr>
        <w:ind w:left="720" w:hanging="360"/>
      </w:pPr>
      <w:rPr>
        <w:rFonts w:ascii="Symbol" w:hAnsi="Symbol"/>
      </w:rPr>
    </w:lvl>
    <w:lvl w:ilvl="2" w:tplc="18F0F8B4">
      <w:start w:val="1"/>
      <w:numFmt w:val="bullet"/>
      <w:lvlText w:val=""/>
      <w:lvlJc w:val="left"/>
      <w:pPr>
        <w:ind w:left="720" w:hanging="360"/>
      </w:pPr>
      <w:rPr>
        <w:rFonts w:ascii="Symbol" w:hAnsi="Symbol"/>
      </w:rPr>
    </w:lvl>
    <w:lvl w:ilvl="3" w:tplc="C93C968E">
      <w:start w:val="1"/>
      <w:numFmt w:val="bullet"/>
      <w:lvlText w:val=""/>
      <w:lvlJc w:val="left"/>
      <w:pPr>
        <w:ind w:left="720" w:hanging="360"/>
      </w:pPr>
      <w:rPr>
        <w:rFonts w:ascii="Symbol" w:hAnsi="Symbol"/>
      </w:rPr>
    </w:lvl>
    <w:lvl w:ilvl="4" w:tplc="2DB6FC02">
      <w:start w:val="1"/>
      <w:numFmt w:val="bullet"/>
      <w:lvlText w:val=""/>
      <w:lvlJc w:val="left"/>
      <w:pPr>
        <w:ind w:left="720" w:hanging="360"/>
      </w:pPr>
      <w:rPr>
        <w:rFonts w:ascii="Symbol" w:hAnsi="Symbol"/>
      </w:rPr>
    </w:lvl>
    <w:lvl w:ilvl="5" w:tplc="60B21F2A">
      <w:start w:val="1"/>
      <w:numFmt w:val="bullet"/>
      <w:lvlText w:val=""/>
      <w:lvlJc w:val="left"/>
      <w:pPr>
        <w:ind w:left="720" w:hanging="360"/>
      </w:pPr>
      <w:rPr>
        <w:rFonts w:ascii="Symbol" w:hAnsi="Symbol"/>
      </w:rPr>
    </w:lvl>
    <w:lvl w:ilvl="6" w:tplc="E7425058">
      <w:start w:val="1"/>
      <w:numFmt w:val="bullet"/>
      <w:lvlText w:val=""/>
      <w:lvlJc w:val="left"/>
      <w:pPr>
        <w:ind w:left="720" w:hanging="360"/>
      </w:pPr>
      <w:rPr>
        <w:rFonts w:ascii="Symbol" w:hAnsi="Symbol"/>
      </w:rPr>
    </w:lvl>
    <w:lvl w:ilvl="7" w:tplc="C4987320">
      <w:start w:val="1"/>
      <w:numFmt w:val="bullet"/>
      <w:lvlText w:val=""/>
      <w:lvlJc w:val="left"/>
      <w:pPr>
        <w:ind w:left="720" w:hanging="360"/>
      </w:pPr>
      <w:rPr>
        <w:rFonts w:ascii="Symbol" w:hAnsi="Symbol"/>
      </w:rPr>
    </w:lvl>
    <w:lvl w:ilvl="8" w:tplc="0E0C34D6">
      <w:start w:val="1"/>
      <w:numFmt w:val="bullet"/>
      <w:lvlText w:val=""/>
      <w:lvlJc w:val="left"/>
      <w:pPr>
        <w:ind w:left="720" w:hanging="360"/>
      </w:pPr>
      <w:rPr>
        <w:rFonts w:ascii="Symbol" w:hAnsi="Symbol"/>
      </w:rPr>
    </w:lvl>
  </w:abstractNum>
  <w:abstractNum w:abstractNumId="25" w15:restartNumberingAfterBreak="0">
    <w:nsid w:val="52553D9F"/>
    <w:multiLevelType w:val="multilevel"/>
    <w:tmpl w:val="A6FA45D0"/>
    <w:numStyleLink w:val="BulletsList"/>
  </w:abstractNum>
  <w:abstractNum w:abstractNumId="26"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7" w15:restartNumberingAfterBreak="0">
    <w:nsid w:val="5DA70A09"/>
    <w:multiLevelType w:val="hybridMultilevel"/>
    <w:tmpl w:val="8F6C9556"/>
    <w:lvl w:ilvl="0" w:tplc="7932FFC2">
      <w:start w:val="1"/>
      <w:numFmt w:val="bullet"/>
      <w:lvlText w:val=""/>
      <w:lvlJc w:val="left"/>
      <w:pPr>
        <w:ind w:left="360" w:hanging="360"/>
      </w:pPr>
      <w:rPr>
        <w:rFonts w:ascii="Wingdings" w:hAnsi="Wingdings" w:hint="default"/>
        <w:b/>
        <w:i w:val="0"/>
        <w:color w:val="495965" w:themeColor="text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DEF649F"/>
    <w:multiLevelType w:val="multilevel"/>
    <w:tmpl w:val="3BD00EE2"/>
    <w:styleLink w:val="FigureTitles"/>
    <w:lvl w:ilvl="0">
      <w:start w:val="1"/>
      <w:numFmt w:val="decimal"/>
      <w:lvlText w:val="Figur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29" w15:restartNumberingAfterBreak="0">
    <w:nsid w:val="652921D5"/>
    <w:multiLevelType w:val="hybridMultilevel"/>
    <w:tmpl w:val="4DAA04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9A52ED4"/>
    <w:multiLevelType w:val="hybridMultilevel"/>
    <w:tmpl w:val="FA261C50"/>
    <w:lvl w:ilvl="0" w:tplc="6D140490">
      <w:numFmt w:val="bullet"/>
      <w:lvlText w:val="•"/>
      <w:lvlJc w:val="left"/>
      <w:pPr>
        <w:ind w:left="360" w:hanging="360"/>
      </w:pPr>
      <w:rPr>
        <w:rFonts w:ascii="Calibri" w:hAnsi="Calibri" w:hint="default"/>
        <w:color w:val="296C60" w:themeColor="accent1" w:themeShade="80"/>
        <w:sz w:val="28"/>
      </w:rPr>
    </w:lvl>
    <w:lvl w:ilvl="1" w:tplc="93800A74">
      <w:start w:val="1"/>
      <w:numFmt w:val="bullet"/>
      <w:lvlText w:val=""/>
      <w:lvlJc w:val="left"/>
      <w:pPr>
        <w:ind w:left="1080" w:hanging="360"/>
      </w:pPr>
      <w:rPr>
        <w:rFonts w:ascii="Symbol" w:hAnsi="Symbol" w:hint="default"/>
        <w:b/>
        <w:i w:val="0"/>
        <w:color w:val="296C60" w:themeColor="accent1" w:themeShade="80"/>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CF01412"/>
    <w:multiLevelType w:val="hybridMultilevel"/>
    <w:tmpl w:val="3E72F5A6"/>
    <w:lvl w:ilvl="0" w:tplc="7D26C1BA">
      <w:start w:val="1"/>
      <w:numFmt w:val="bullet"/>
      <w:lvlText w:val=""/>
      <w:lvlJc w:val="left"/>
      <w:pPr>
        <w:ind w:left="720" w:hanging="360"/>
      </w:pPr>
      <w:rPr>
        <w:rFonts w:ascii="Symbol" w:hAnsi="Symbol"/>
      </w:rPr>
    </w:lvl>
    <w:lvl w:ilvl="1" w:tplc="A0FEDBF4">
      <w:start w:val="1"/>
      <w:numFmt w:val="bullet"/>
      <w:lvlText w:val=""/>
      <w:lvlJc w:val="left"/>
      <w:pPr>
        <w:ind w:left="720" w:hanging="360"/>
      </w:pPr>
      <w:rPr>
        <w:rFonts w:ascii="Symbol" w:hAnsi="Symbol"/>
      </w:rPr>
    </w:lvl>
    <w:lvl w:ilvl="2" w:tplc="BA76DFE0">
      <w:start w:val="1"/>
      <w:numFmt w:val="bullet"/>
      <w:lvlText w:val=""/>
      <w:lvlJc w:val="left"/>
      <w:pPr>
        <w:ind w:left="720" w:hanging="360"/>
      </w:pPr>
      <w:rPr>
        <w:rFonts w:ascii="Symbol" w:hAnsi="Symbol"/>
      </w:rPr>
    </w:lvl>
    <w:lvl w:ilvl="3" w:tplc="44EEF014">
      <w:start w:val="1"/>
      <w:numFmt w:val="bullet"/>
      <w:lvlText w:val=""/>
      <w:lvlJc w:val="left"/>
      <w:pPr>
        <w:ind w:left="720" w:hanging="360"/>
      </w:pPr>
      <w:rPr>
        <w:rFonts w:ascii="Symbol" w:hAnsi="Symbol"/>
      </w:rPr>
    </w:lvl>
    <w:lvl w:ilvl="4" w:tplc="F95A98EC">
      <w:start w:val="1"/>
      <w:numFmt w:val="bullet"/>
      <w:lvlText w:val=""/>
      <w:lvlJc w:val="left"/>
      <w:pPr>
        <w:ind w:left="720" w:hanging="360"/>
      </w:pPr>
      <w:rPr>
        <w:rFonts w:ascii="Symbol" w:hAnsi="Symbol"/>
      </w:rPr>
    </w:lvl>
    <w:lvl w:ilvl="5" w:tplc="367EF35E">
      <w:start w:val="1"/>
      <w:numFmt w:val="bullet"/>
      <w:lvlText w:val=""/>
      <w:lvlJc w:val="left"/>
      <w:pPr>
        <w:ind w:left="720" w:hanging="360"/>
      </w:pPr>
      <w:rPr>
        <w:rFonts w:ascii="Symbol" w:hAnsi="Symbol"/>
      </w:rPr>
    </w:lvl>
    <w:lvl w:ilvl="6" w:tplc="01D4A050">
      <w:start w:val="1"/>
      <w:numFmt w:val="bullet"/>
      <w:lvlText w:val=""/>
      <w:lvlJc w:val="left"/>
      <w:pPr>
        <w:ind w:left="720" w:hanging="360"/>
      </w:pPr>
      <w:rPr>
        <w:rFonts w:ascii="Symbol" w:hAnsi="Symbol"/>
      </w:rPr>
    </w:lvl>
    <w:lvl w:ilvl="7" w:tplc="C656487E">
      <w:start w:val="1"/>
      <w:numFmt w:val="bullet"/>
      <w:lvlText w:val=""/>
      <w:lvlJc w:val="left"/>
      <w:pPr>
        <w:ind w:left="720" w:hanging="360"/>
      </w:pPr>
      <w:rPr>
        <w:rFonts w:ascii="Symbol" w:hAnsi="Symbol"/>
      </w:rPr>
    </w:lvl>
    <w:lvl w:ilvl="8" w:tplc="884C6430">
      <w:start w:val="1"/>
      <w:numFmt w:val="bullet"/>
      <w:lvlText w:val=""/>
      <w:lvlJc w:val="left"/>
      <w:pPr>
        <w:ind w:left="720" w:hanging="360"/>
      </w:pPr>
      <w:rPr>
        <w:rFonts w:ascii="Symbol" w:hAnsi="Symbol"/>
      </w:rPr>
    </w:lvl>
  </w:abstractNum>
  <w:abstractNum w:abstractNumId="32" w15:restartNumberingAfterBreak="0">
    <w:nsid w:val="6E0C0A95"/>
    <w:multiLevelType w:val="hybridMultilevel"/>
    <w:tmpl w:val="6F18632A"/>
    <w:lvl w:ilvl="0" w:tplc="BEB2302A">
      <w:start w:val="1"/>
      <w:numFmt w:val="bullet"/>
      <w:lvlText w:val=""/>
      <w:lvlJc w:val="left"/>
      <w:pPr>
        <w:ind w:left="720" w:hanging="360"/>
      </w:pPr>
      <w:rPr>
        <w:rFonts w:ascii="Symbol" w:hAnsi="Symbol"/>
      </w:rPr>
    </w:lvl>
    <w:lvl w:ilvl="1" w:tplc="4758656A">
      <w:start w:val="1"/>
      <w:numFmt w:val="bullet"/>
      <w:lvlText w:val=""/>
      <w:lvlJc w:val="left"/>
      <w:pPr>
        <w:ind w:left="720" w:hanging="360"/>
      </w:pPr>
      <w:rPr>
        <w:rFonts w:ascii="Symbol" w:hAnsi="Symbol"/>
      </w:rPr>
    </w:lvl>
    <w:lvl w:ilvl="2" w:tplc="205CF544">
      <w:start w:val="1"/>
      <w:numFmt w:val="bullet"/>
      <w:lvlText w:val=""/>
      <w:lvlJc w:val="left"/>
      <w:pPr>
        <w:ind w:left="720" w:hanging="360"/>
      </w:pPr>
      <w:rPr>
        <w:rFonts w:ascii="Symbol" w:hAnsi="Symbol"/>
      </w:rPr>
    </w:lvl>
    <w:lvl w:ilvl="3" w:tplc="B322C81C">
      <w:start w:val="1"/>
      <w:numFmt w:val="bullet"/>
      <w:lvlText w:val=""/>
      <w:lvlJc w:val="left"/>
      <w:pPr>
        <w:ind w:left="720" w:hanging="360"/>
      </w:pPr>
      <w:rPr>
        <w:rFonts w:ascii="Symbol" w:hAnsi="Symbol"/>
      </w:rPr>
    </w:lvl>
    <w:lvl w:ilvl="4" w:tplc="825806D4">
      <w:start w:val="1"/>
      <w:numFmt w:val="bullet"/>
      <w:lvlText w:val=""/>
      <w:lvlJc w:val="left"/>
      <w:pPr>
        <w:ind w:left="720" w:hanging="360"/>
      </w:pPr>
      <w:rPr>
        <w:rFonts w:ascii="Symbol" w:hAnsi="Symbol"/>
      </w:rPr>
    </w:lvl>
    <w:lvl w:ilvl="5" w:tplc="5C689360">
      <w:start w:val="1"/>
      <w:numFmt w:val="bullet"/>
      <w:lvlText w:val=""/>
      <w:lvlJc w:val="left"/>
      <w:pPr>
        <w:ind w:left="720" w:hanging="360"/>
      </w:pPr>
      <w:rPr>
        <w:rFonts w:ascii="Symbol" w:hAnsi="Symbol"/>
      </w:rPr>
    </w:lvl>
    <w:lvl w:ilvl="6" w:tplc="3B14D664">
      <w:start w:val="1"/>
      <w:numFmt w:val="bullet"/>
      <w:lvlText w:val=""/>
      <w:lvlJc w:val="left"/>
      <w:pPr>
        <w:ind w:left="720" w:hanging="360"/>
      </w:pPr>
      <w:rPr>
        <w:rFonts w:ascii="Symbol" w:hAnsi="Symbol"/>
      </w:rPr>
    </w:lvl>
    <w:lvl w:ilvl="7" w:tplc="6046D0CE">
      <w:start w:val="1"/>
      <w:numFmt w:val="bullet"/>
      <w:lvlText w:val=""/>
      <w:lvlJc w:val="left"/>
      <w:pPr>
        <w:ind w:left="720" w:hanging="360"/>
      </w:pPr>
      <w:rPr>
        <w:rFonts w:ascii="Symbol" w:hAnsi="Symbol"/>
      </w:rPr>
    </w:lvl>
    <w:lvl w:ilvl="8" w:tplc="2BFE12E6">
      <w:start w:val="1"/>
      <w:numFmt w:val="bullet"/>
      <w:lvlText w:val=""/>
      <w:lvlJc w:val="left"/>
      <w:pPr>
        <w:ind w:left="720" w:hanging="360"/>
      </w:pPr>
      <w:rPr>
        <w:rFonts w:ascii="Symbol" w:hAnsi="Symbol"/>
      </w:rPr>
    </w:lvl>
  </w:abstractNum>
  <w:abstractNum w:abstractNumId="33" w15:restartNumberingAfterBreak="0">
    <w:nsid w:val="6E3374A9"/>
    <w:multiLevelType w:val="hybridMultilevel"/>
    <w:tmpl w:val="582028F2"/>
    <w:lvl w:ilvl="0" w:tplc="521200FC">
      <w:start w:val="1"/>
      <w:numFmt w:val="bullet"/>
      <w:pStyle w:val="BodyBullets"/>
      <w:lvlText w:val=""/>
      <w:lvlJc w:val="left"/>
      <w:pPr>
        <w:tabs>
          <w:tab w:val="num" w:pos="0"/>
        </w:tabs>
        <w:ind w:left="284" w:firstLine="0"/>
      </w:pPr>
      <w:rPr>
        <w:rFonts w:ascii="Symbol" w:hAnsi="Symbol" w:hint="default"/>
        <w:color w:val="009FBB"/>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7278E"/>
    <w:multiLevelType w:val="hybridMultilevel"/>
    <w:tmpl w:val="7D6C0AB6"/>
    <w:lvl w:ilvl="0" w:tplc="2402EC6C">
      <w:start w:val="1"/>
      <w:numFmt w:val="bullet"/>
      <w:lvlText w:val=""/>
      <w:lvlJc w:val="left"/>
      <w:pPr>
        <w:ind w:left="720" w:hanging="360"/>
      </w:pPr>
      <w:rPr>
        <w:rFonts w:ascii="Symbol" w:hAnsi="Symbol"/>
      </w:rPr>
    </w:lvl>
    <w:lvl w:ilvl="1" w:tplc="6C1E2E70">
      <w:start w:val="1"/>
      <w:numFmt w:val="bullet"/>
      <w:lvlText w:val=""/>
      <w:lvlJc w:val="left"/>
      <w:pPr>
        <w:ind w:left="720" w:hanging="360"/>
      </w:pPr>
      <w:rPr>
        <w:rFonts w:ascii="Symbol" w:hAnsi="Symbol"/>
      </w:rPr>
    </w:lvl>
    <w:lvl w:ilvl="2" w:tplc="01CE7DB0">
      <w:start w:val="1"/>
      <w:numFmt w:val="bullet"/>
      <w:lvlText w:val=""/>
      <w:lvlJc w:val="left"/>
      <w:pPr>
        <w:ind w:left="720" w:hanging="360"/>
      </w:pPr>
      <w:rPr>
        <w:rFonts w:ascii="Symbol" w:hAnsi="Symbol"/>
      </w:rPr>
    </w:lvl>
    <w:lvl w:ilvl="3" w:tplc="2DF6B24C">
      <w:start w:val="1"/>
      <w:numFmt w:val="bullet"/>
      <w:lvlText w:val=""/>
      <w:lvlJc w:val="left"/>
      <w:pPr>
        <w:ind w:left="720" w:hanging="360"/>
      </w:pPr>
      <w:rPr>
        <w:rFonts w:ascii="Symbol" w:hAnsi="Symbol"/>
      </w:rPr>
    </w:lvl>
    <w:lvl w:ilvl="4" w:tplc="C10CA392">
      <w:start w:val="1"/>
      <w:numFmt w:val="bullet"/>
      <w:lvlText w:val=""/>
      <w:lvlJc w:val="left"/>
      <w:pPr>
        <w:ind w:left="720" w:hanging="360"/>
      </w:pPr>
      <w:rPr>
        <w:rFonts w:ascii="Symbol" w:hAnsi="Symbol"/>
      </w:rPr>
    </w:lvl>
    <w:lvl w:ilvl="5" w:tplc="C1100B24">
      <w:start w:val="1"/>
      <w:numFmt w:val="bullet"/>
      <w:lvlText w:val=""/>
      <w:lvlJc w:val="left"/>
      <w:pPr>
        <w:ind w:left="720" w:hanging="360"/>
      </w:pPr>
      <w:rPr>
        <w:rFonts w:ascii="Symbol" w:hAnsi="Symbol"/>
      </w:rPr>
    </w:lvl>
    <w:lvl w:ilvl="6" w:tplc="A38A4F22">
      <w:start w:val="1"/>
      <w:numFmt w:val="bullet"/>
      <w:lvlText w:val=""/>
      <w:lvlJc w:val="left"/>
      <w:pPr>
        <w:ind w:left="720" w:hanging="360"/>
      </w:pPr>
      <w:rPr>
        <w:rFonts w:ascii="Symbol" w:hAnsi="Symbol"/>
      </w:rPr>
    </w:lvl>
    <w:lvl w:ilvl="7" w:tplc="5DBC6E86">
      <w:start w:val="1"/>
      <w:numFmt w:val="bullet"/>
      <w:lvlText w:val=""/>
      <w:lvlJc w:val="left"/>
      <w:pPr>
        <w:ind w:left="720" w:hanging="360"/>
      </w:pPr>
      <w:rPr>
        <w:rFonts w:ascii="Symbol" w:hAnsi="Symbol"/>
      </w:rPr>
    </w:lvl>
    <w:lvl w:ilvl="8" w:tplc="8586F70A">
      <w:start w:val="1"/>
      <w:numFmt w:val="bullet"/>
      <w:lvlText w:val=""/>
      <w:lvlJc w:val="left"/>
      <w:pPr>
        <w:ind w:left="720" w:hanging="360"/>
      </w:pPr>
      <w:rPr>
        <w:rFonts w:ascii="Symbol" w:hAnsi="Symbol"/>
      </w:rPr>
    </w:lvl>
  </w:abstractNum>
  <w:abstractNum w:abstractNumId="35" w15:restartNumberingAfterBreak="0">
    <w:nsid w:val="73107305"/>
    <w:multiLevelType w:val="multilevel"/>
    <w:tmpl w:val="A6FA45D0"/>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6" w15:restartNumberingAfterBreak="0">
    <w:nsid w:val="792E3E94"/>
    <w:multiLevelType w:val="hybridMultilevel"/>
    <w:tmpl w:val="F5FC89DC"/>
    <w:lvl w:ilvl="0" w:tplc="0D469CE2">
      <w:start w:val="1"/>
      <w:numFmt w:val="bullet"/>
      <w:pStyle w:val="Box2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7AF0103D"/>
    <w:multiLevelType w:val="hybridMultilevel"/>
    <w:tmpl w:val="47BECC62"/>
    <w:lvl w:ilvl="0" w:tplc="72B64196">
      <w:start w:val="1"/>
      <w:numFmt w:val="bullet"/>
      <w:lvlText w:val=""/>
      <w:lvlJc w:val="left"/>
      <w:pPr>
        <w:ind w:left="720" w:hanging="360"/>
      </w:pPr>
      <w:rPr>
        <w:rFonts w:ascii="Symbol" w:hAnsi="Symbol"/>
      </w:rPr>
    </w:lvl>
    <w:lvl w:ilvl="1" w:tplc="637A9A44">
      <w:start w:val="1"/>
      <w:numFmt w:val="bullet"/>
      <w:lvlText w:val=""/>
      <w:lvlJc w:val="left"/>
      <w:pPr>
        <w:ind w:left="720" w:hanging="360"/>
      </w:pPr>
      <w:rPr>
        <w:rFonts w:ascii="Symbol" w:hAnsi="Symbol"/>
      </w:rPr>
    </w:lvl>
    <w:lvl w:ilvl="2" w:tplc="BA502516">
      <w:start w:val="1"/>
      <w:numFmt w:val="bullet"/>
      <w:lvlText w:val=""/>
      <w:lvlJc w:val="left"/>
      <w:pPr>
        <w:ind w:left="720" w:hanging="360"/>
      </w:pPr>
      <w:rPr>
        <w:rFonts w:ascii="Symbol" w:hAnsi="Symbol"/>
      </w:rPr>
    </w:lvl>
    <w:lvl w:ilvl="3" w:tplc="44386C8C">
      <w:start w:val="1"/>
      <w:numFmt w:val="bullet"/>
      <w:lvlText w:val=""/>
      <w:lvlJc w:val="left"/>
      <w:pPr>
        <w:ind w:left="720" w:hanging="360"/>
      </w:pPr>
      <w:rPr>
        <w:rFonts w:ascii="Symbol" w:hAnsi="Symbol"/>
      </w:rPr>
    </w:lvl>
    <w:lvl w:ilvl="4" w:tplc="A2AE84B2">
      <w:start w:val="1"/>
      <w:numFmt w:val="bullet"/>
      <w:lvlText w:val=""/>
      <w:lvlJc w:val="left"/>
      <w:pPr>
        <w:ind w:left="720" w:hanging="360"/>
      </w:pPr>
      <w:rPr>
        <w:rFonts w:ascii="Symbol" w:hAnsi="Symbol"/>
      </w:rPr>
    </w:lvl>
    <w:lvl w:ilvl="5" w:tplc="0EA41554">
      <w:start w:val="1"/>
      <w:numFmt w:val="bullet"/>
      <w:lvlText w:val=""/>
      <w:lvlJc w:val="left"/>
      <w:pPr>
        <w:ind w:left="720" w:hanging="360"/>
      </w:pPr>
      <w:rPr>
        <w:rFonts w:ascii="Symbol" w:hAnsi="Symbol"/>
      </w:rPr>
    </w:lvl>
    <w:lvl w:ilvl="6" w:tplc="7454248E">
      <w:start w:val="1"/>
      <w:numFmt w:val="bullet"/>
      <w:lvlText w:val=""/>
      <w:lvlJc w:val="left"/>
      <w:pPr>
        <w:ind w:left="720" w:hanging="360"/>
      </w:pPr>
      <w:rPr>
        <w:rFonts w:ascii="Symbol" w:hAnsi="Symbol"/>
      </w:rPr>
    </w:lvl>
    <w:lvl w:ilvl="7" w:tplc="BCFCC028">
      <w:start w:val="1"/>
      <w:numFmt w:val="bullet"/>
      <w:lvlText w:val=""/>
      <w:lvlJc w:val="left"/>
      <w:pPr>
        <w:ind w:left="720" w:hanging="360"/>
      </w:pPr>
      <w:rPr>
        <w:rFonts w:ascii="Symbol" w:hAnsi="Symbol"/>
      </w:rPr>
    </w:lvl>
    <w:lvl w:ilvl="8" w:tplc="38FA4780">
      <w:start w:val="1"/>
      <w:numFmt w:val="bullet"/>
      <w:lvlText w:val=""/>
      <w:lvlJc w:val="left"/>
      <w:pPr>
        <w:ind w:left="720" w:hanging="360"/>
      </w:pPr>
      <w:rPr>
        <w:rFonts w:ascii="Symbol" w:hAnsi="Symbol"/>
      </w:rPr>
    </w:lvl>
  </w:abstractNum>
  <w:num w:numId="1" w16cid:durableId="1430276181">
    <w:abstractNumId w:val="35"/>
  </w:num>
  <w:num w:numId="2" w16cid:durableId="1315643535">
    <w:abstractNumId w:val="1"/>
  </w:num>
  <w:num w:numId="3" w16cid:durableId="1947957561">
    <w:abstractNumId w:val="12"/>
  </w:num>
  <w:num w:numId="4" w16cid:durableId="1784114282">
    <w:abstractNumId w:val="26"/>
  </w:num>
  <w:num w:numId="5" w16cid:durableId="532810707">
    <w:abstractNumId w:val="28"/>
  </w:num>
  <w:num w:numId="6" w16cid:durableId="828713263">
    <w:abstractNumId w:val="12"/>
  </w:num>
  <w:num w:numId="7" w16cid:durableId="1430739543">
    <w:abstractNumId w:val="1"/>
  </w:num>
  <w:num w:numId="8" w16cid:durableId="1741631782">
    <w:abstractNumId w:val="2"/>
  </w:num>
  <w:num w:numId="9" w16cid:durableId="794107207">
    <w:abstractNumId w:val="36"/>
  </w:num>
  <w:num w:numId="10" w16cid:durableId="1674917365">
    <w:abstractNumId w:val="25"/>
  </w:num>
  <w:num w:numId="11" w16cid:durableId="1499029997">
    <w:abstractNumId w:val="33"/>
  </w:num>
  <w:num w:numId="12" w16cid:durableId="99687094">
    <w:abstractNumId w:val="9"/>
  </w:num>
  <w:num w:numId="13" w16cid:durableId="2009364582">
    <w:abstractNumId w:val="15"/>
  </w:num>
  <w:num w:numId="14" w16cid:durableId="938180312">
    <w:abstractNumId w:val="17"/>
  </w:num>
  <w:num w:numId="15" w16cid:durableId="172647789">
    <w:abstractNumId w:val="10"/>
  </w:num>
  <w:num w:numId="16" w16cid:durableId="88670272">
    <w:abstractNumId w:val="19"/>
  </w:num>
  <w:num w:numId="17" w16cid:durableId="1093088042">
    <w:abstractNumId w:val="14"/>
  </w:num>
  <w:num w:numId="18" w16cid:durableId="1295597225">
    <w:abstractNumId w:val="11"/>
  </w:num>
  <w:num w:numId="19" w16cid:durableId="1903904906">
    <w:abstractNumId w:val="4"/>
  </w:num>
  <w:num w:numId="20" w16cid:durableId="1194002001">
    <w:abstractNumId w:val="30"/>
  </w:num>
  <w:num w:numId="21" w16cid:durableId="875780186">
    <w:abstractNumId w:val="20"/>
  </w:num>
  <w:num w:numId="22" w16cid:durableId="1121996217">
    <w:abstractNumId w:val="29"/>
  </w:num>
  <w:num w:numId="23" w16cid:durableId="1900704299">
    <w:abstractNumId w:val="13"/>
  </w:num>
  <w:num w:numId="24" w16cid:durableId="212085378">
    <w:abstractNumId w:val="18"/>
  </w:num>
  <w:num w:numId="25" w16cid:durableId="2131506711">
    <w:abstractNumId w:val="0"/>
  </w:num>
  <w:num w:numId="26" w16cid:durableId="18363972">
    <w:abstractNumId w:val="31"/>
  </w:num>
  <w:num w:numId="27" w16cid:durableId="2076387747">
    <w:abstractNumId w:val="7"/>
  </w:num>
  <w:num w:numId="28" w16cid:durableId="829904769">
    <w:abstractNumId w:val="24"/>
  </w:num>
  <w:num w:numId="29" w16cid:durableId="629749706">
    <w:abstractNumId w:val="37"/>
  </w:num>
  <w:num w:numId="30" w16cid:durableId="880944200">
    <w:abstractNumId w:val="6"/>
  </w:num>
  <w:num w:numId="31" w16cid:durableId="1067075296">
    <w:abstractNumId w:val="32"/>
  </w:num>
  <w:num w:numId="32" w16cid:durableId="1928417944">
    <w:abstractNumId w:val="34"/>
  </w:num>
  <w:num w:numId="33" w16cid:durableId="754715633">
    <w:abstractNumId w:val="21"/>
  </w:num>
  <w:num w:numId="34" w16cid:durableId="242447382">
    <w:abstractNumId w:val="16"/>
  </w:num>
  <w:num w:numId="35" w16cid:durableId="1704213535">
    <w:abstractNumId w:val="8"/>
  </w:num>
  <w:num w:numId="36" w16cid:durableId="1854297891">
    <w:abstractNumId w:val="22"/>
  </w:num>
  <w:num w:numId="37" w16cid:durableId="980305722">
    <w:abstractNumId w:val="3"/>
  </w:num>
  <w:num w:numId="38" w16cid:durableId="312762195">
    <w:abstractNumId w:val="5"/>
  </w:num>
  <w:num w:numId="39" w16cid:durableId="2089301417">
    <w:abstractNumId w:val="27"/>
  </w:num>
  <w:num w:numId="40" w16cid:durableId="966618548">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057"/>
    <w:rsid w:val="00001DA8"/>
    <w:rsid w:val="000020C1"/>
    <w:rsid w:val="000064BC"/>
    <w:rsid w:val="00006AFC"/>
    <w:rsid w:val="0000720E"/>
    <w:rsid w:val="0000729A"/>
    <w:rsid w:val="00013BC4"/>
    <w:rsid w:val="0001497D"/>
    <w:rsid w:val="00014ECA"/>
    <w:rsid w:val="00016A71"/>
    <w:rsid w:val="00017608"/>
    <w:rsid w:val="0002080A"/>
    <w:rsid w:val="0002192E"/>
    <w:rsid w:val="00021ECF"/>
    <w:rsid w:val="0002223B"/>
    <w:rsid w:val="000246B7"/>
    <w:rsid w:val="0002548B"/>
    <w:rsid w:val="000266C4"/>
    <w:rsid w:val="00026A49"/>
    <w:rsid w:val="000270A9"/>
    <w:rsid w:val="00027709"/>
    <w:rsid w:val="0002782F"/>
    <w:rsid w:val="000304E9"/>
    <w:rsid w:val="00030BC9"/>
    <w:rsid w:val="00030FB8"/>
    <w:rsid w:val="000318B0"/>
    <w:rsid w:val="00034CD4"/>
    <w:rsid w:val="00035BBF"/>
    <w:rsid w:val="00041D5B"/>
    <w:rsid w:val="00042DA6"/>
    <w:rsid w:val="00045F10"/>
    <w:rsid w:val="0004633A"/>
    <w:rsid w:val="00046558"/>
    <w:rsid w:val="00050806"/>
    <w:rsid w:val="00051C5F"/>
    <w:rsid w:val="000546D9"/>
    <w:rsid w:val="00054E4D"/>
    <w:rsid w:val="00057F3C"/>
    <w:rsid w:val="0006001A"/>
    <w:rsid w:val="00060073"/>
    <w:rsid w:val="00060FEB"/>
    <w:rsid w:val="000616C6"/>
    <w:rsid w:val="00061FD7"/>
    <w:rsid w:val="00062520"/>
    <w:rsid w:val="00062828"/>
    <w:rsid w:val="00062F3F"/>
    <w:rsid w:val="000638FB"/>
    <w:rsid w:val="000641AF"/>
    <w:rsid w:val="00065C7D"/>
    <w:rsid w:val="00065F2C"/>
    <w:rsid w:val="00066ACD"/>
    <w:rsid w:val="000673ED"/>
    <w:rsid w:val="00067459"/>
    <w:rsid w:val="00067B98"/>
    <w:rsid w:val="00071B09"/>
    <w:rsid w:val="00072242"/>
    <w:rsid w:val="00073112"/>
    <w:rsid w:val="00074753"/>
    <w:rsid w:val="00075551"/>
    <w:rsid w:val="000807CD"/>
    <w:rsid w:val="0008237C"/>
    <w:rsid w:val="000842A2"/>
    <w:rsid w:val="000854FD"/>
    <w:rsid w:val="00090316"/>
    <w:rsid w:val="0009085B"/>
    <w:rsid w:val="00090DA1"/>
    <w:rsid w:val="000918B8"/>
    <w:rsid w:val="00092456"/>
    <w:rsid w:val="0009372D"/>
    <w:rsid w:val="00093A28"/>
    <w:rsid w:val="000966A9"/>
    <w:rsid w:val="000975D8"/>
    <w:rsid w:val="000A2A8B"/>
    <w:rsid w:val="000A5CC9"/>
    <w:rsid w:val="000A6500"/>
    <w:rsid w:val="000B37F5"/>
    <w:rsid w:val="000B3E6E"/>
    <w:rsid w:val="000B63A0"/>
    <w:rsid w:val="000B7A53"/>
    <w:rsid w:val="000C1CA1"/>
    <w:rsid w:val="000C4A34"/>
    <w:rsid w:val="000C56E0"/>
    <w:rsid w:val="000C6397"/>
    <w:rsid w:val="000C6486"/>
    <w:rsid w:val="000C7B2D"/>
    <w:rsid w:val="000C7D8B"/>
    <w:rsid w:val="000D13DA"/>
    <w:rsid w:val="000D4513"/>
    <w:rsid w:val="000D621B"/>
    <w:rsid w:val="000D66D6"/>
    <w:rsid w:val="000D747E"/>
    <w:rsid w:val="000E2820"/>
    <w:rsid w:val="000E5B4C"/>
    <w:rsid w:val="000F5206"/>
    <w:rsid w:val="000F551F"/>
    <w:rsid w:val="000F6673"/>
    <w:rsid w:val="001020CE"/>
    <w:rsid w:val="0010222C"/>
    <w:rsid w:val="001058D1"/>
    <w:rsid w:val="00106FB6"/>
    <w:rsid w:val="00110A06"/>
    <w:rsid w:val="001123D0"/>
    <w:rsid w:val="00113288"/>
    <w:rsid w:val="00113449"/>
    <w:rsid w:val="00117D53"/>
    <w:rsid w:val="00120667"/>
    <w:rsid w:val="001206A7"/>
    <w:rsid w:val="00120E7E"/>
    <w:rsid w:val="001214BE"/>
    <w:rsid w:val="001227BD"/>
    <w:rsid w:val="001249EE"/>
    <w:rsid w:val="00125E15"/>
    <w:rsid w:val="00125F61"/>
    <w:rsid w:val="0012669B"/>
    <w:rsid w:val="001306B7"/>
    <w:rsid w:val="0013101C"/>
    <w:rsid w:val="001312B8"/>
    <w:rsid w:val="001313B7"/>
    <w:rsid w:val="001315A9"/>
    <w:rsid w:val="001317E1"/>
    <w:rsid w:val="0013641C"/>
    <w:rsid w:val="001371E4"/>
    <w:rsid w:val="00137323"/>
    <w:rsid w:val="0014059A"/>
    <w:rsid w:val="00140B1B"/>
    <w:rsid w:val="001418DA"/>
    <w:rsid w:val="001422A1"/>
    <w:rsid w:val="00142CD1"/>
    <w:rsid w:val="001461D6"/>
    <w:rsid w:val="00146D54"/>
    <w:rsid w:val="0014710C"/>
    <w:rsid w:val="001541EA"/>
    <w:rsid w:val="00155B79"/>
    <w:rsid w:val="00155C3D"/>
    <w:rsid w:val="0015628F"/>
    <w:rsid w:val="00156C64"/>
    <w:rsid w:val="00161D77"/>
    <w:rsid w:val="001640F6"/>
    <w:rsid w:val="00164D12"/>
    <w:rsid w:val="001657D5"/>
    <w:rsid w:val="00165A52"/>
    <w:rsid w:val="00167551"/>
    <w:rsid w:val="00170864"/>
    <w:rsid w:val="00170C6F"/>
    <w:rsid w:val="0017148F"/>
    <w:rsid w:val="001728B2"/>
    <w:rsid w:val="001747B1"/>
    <w:rsid w:val="0018199A"/>
    <w:rsid w:val="001827DC"/>
    <w:rsid w:val="001828CE"/>
    <w:rsid w:val="001841BD"/>
    <w:rsid w:val="0018427B"/>
    <w:rsid w:val="00184524"/>
    <w:rsid w:val="00184833"/>
    <w:rsid w:val="0018512B"/>
    <w:rsid w:val="00185184"/>
    <w:rsid w:val="00185E47"/>
    <w:rsid w:val="00186B34"/>
    <w:rsid w:val="0019018F"/>
    <w:rsid w:val="001902C7"/>
    <w:rsid w:val="00190E70"/>
    <w:rsid w:val="001916C6"/>
    <w:rsid w:val="00193274"/>
    <w:rsid w:val="001946BE"/>
    <w:rsid w:val="001A17D9"/>
    <w:rsid w:val="001A2E3C"/>
    <w:rsid w:val="001A4010"/>
    <w:rsid w:val="001B01B7"/>
    <w:rsid w:val="001B02A1"/>
    <w:rsid w:val="001B0484"/>
    <w:rsid w:val="001B1C87"/>
    <w:rsid w:val="001B1C95"/>
    <w:rsid w:val="001B245A"/>
    <w:rsid w:val="001B3BF1"/>
    <w:rsid w:val="001B4E1A"/>
    <w:rsid w:val="001B503C"/>
    <w:rsid w:val="001B7433"/>
    <w:rsid w:val="001B7F10"/>
    <w:rsid w:val="001B7F5D"/>
    <w:rsid w:val="001C23EB"/>
    <w:rsid w:val="001C3A31"/>
    <w:rsid w:val="001C4882"/>
    <w:rsid w:val="001C5ACA"/>
    <w:rsid w:val="001C6507"/>
    <w:rsid w:val="001C6A46"/>
    <w:rsid w:val="001C6D06"/>
    <w:rsid w:val="001C6E5A"/>
    <w:rsid w:val="001D192B"/>
    <w:rsid w:val="001D601E"/>
    <w:rsid w:val="001D663E"/>
    <w:rsid w:val="001D70DF"/>
    <w:rsid w:val="001D7F13"/>
    <w:rsid w:val="001E15C0"/>
    <w:rsid w:val="001E1DC0"/>
    <w:rsid w:val="001E538A"/>
    <w:rsid w:val="001F0202"/>
    <w:rsid w:val="001F13FB"/>
    <w:rsid w:val="001F23B6"/>
    <w:rsid w:val="001F33D1"/>
    <w:rsid w:val="001F3A54"/>
    <w:rsid w:val="001F5273"/>
    <w:rsid w:val="001F6F46"/>
    <w:rsid w:val="00200B04"/>
    <w:rsid w:val="00200E06"/>
    <w:rsid w:val="00201011"/>
    <w:rsid w:val="00203277"/>
    <w:rsid w:val="00203445"/>
    <w:rsid w:val="00205365"/>
    <w:rsid w:val="00205B2E"/>
    <w:rsid w:val="0020706F"/>
    <w:rsid w:val="00207A89"/>
    <w:rsid w:val="00207C3E"/>
    <w:rsid w:val="002103FA"/>
    <w:rsid w:val="00212AFC"/>
    <w:rsid w:val="00212C6D"/>
    <w:rsid w:val="0021419D"/>
    <w:rsid w:val="00214FE5"/>
    <w:rsid w:val="00215D7C"/>
    <w:rsid w:val="0022290E"/>
    <w:rsid w:val="00224477"/>
    <w:rsid w:val="00225DE1"/>
    <w:rsid w:val="00226998"/>
    <w:rsid w:val="0022732F"/>
    <w:rsid w:val="00232848"/>
    <w:rsid w:val="0023385D"/>
    <w:rsid w:val="00233A4C"/>
    <w:rsid w:val="00234D47"/>
    <w:rsid w:val="00236D46"/>
    <w:rsid w:val="00240C7A"/>
    <w:rsid w:val="002414B9"/>
    <w:rsid w:val="002419AA"/>
    <w:rsid w:val="0024380A"/>
    <w:rsid w:val="002453CA"/>
    <w:rsid w:val="00247843"/>
    <w:rsid w:val="0025054F"/>
    <w:rsid w:val="00250F8A"/>
    <w:rsid w:val="002523AF"/>
    <w:rsid w:val="00252997"/>
    <w:rsid w:val="00252C04"/>
    <w:rsid w:val="00252E29"/>
    <w:rsid w:val="002553AF"/>
    <w:rsid w:val="00255D2C"/>
    <w:rsid w:val="00260A8E"/>
    <w:rsid w:val="00261EDB"/>
    <w:rsid w:val="002620A3"/>
    <w:rsid w:val="00263812"/>
    <w:rsid w:val="0026391C"/>
    <w:rsid w:val="00263F05"/>
    <w:rsid w:val="00264DFF"/>
    <w:rsid w:val="002658B1"/>
    <w:rsid w:val="00266683"/>
    <w:rsid w:val="00270662"/>
    <w:rsid w:val="00270B1D"/>
    <w:rsid w:val="002716FA"/>
    <w:rsid w:val="0027598E"/>
    <w:rsid w:val="00275C70"/>
    <w:rsid w:val="0027614F"/>
    <w:rsid w:val="002763B2"/>
    <w:rsid w:val="0027650B"/>
    <w:rsid w:val="002779A6"/>
    <w:rsid w:val="002815EB"/>
    <w:rsid w:val="0028602A"/>
    <w:rsid w:val="002868DA"/>
    <w:rsid w:val="00286BF7"/>
    <w:rsid w:val="00291E8C"/>
    <w:rsid w:val="00291F0A"/>
    <w:rsid w:val="00291FA5"/>
    <w:rsid w:val="00292BD6"/>
    <w:rsid w:val="002932B7"/>
    <w:rsid w:val="00297907"/>
    <w:rsid w:val="002A2D8A"/>
    <w:rsid w:val="002A2FC6"/>
    <w:rsid w:val="002A343E"/>
    <w:rsid w:val="002A5005"/>
    <w:rsid w:val="002A688D"/>
    <w:rsid w:val="002A7288"/>
    <w:rsid w:val="002B1E80"/>
    <w:rsid w:val="002B2D80"/>
    <w:rsid w:val="002B5E10"/>
    <w:rsid w:val="002B7EE8"/>
    <w:rsid w:val="002C2287"/>
    <w:rsid w:val="002C5023"/>
    <w:rsid w:val="002C5C3C"/>
    <w:rsid w:val="002C793D"/>
    <w:rsid w:val="002D0489"/>
    <w:rsid w:val="002D08FD"/>
    <w:rsid w:val="002D0F47"/>
    <w:rsid w:val="002D1EAA"/>
    <w:rsid w:val="002D512E"/>
    <w:rsid w:val="002D54A3"/>
    <w:rsid w:val="002D5B25"/>
    <w:rsid w:val="002D7628"/>
    <w:rsid w:val="002D776A"/>
    <w:rsid w:val="002D7EBA"/>
    <w:rsid w:val="002E08CD"/>
    <w:rsid w:val="002E2C2F"/>
    <w:rsid w:val="002E35F5"/>
    <w:rsid w:val="002E51DA"/>
    <w:rsid w:val="002E5790"/>
    <w:rsid w:val="002E6391"/>
    <w:rsid w:val="002E63C6"/>
    <w:rsid w:val="002E646B"/>
    <w:rsid w:val="002F03B2"/>
    <w:rsid w:val="002F0B4F"/>
    <w:rsid w:val="002F0DC9"/>
    <w:rsid w:val="002F116F"/>
    <w:rsid w:val="002F26EA"/>
    <w:rsid w:val="002F4F2B"/>
    <w:rsid w:val="003002C0"/>
    <w:rsid w:val="00301144"/>
    <w:rsid w:val="003017BB"/>
    <w:rsid w:val="00301FDE"/>
    <w:rsid w:val="00302780"/>
    <w:rsid w:val="003031C6"/>
    <w:rsid w:val="00304984"/>
    <w:rsid w:val="00310322"/>
    <w:rsid w:val="0031107C"/>
    <w:rsid w:val="00312BF8"/>
    <w:rsid w:val="00312E7C"/>
    <w:rsid w:val="003148B7"/>
    <w:rsid w:val="003158C3"/>
    <w:rsid w:val="00315F46"/>
    <w:rsid w:val="00316004"/>
    <w:rsid w:val="0031748B"/>
    <w:rsid w:val="00320AE6"/>
    <w:rsid w:val="00320E13"/>
    <w:rsid w:val="003218DD"/>
    <w:rsid w:val="00321BBB"/>
    <w:rsid w:val="0032211B"/>
    <w:rsid w:val="003222A7"/>
    <w:rsid w:val="0032240D"/>
    <w:rsid w:val="003231AF"/>
    <w:rsid w:val="0032351F"/>
    <w:rsid w:val="00323C3C"/>
    <w:rsid w:val="00326076"/>
    <w:rsid w:val="00326C86"/>
    <w:rsid w:val="003274CD"/>
    <w:rsid w:val="00330210"/>
    <w:rsid w:val="003304DB"/>
    <w:rsid w:val="00330BCB"/>
    <w:rsid w:val="0033144C"/>
    <w:rsid w:val="00333501"/>
    <w:rsid w:val="00333638"/>
    <w:rsid w:val="003341C9"/>
    <w:rsid w:val="0033545F"/>
    <w:rsid w:val="003357FB"/>
    <w:rsid w:val="00336B87"/>
    <w:rsid w:val="00336ED8"/>
    <w:rsid w:val="00337D3B"/>
    <w:rsid w:val="0034314C"/>
    <w:rsid w:val="0034577A"/>
    <w:rsid w:val="003457C4"/>
    <w:rsid w:val="00347472"/>
    <w:rsid w:val="0035119D"/>
    <w:rsid w:val="0035280F"/>
    <w:rsid w:val="00357C5E"/>
    <w:rsid w:val="00362BFC"/>
    <w:rsid w:val="00363131"/>
    <w:rsid w:val="00365D01"/>
    <w:rsid w:val="00365DD2"/>
    <w:rsid w:val="0036703A"/>
    <w:rsid w:val="00367566"/>
    <w:rsid w:val="00367A57"/>
    <w:rsid w:val="00372AD2"/>
    <w:rsid w:val="00372FB3"/>
    <w:rsid w:val="00374983"/>
    <w:rsid w:val="003813A6"/>
    <w:rsid w:val="00381F2B"/>
    <w:rsid w:val="00382F60"/>
    <w:rsid w:val="00384D11"/>
    <w:rsid w:val="00384D40"/>
    <w:rsid w:val="003863C0"/>
    <w:rsid w:val="00386532"/>
    <w:rsid w:val="003865B3"/>
    <w:rsid w:val="003867D6"/>
    <w:rsid w:val="003878A7"/>
    <w:rsid w:val="0039344A"/>
    <w:rsid w:val="00393F68"/>
    <w:rsid w:val="003941AE"/>
    <w:rsid w:val="00394EEC"/>
    <w:rsid w:val="00395163"/>
    <w:rsid w:val="00396A30"/>
    <w:rsid w:val="00397400"/>
    <w:rsid w:val="003A01C2"/>
    <w:rsid w:val="003A1414"/>
    <w:rsid w:val="003A2834"/>
    <w:rsid w:val="003A309C"/>
    <w:rsid w:val="003A408B"/>
    <w:rsid w:val="003A43E5"/>
    <w:rsid w:val="003A550C"/>
    <w:rsid w:val="003A6286"/>
    <w:rsid w:val="003B0143"/>
    <w:rsid w:val="003B16A4"/>
    <w:rsid w:val="003B1BCB"/>
    <w:rsid w:val="003B2CB3"/>
    <w:rsid w:val="003B4F12"/>
    <w:rsid w:val="003B73D1"/>
    <w:rsid w:val="003C0538"/>
    <w:rsid w:val="003C0578"/>
    <w:rsid w:val="003C3B5A"/>
    <w:rsid w:val="003C457C"/>
    <w:rsid w:val="003C5E66"/>
    <w:rsid w:val="003C7CE7"/>
    <w:rsid w:val="003D0D24"/>
    <w:rsid w:val="003D18BD"/>
    <w:rsid w:val="003D5D08"/>
    <w:rsid w:val="003D7CEA"/>
    <w:rsid w:val="003E040E"/>
    <w:rsid w:val="003E07E8"/>
    <w:rsid w:val="003E0AE4"/>
    <w:rsid w:val="003E0B83"/>
    <w:rsid w:val="003E2AB5"/>
    <w:rsid w:val="003E2BF0"/>
    <w:rsid w:val="003E43D9"/>
    <w:rsid w:val="003E5AE6"/>
    <w:rsid w:val="003F0FF5"/>
    <w:rsid w:val="003F17FF"/>
    <w:rsid w:val="003F1AF1"/>
    <w:rsid w:val="003F2041"/>
    <w:rsid w:val="003F36EF"/>
    <w:rsid w:val="003F47B5"/>
    <w:rsid w:val="003F55F3"/>
    <w:rsid w:val="003F5F8B"/>
    <w:rsid w:val="003F703C"/>
    <w:rsid w:val="003F7519"/>
    <w:rsid w:val="003F7B8E"/>
    <w:rsid w:val="0040018D"/>
    <w:rsid w:val="004009DD"/>
    <w:rsid w:val="004016DD"/>
    <w:rsid w:val="004026B6"/>
    <w:rsid w:val="00402ACC"/>
    <w:rsid w:val="00404108"/>
    <w:rsid w:val="00406DA4"/>
    <w:rsid w:val="004120EC"/>
    <w:rsid w:val="00412292"/>
    <w:rsid w:val="00415406"/>
    <w:rsid w:val="004167C7"/>
    <w:rsid w:val="00416E56"/>
    <w:rsid w:val="00421B9B"/>
    <w:rsid w:val="00422103"/>
    <w:rsid w:val="00423F31"/>
    <w:rsid w:val="0042643B"/>
    <w:rsid w:val="004268D1"/>
    <w:rsid w:val="00426C07"/>
    <w:rsid w:val="004309BC"/>
    <w:rsid w:val="00430CF8"/>
    <w:rsid w:val="00431899"/>
    <w:rsid w:val="00432A4A"/>
    <w:rsid w:val="00432DFA"/>
    <w:rsid w:val="004343E1"/>
    <w:rsid w:val="00434D0C"/>
    <w:rsid w:val="004350BA"/>
    <w:rsid w:val="004357D8"/>
    <w:rsid w:val="00435818"/>
    <w:rsid w:val="00436119"/>
    <w:rsid w:val="00442055"/>
    <w:rsid w:val="00443878"/>
    <w:rsid w:val="00447F34"/>
    <w:rsid w:val="00450AD1"/>
    <w:rsid w:val="00452C6A"/>
    <w:rsid w:val="00452C93"/>
    <w:rsid w:val="00454081"/>
    <w:rsid w:val="004567D9"/>
    <w:rsid w:val="0045763B"/>
    <w:rsid w:val="00457BC0"/>
    <w:rsid w:val="0046044E"/>
    <w:rsid w:val="004611ED"/>
    <w:rsid w:val="00461B34"/>
    <w:rsid w:val="004627DE"/>
    <w:rsid w:val="004637CE"/>
    <w:rsid w:val="0046477C"/>
    <w:rsid w:val="0046655A"/>
    <w:rsid w:val="00466E8F"/>
    <w:rsid w:val="00467DAC"/>
    <w:rsid w:val="00470FAF"/>
    <w:rsid w:val="00472AB1"/>
    <w:rsid w:val="004748FE"/>
    <w:rsid w:val="004756DF"/>
    <w:rsid w:val="00476004"/>
    <w:rsid w:val="00482AE8"/>
    <w:rsid w:val="00483369"/>
    <w:rsid w:val="00483716"/>
    <w:rsid w:val="0048449D"/>
    <w:rsid w:val="004846FA"/>
    <w:rsid w:val="0048492D"/>
    <w:rsid w:val="00486804"/>
    <w:rsid w:val="00486A9B"/>
    <w:rsid w:val="00493382"/>
    <w:rsid w:val="004939C4"/>
    <w:rsid w:val="004973E9"/>
    <w:rsid w:val="004A0AFB"/>
    <w:rsid w:val="004A3136"/>
    <w:rsid w:val="004A38C0"/>
    <w:rsid w:val="004A39A9"/>
    <w:rsid w:val="004A4407"/>
    <w:rsid w:val="004A6B26"/>
    <w:rsid w:val="004B0755"/>
    <w:rsid w:val="004B2BB1"/>
    <w:rsid w:val="004B3775"/>
    <w:rsid w:val="004B3938"/>
    <w:rsid w:val="004B3A50"/>
    <w:rsid w:val="004C0591"/>
    <w:rsid w:val="004C1488"/>
    <w:rsid w:val="004C2B01"/>
    <w:rsid w:val="004C2C76"/>
    <w:rsid w:val="004C3B61"/>
    <w:rsid w:val="004C523E"/>
    <w:rsid w:val="004C5AB0"/>
    <w:rsid w:val="004C5CFF"/>
    <w:rsid w:val="004C6342"/>
    <w:rsid w:val="004C70FF"/>
    <w:rsid w:val="004D0B15"/>
    <w:rsid w:val="004D0B84"/>
    <w:rsid w:val="004D0BA0"/>
    <w:rsid w:val="004D158B"/>
    <w:rsid w:val="004D234A"/>
    <w:rsid w:val="004D30B4"/>
    <w:rsid w:val="004D36C9"/>
    <w:rsid w:val="004D67A7"/>
    <w:rsid w:val="004D7C62"/>
    <w:rsid w:val="004E058F"/>
    <w:rsid w:val="004E07A9"/>
    <w:rsid w:val="004E0CB8"/>
    <w:rsid w:val="004E1F4F"/>
    <w:rsid w:val="004E25F4"/>
    <w:rsid w:val="004E3249"/>
    <w:rsid w:val="004E3B87"/>
    <w:rsid w:val="004F0E2B"/>
    <w:rsid w:val="004F276E"/>
    <w:rsid w:val="004F35E4"/>
    <w:rsid w:val="0050071D"/>
    <w:rsid w:val="005011EB"/>
    <w:rsid w:val="00501B97"/>
    <w:rsid w:val="00502D3F"/>
    <w:rsid w:val="00503CF2"/>
    <w:rsid w:val="00504BCD"/>
    <w:rsid w:val="00504D9D"/>
    <w:rsid w:val="00506EE7"/>
    <w:rsid w:val="00507945"/>
    <w:rsid w:val="00507DDC"/>
    <w:rsid w:val="00510921"/>
    <w:rsid w:val="00510AD3"/>
    <w:rsid w:val="00510F71"/>
    <w:rsid w:val="005126F9"/>
    <w:rsid w:val="005127E8"/>
    <w:rsid w:val="00513348"/>
    <w:rsid w:val="00513AD8"/>
    <w:rsid w:val="00515A6E"/>
    <w:rsid w:val="00516264"/>
    <w:rsid w:val="00520129"/>
    <w:rsid w:val="005204D2"/>
    <w:rsid w:val="00522396"/>
    <w:rsid w:val="0052424D"/>
    <w:rsid w:val="00532662"/>
    <w:rsid w:val="00532E37"/>
    <w:rsid w:val="00533B5D"/>
    <w:rsid w:val="005363D4"/>
    <w:rsid w:val="00537552"/>
    <w:rsid w:val="00537709"/>
    <w:rsid w:val="00537A7C"/>
    <w:rsid w:val="005401CE"/>
    <w:rsid w:val="00545329"/>
    <w:rsid w:val="005459CB"/>
    <w:rsid w:val="00545AD3"/>
    <w:rsid w:val="00545FC3"/>
    <w:rsid w:val="00552D03"/>
    <w:rsid w:val="00553464"/>
    <w:rsid w:val="00554160"/>
    <w:rsid w:val="00561518"/>
    <w:rsid w:val="005627A7"/>
    <w:rsid w:val="00566015"/>
    <w:rsid w:val="0056684E"/>
    <w:rsid w:val="0057083D"/>
    <w:rsid w:val="00572529"/>
    <w:rsid w:val="005729EC"/>
    <w:rsid w:val="00572E24"/>
    <w:rsid w:val="0057313B"/>
    <w:rsid w:val="00577D90"/>
    <w:rsid w:val="00581A91"/>
    <w:rsid w:val="00581FE4"/>
    <w:rsid w:val="00582555"/>
    <w:rsid w:val="00583445"/>
    <w:rsid w:val="00583A80"/>
    <w:rsid w:val="00585E63"/>
    <w:rsid w:val="005873F7"/>
    <w:rsid w:val="005875D4"/>
    <w:rsid w:val="005879F7"/>
    <w:rsid w:val="0059076F"/>
    <w:rsid w:val="0059096B"/>
    <w:rsid w:val="00590B75"/>
    <w:rsid w:val="0059356A"/>
    <w:rsid w:val="00593EF2"/>
    <w:rsid w:val="005947A5"/>
    <w:rsid w:val="00595A8A"/>
    <w:rsid w:val="00595AF7"/>
    <w:rsid w:val="005960E6"/>
    <w:rsid w:val="005965EC"/>
    <w:rsid w:val="0059685D"/>
    <w:rsid w:val="005A05D7"/>
    <w:rsid w:val="005A1CD2"/>
    <w:rsid w:val="005A20F6"/>
    <w:rsid w:val="005A2D39"/>
    <w:rsid w:val="005A32B0"/>
    <w:rsid w:val="005A347D"/>
    <w:rsid w:val="005A3BFD"/>
    <w:rsid w:val="005A6436"/>
    <w:rsid w:val="005A7304"/>
    <w:rsid w:val="005A74E8"/>
    <w:rsid w:val="005A7553"/>
    <w:rsid w:val="005A786F"/>
    <w:rsid w:val="005B116A"/>
    <w:rsid w:val="005B271A"/>
    <w:rsid w:val="005B35CB"/>
    <w:rsid w:val="005B53A8"/>
    <w:rsid w:val="005B55E8"/>
    <w:rsid w:val="005B5B70"/>
    <w:rsid w:val="005B67B9"/>
    <w:rsid w:val="005C0ACB"/>
    <w:rsid w:val="005C380E"/>
    <w:rsid w:val="005C577D"/>
    <w:rsid w:val="005C6FC8"/>
    <w:rsid w:val="005D00BA"/>
    <w:rsid w:val="005D3258"/>
    <w:rsid w:val="005D3655"/>
    <w:rsid w:val="005D3D12"/>
    <w:rsid w:val="005D5489"/>
    <w:rsid w:val="005D68FA"/>
    <w:rsid w:val="005D6D50"/>
    <w:rsid w:val="005E107F"/>
    <w:rsid w:val="005E1386"/>
    <w:rsid w:val="005E1D09"/>
    <w:rsid w:val="005E203D"/>
    <w:rsid w:val="005E4830"/>
    <w:rsid w:val="005E4B3B"/>
    <w:rsid w:val="005E74F4"/>
    <w:rsid w:val="005F09EB"/>
    <w:rsid w:val="005F0F28"/>
    <w:rsid w:val="005F1233"/>
    <w:rsid w:val="005F3814"/>
    <w:rsid w:val="005F4101"/>
    <w:rsid w:val="005F47FF"/>
    <w:rsid w:val="005F4ECD"/>
    <w:rsid w:val="005F67B6"/>
    <w:rsid w:val="00601C54"/>
    <w:rsid w:val="0060321E"/>
    <w:rsid w:val="00603CC5"/>
    <w:rsid w:val="00604509"/>
    <w:rsid w:val="00606B68"/>
    <w:rsid w:val="00611CCB"/>
    <w:rsid w:val="00615D88"/>
    <w:rsid w:val="00616ACE"/>
    <w:rsid w:val="00617CC5"/>
    <w:rsid w:val="00620CF8"/>
    <w:rsid w:val="006217F5"/>
    <w:rsid w:val="00622B86"/>
    <w:rsid w:val="00622F59"/>
    <w:rsid w:val="00623BA1"/>
    <w:rsid w:val="006248B3"/>
    <w:rsid w:val="00627505"/>
    <w:rsid w:val="0062784D"/>
    <w:rsid w:val="0063035F"/>
    <w:rsid w:val="006318F2"/>
    <w:rsid w:val="006346BC"/>
    <w:rsid w:val="00635C48"/>
    <w:rsid w:val="0063605A"/>
    <w:rsid w:val="006362F9"/>
    <w:rsid w:val="0063774D"/>
    <w:rsid w:val="00637AF2"/>
    <w:rsid w:val="006418E8"/>
    <w:rsid w:val="00646420"/>
    <w:rsid w:val="00651E15"/>
    <w:rsid w:val="006538C5"/>
    <w:rsid w:val="00654057"/>
    <w:rsid w:val="00654750"/>
    <w:rsid w:val="00654F31"/>
    <w:rsid w:val="0065585D"/>
    <w:rsid w:val="00656B21"/>
    <w:rsid w:val="006572C2"/>
    <w:rsid w:val="006572D2"/>
    <w:rsid w:val="00662226"/>
    <w:rsid w:val="00662B18"/>
    <w:rsid w:val="006642BF"/>
    <w:rsid w:val="00664D26"/>
    <w:rsid w:val="0066652A"/>
    <w:rsid w:val="006667D5"/>
    <w:rsid w:val="00667CD1"/>
    <w:rsid w:val="006701A3"/>
    <w:rsid w:val="006705BC"/>
    <w:rsid w:val="006719C3"/>
    <w:rsid w:val="0067293E"/>
    <w:rsid w:val="00675BC3"/>
    <w:rsid w:val="00676542"/>
    <w:rsid w:val="00680522"/>
    <w:rsid w:val="00680710"/>
    <w:rsid w:val="0068210D"/>
    <w:rsid w:val="00682167"/>
    <w:rsid w:val="00682A75"/>
    <w:rsid w:val="00683298"/>
    <w:rsid w:val="00683652"/>
    <w:rsid w:val="00683B97"/>
    <w:rsid w:val="00685679"/>
    <w:rsid w:val="00686C1C"/>
    <w:rsid w:val="006934A6"/>
    <w:rsid w:val="00693982"/>
    <w:rsid w:val="006951B4"/>
    <w:rsid w:val="00696224"/>
    <w:rsid w:val="00696F10"/>
    <w:rsid w:val="006A0DBA"/>
    <w:rsid w:val="006A162A"/>
    <w:rsid w:val="006A2149"/>
    <w:rsid w:val="006A2FEF"/>
    <w:rsid w:val="006B02F1"/>
    <w:rsid w:val="006B1122"/>
    <w:rsid w:val="006B4084"/>
    <w:rsid w:val="006B6F8F"/>
    <w:rsid w:val="006C0DDA"/>
    <w:rsid w:val="006C1DC8"/>
    <w:rsid w:val="006C42AF"/>
    <w:rsid w:val="006C67F5"/>
    <w:rsid w:val="006D066F"/>
    <w:rsid w:val="006D1CEB"/>
    <w:rsid w:val="006D3605"/>
    <w:rsid w:val="006D3AC1"/>
    <w:rsid w:val="006D604C"/>
    <w:rsid w:val="006E0A2E"/>
    <w:rsid w:val="006E17DB"/>
    <w:rsid w:val="006E38AB"/>
    <w:rsid w:val="006E4365"/>
    <w:rsid w:val="006E442B"/>
    <w:rsid w:val="006E4DDA"/>
    <w:rsid w:val="006F0A3B"/>
    <w:rsid w:val="006F0FCC"/>
    <w:rsid w:val="006F1CD3"/>
    <w:rsid w:val="006F2CBF"/>
    <w:rsid w:val="006F3009"/>
    <w:rsid w:val="006F4D52"/>
    <w:rsid w:val="006F6981"/>
    <w:rsid w:val="006F785E"/>
    <w:rsid w:val="00701BC0"/>
    <w:rsid w:val="0070359B"/>
    <w:rsid w:val="007046A5"/>
    <w:rsid w:val="007055B0"/>
    <w:rsid w:val="00706B09"/>
    <w:rsid w:val="00711D8E"/>
    <w:rsid w:val="00712672"/>
    <w:rsid w:val="00712B28"/>
    <w:rsid w:val="0071323D"/>
    <w:rsid w:val="00714264"/>
    <w:rsid w:val="0071455B"/>
    <w:rsid w:val="00715BC4"/>
    <w:rsid w:val="00716F22"/>
    <w:rsid w:val="00723F50"/>
    <w:rsid w:val="00724F09"/>
    <w:rsid w:val="00725CC7"/>
    <w:rsid w:val="00726ADA"/>
    <w:rsid w:val="007272D1"/>
    <w:rsid w:val="007302CE"/>
    <w:rsid w:val="0073133B"/>
    <w:rsid w:val="00731EA9"/>
    <w:rsid w:val="00732B25"/>
    <w:rsid w:val="00734CE9"/>
    <w:rsid w:val="00734E3F"/>
    <w:rsid w:val="00736985"/>
    <w:rsid w:val="00736B38"/>
    <w:rsid w:val="007406E4"/>
    <w:rsid w:val="00741EE9"/>
    <w:rsid w:val="00743E22"/>
    <w:rsid w:val="00744E5F"/>
    <w:rsid w:val="0074500A"/>
    <w:rsid w:val="00745DF5"/>
    <w:rsid w:val="007469D1"/>
    <w:rsid w:val="00750302"/>
    <w:rsid w:val="00750452"/>
    <w:rsid w:val="00751C55"/>
    <w:rsid w:val="00753646"/>
    <w:rsid w:val="00754198"/>
    <w:rsid w:val="00756D79"/>
    <w:rsid w:val="0075738D"/>
    <w:rsid w:val="0076250F"/>
    <w:rsid w:val="007632F7"/>
    <w:rsid w:val="00764FE3"/>
    <w:rsid w:val="00766EFA"/>
    <w:rsid w:val="007701A7"/>
    <w:rsid w:val="007706B8"/>
    <w:rsid w:val="00770994"/>
    <w:rsid w:val="0077357C"/>
    <w:rsid w:val="00774EE4"/>
    <w:rsid w:val="00774F48"/>
    <w:rsid w:val="007759B8"/>
    <w:rsid w:val="00775D34"/>
    <w:rsid w:val="00776227"/>
    <w:rsid w:val="00780224"/>
    <w:rsid w:val="00780FA5"/>
    <w:rsid w:val="00781FE9"/>
    <w:rsid w:val="0078291B"/>
    <w:rsid w:val="00782C9E"/>
    <w:rsid w:val="0078402E"/>
    <w:rsid w:val="0078475B"/>
    <w:rsid w:val="00785830"/>
    <w:rsid w:val="00786BFE"/>
    <w:rsid w:val="007874DD"/>
    <w:rsid w:val="0078785B"/>
    <w:rsid w:val="007900B2"/>
    <w:rsid w:val="00793660"/>
    <w:rsid w:val="00793E6A"/>
    <w:rsid w:val="00795C95"/>
    <w:rsid w:val="00795CF9"/>
    <w:rsid w:val="007A09E0"/>
    <w:rsid w:val="007A1373"/>
    <w:rsid w:val="007A2CE5"/>
    <w:rsid w:val="007A582D"/>
    <w:rsid w:val="007A62D8"/>
    <w:rsid w:val="007A6B61"/>
    <w:rsid w:val="007A72F2"/>
    <w:rsid w:val="007B1D31"/>
    <w:rsid w:val="007B30CF"/>
    <w:rsid w:val="007B3D36"/>
    <w:rsid w:val="007B4267"/>
    <w:rsid w:val="007B4F65"/>
    <w:rsid w:val="007B6200"/>
    <w:rsid w:val="007B62A9"/>
    <w:rsid w:val="007C05FC"/>
    <w:rsid w:val="007C105C"/>
    <w:rsid w:val="007C307E"/>
    <w:rsid w:val="007C3889"/>
    <w:rsid w:val="007C3C2F"/>
    <w:rsid w:val="007C5C49"/>
    <w:rsid w:val="007C63DE"/>
    <w:rsid w:val="007C64F9"/>
    <w:rsid w:val="007C7D6D"/>
    <w:rsid w:val="007C7E20"/>
    <w:rsid w:val="007D1DF1"/>
    <w:rsid w:val="007D2399"/>
    <w:rsid w:val="007D2C9B"/>
    <w:rsid w:val="007D3976"/>
    <w:rsid w:val="007D42ED"/>
    <w:rsid w:val="007D4738"/>
    <w:rsid w:val="007D68B1"/>
    <w:rsid w:val="007D6C57"/>
    <w:rsid w:val="007E09D6"/>
    <w:rsid w:val="007E1FFA"/>
    <w:rsid w:val="007E4AB9"/>
    <w:rsid w:val="007E5A4A"/>
    <w:rsid w:val="007F060C"/>
    <w:rsid w:val="007F15DA"/>
    <w:rsid w:val="007F3395"/>
    <w:rsid w:val="007F4922"/>
    <w:rsid w:val="007F4E3D"/>
    <w:rsid w:val="007F6355"/>
    <w:rsid w:val="007F64D9"/>
    <w:rsid w:val="007F6E4F"/>
    <w:rsid w:val="007F74B6"/>
    <w:rsid w:val="007F791D"/>
    <w:rsid w:val="00800BDE"/>
    <w:rsid w:val="00801B9F"/>
    <w:rsid w:val="0080204D"/>
    <w:rsid w:val="00803A18"/>
    <w:rsid w:val="0080414C"/>
    <w:rsid w:val="008041F9"/>
    <w:rsid w:val="00804F19"/>
    <w:rsid w:val="008050E4"/>
    <w:rsid w:val="00805B9C"/>
    <w:rsid w:val="0080609C"/>
    <w:rsid w:val="00810773"/>
    <w:rsid w:val="00811962"/>
    <w:rsid w:val="00811CDC"/>
    <w:rsid w:val="008132D0"/>
    <w:rsid w:val="00813EE5"/>
    <w:rsid w:val="00815DFD"/>
    <w:rsid w:val="00817FC8"/>
    <w:rsid w:val="0082456A"/>
    <w:rsid w:val="008251DD"/>
    <w:rsid w:val="0082552A"/>
    <w:rsid w:val="008271E9"/>
    <w:rsid w:val="00827975"/>
    <w:rsid w:val="00827FCF"/>
    <w:rsid w:val="0083052F"/>
    <w:rsid w:val="00830FB5"/>
    <w:rsid w:val="00831A68"/>
    <w:rsid w:val="00831FBE"/>
    <w:rsid w:val="00834D4A"/>
    <w:rsid w:val="00834E0D"/>
    <w:rsid w:val="008370F2"/>
    <w:rsid w:val="00837754"/>
    <w:rsid w:val="0084146C"/>
    <w:rsid w:val="00842259"/>
    <w:rsid w:val="008429F1"/>
    <w:rsid w:val="00844FF7"/>
    <w:rsid w:val="008475F0"/>
    <w:rsid w:val="0085137A"/>
    <w:rsid w:val="0085158F"/>
    <w:rsid w:val="00851BBF"/>
    <w:rsid w:val="00852303"/>
    <w:rsid w:val="00854D89"/>
    <w:rsid w:val="008557A7"/>
    <w:rsid w:val="008562E7"/>
    <w:rsid w:val="00861B6F"/>
    <w:rsid w:val="008665A1"/>
    <w:rsid w:val="00870928"/>
    <w:rsid w:val="00870DEC"/>
    <w:rsid w:val="008725FA"/>
    <w:rsid w:val="00872917"/>
    <w:rsid w:val="00873770"/>
    <w:rsid w:val="008740D3"/>
    <w:rsid w:val="00875756"/>
    <w:rsid w:val="00877CBF"/>
    <w:rsid w:val="00884CB6"/>
    <w:rsid w:val="00885A62"/>
    <w:rsid w:val="008901D3"/>
    <w:rsid w:val="008903D6"/>
    <w:rsid w:val="0089119C"/>
    <w:rsid w:val="008939EF"/>
    <w:rsid w:val="00893FE1"/>
    <w:rsid w:val="0089405C"/>
    <w:rsid w:val="00894381"/>
    <w:rsid w:val="00894C9B"/>
    <w:rsid w:val="00897FA2"/>
    <w:rsid w:val="008A3D9E"/>
    <w:rsid w:val="008A43D3"/>
    <w:rsid w:val="008A498D"/>
    <w:rsid w:val="008A4ACD"/>
    <w:rsid w:val="008A57D4"/>
    <w:rsid w:val="008A5AFE"/>
    <w:rsid w:val="008B1F07"/>
    <w:rsid w:val="008B277E"/>
    <w:rsid w:val="008B76CA"/>
    <w:rsid w:val="008B7A3F"/>
    <w:rsid w:val="008C0B76"/>
    <w:rsid w:val="008C1E16"/>
    <w:rsid w:val="008C2ADE"/>
    <w:rsid w:val="008C5475"/>
    <w:rsid w:val="008C5A0E"/>
    <w:rsid w:val="008C7382"/>
    <w:rsid w:val="008C7E46"/>
    <w:rsid w:val="008D0181"/>
    <w:rsid w:val="008D16D7"/>
    <w:rsid w:val="008D3C94"/>
    <w:rsid w:val="008D6A59"/>
    <w:rsid w:val="008E2FB6"/>
    <w:rsid w:val="008E36A6"/>
    <w:rsid w:val="008E3840"/>
    <w:rsid w:val="008E3EC4"/>
    <w:rsid w:val="008E4EE7"/>
    <w:rsid w:val="008E60CA"/>
    <w:rsid w:val="008E6571"/>
    <w:rsid w:val="008F15A3"/>
    <w:rsid w:val="008F2736"/>
    <w:rsid w:val="008F28C8"/>
    <w:rsid w:val="008F4EFE"/>
    <w:rsid w:val="008F5141"/>
    <w:rsid w:val="0090079E"/>
    <w:rsid w:val="00904823"/>
    <w:rsid w:val="00905B5E"/>
    <w:rsid w:val="00905D93"/>
    <w:rsid w:val="00907A56"/>
    <w:rsid w:val="00910A9C"/>
    <w:rsid w:val="009132BB"/>
    <w:rsid w:val="00916FEA"/>
    <w:rsid w:val="00920BA4"/>
    <w:rsid w:val="00922DD4"/>
    <w:rsid w:val="0092672C"/>
    <w:rsid w:val="009275E1"/>
    <w:rsid w:val="00927C2A"/>
    <w:rsid w:val="00927E67"/>
    <w:rsid w:val="009311D2"/>
    <w:rsid w:val="009321BA"/>
    <w:rsid w:val="009323A4"/>
    <w:rsid w:val="0093546F"/>
    <w:rsid w:val="00936B47"/>
    <w:rsid w:val="00936F12"/>
    <w:rsid w:val="0093711D"/>
    <w:rsid w:val="00940D11"/>
    <w:rsid w:val="00943730"/>
    <w:rsid w:val="00944707"/>
    <w:rsid w:val="0094566A"/>
    <w:rsid w:val="00945EAE"/>
    <w:rsid w:val="00951927"/>
    <w:rsid w:val="009559CA"/>
    <w:rsid w:val="00957A40"/>
    <w:rsid w:val="00961E72"/>
    <w:rsid w:val="00962D72"/>
    <w:rsid w:val="00963EE2"/>
    <w:rsid w:val="00963F22"/>
    <w:rsid w:val="00964B9D"/>
    <w:rsid w:val="009659F6"/>
    <w:rsid w:val="00966A18"/>
    <w:rsid w:val="00966C9A"/>
    <w:rsid w:val="00966D5F"/>
    <w:rsid w:val="00967848"/>
    <w:rsid w:val="00967E30"/>
    <w:rsid w:val="00973025"/>
    <w:rsid w:val="0097388E"/>
    <w:rsid w:val="00974D9C"/>
    <w:rsid w:val="00975CA5"/>
    <w:rsid w:val="0097657F"/>
    <w:rsid w:val="00976A73"/>
    <w:rsid w:val="00981FB9"/>
    <w:rsid w:val="00982FCF"/>
    <w:rsid w:val="0098375E"/>
    <w:rsid w:val="00983AED"/>
    <w:rsid w:val="00986590"/>
    <w:rsid w:val="00986CBC"/>
    <w:rsid w:val="00987EC8"/>
    <w:rsid w:val="00992BEB"/>
    <w:rsid w:val="00992C76"/>
    <w:rsid w:val="0099598C"/>
    <w:rsid w:val="00995B6A"/>
    <w:rsid w:val="009962D4"/>
    <w:rsid w:val="009969D6"/>
    <w:rsid w:val="009977E1"/>
    <w:rsid w:val="009A357E"/>
    <w:rsid w:val="009A3880"/>
    <w:rsid w:val="009A3DD2"/>
    <w:rsid w:val="009A4C02"/>
    <w:rsid w:val="009A507B"/>
    <w:rsid w:val="009A5AA6"/>
    <w:rsid w:val="009A6D38"/>
    <w:rsid w:val="009B4D3B"/>
    <w:rsid w:val="009B4D99"/>
    <w:rsid w:val="009B54D8"/>
    <w:rsid w:val="009B58CE"/>
    <w:rsid w:val="009B7942"/>
    <w:rsid w:val="009B7C2C"/>
    <w:rsid w:val="009C0088"/>
    <w:rsid w:val="009C00F3"/>
    <w:rsid w:val="009C092D"/>
    <w:rsid w:val="009C0B47"/>
    <w:rsid w:val="009C1899"/>
    <w:rsid w:val="009C3451"/>
    <w:rsid w:val="009C3A5C"/>
    <w:rsid w:val="009C5FBB"/>
    <w:rsid w:val="009C7351"/>
    <w:rsid w:val="009C7520"/>
    <w:rsid w:val="009D01C6"/>
    <w:rsid w:val="009D1A8A"/>
    <w:rsid w:val="009D1BF0"/>
    <w:rsid w:val="009D2416"/>
    <w:rsid w:val="009D50D9"/>
    <w:rsid w:val="009D56BE"/>
    <w:rsid w:val="009D5B14"/>
    <w:rsid w:val="009D65B4"/>
    <w:rsid w:val="009D68F6"/>
    <w:rsid w:val="009D7407"/>
    <w:rsid w:val="009E0466"/>
    <w:rsid w:val="009E0866"/>
    <w:rsid w:val="009E17D6"/>
    <w:rsid w:val="009E1CBD"/>
    <w:rsid w:val="009E273C"/>
    <w:rsid w:val="009E38CD"/>
    <w:rsid w:val="009E3EFA"/>
    <w:rsid w:val="009E4A62"/>
    <w:rsid w:val="009E7932"/>
    <w:rsid w:val="009F0F1E"/>
    <w:rsid w:val="009F1350"/>
    <w:rsid w:val="009F47A0"/>
    <w:rsid w:val="009F5703"/>
    <w:rsid w:val="009F6423"/>
    <w:rsid w:val="00A003A1"/>
    <w:rsid w:val="00A01F76"/>
    <w:rsid w:val="00A024AF"/>
    <w:rsid w:val="00A02C04"/>
    <w:rsid w:val="00A04589"/>
    <w:rsid w:val="00A04668"/>
    <w:rsid w:val="00A05036"/>
    <w:rsid w:val="00A05734"/>
    <w:rsid w:val="00A06B1A"/>
    <w:rsid w:val="00A074A1"/>
    <w:rsid w:val="00A0762B"/>
    <w:rsid w:val="00A07773"/>
    <w:rsid w:val="00A112F5"/>
    <w:rsid w:val="00A12C03"/>
    <w:rsid w:val="00A175B3"/>
    <w:rsid w:val="00A17F5C"/>
    <w:rsid w:val="00A20DE6"/>
    <w:rsid w:val="00A20ECF"/>
    <w:rsid w:val="00A21AA7"/>
    <w:rsid w:val="00A232C3"/>
    <w:rsid w:val="00A23547"/>
    <w:rsid w:val="00A23E9A"/>
    <w:rsid w:val="00A24A62"/>
    <w:rsid w:val="00A2611A"/>
    <w:rsid w:val="00A26E3B"/>
    <w:rsid w:val="00A27F18"/>
    <w:rsid w:val="00A3153C"/>
    <w:rsid w:val="00A31A3F"/>
    <w:rsid w:val="00A31C9F"/>
    <w:rsid w:val="00A327D2"/>
    <w:rsid w:val="00A34CCC"/>
    <w:rsid w:val="00A3590B"/>
    <w:rsid w:val="00A359E1"/>
    <w:rsid w:val="00A35D25"/>
    <w:rsid w:val="00A4144F"/>
    <w:rsid w:val="00A4253B"/>
    <w:rsid w:val="00A42BB5"/>
    <w:rsid w:val="00A438E0"/>
    <w:rsid w:val="00A43976"/>
    <w:rsid w:val="00A4432E"/>
    <w:rsid w:val="00A45C33"/>
    <w:rsid w:val="00A46537"/>
    <w:rsid w:val="00A465F5"/>
    <w:rsid w:val="00A52DB4"/>
    <w:rsid w:val="00A536C5"/>
    <w:rsid w:val="00A56B56"/>
    <w:rsid w:val="00A56E89"/>
    <w:rsid w:val="00A6001A"/>
    <w:rsid w:val="00A610E3"/>
    <w:rsid w:val="00A61A4D"/>
    <w:rsid w:val="00A61B4D"/>
    <w:rsid w:val="00A61BEB"/>
    <w:rsid w:val="00A625AB"/>
    <w:rsid w:val="00A63868"/>
    <w:rsid w:val="00A64586"/>
    <w:rsid w:val="00A649F6"/>
    <w:rsid w:val="00A64D4A"/>
    <w:rsid w:val="00A651BE"/>
    <w:rsid w:val="00A6701E"/>
    <w:rsid w:val="00A72C94"/>
    <w:rsid w:val="00A77BE4"/>
    <w:rsid w:val="00A80376"/>
    <w:rsid w:val="00A806F1"/>
    <w:rsid w:val="00A80F95"/>
    <w:rsid w:val="00A82242"/>
    <w:rsid w:val="00A833C7"/>
    <w:rsid w:val="00A84825"/>
    <w:rsid w:val="00A854BD"/>
    <w:rsid w:val="00A85FAF"/>
    <w:rsid w:val="00A9087B"/>
    <w:rsid w:val="00A91795"/>
    <w:rsid w:val="00A929F6"/>
    <w:rsid w:val="00A93B87"/>
    <w:rsid w:val="00A9506E"/>
    <w:rsid w:val="00A953D7"/>
    <w:rsid w:val="00A97BF1"/>
    <w:rsid w:val="00AA14F1"/>
    <w:rsid w:val="00AA298A"/>
    <w:rsid w:val="00AA315B"/>
    <w:rsid w:val="00AA3F90"/>
    <w:rsid w:val="00AA55A5"/>
    <w:rsid w:val="00AA6278"/>
    <w:rsid w:val="00AB3D1B"/>
    <w:rsid w:val="00AB6850"/>
    <w:rsid w:val="00AB7BC5"/>
    <w:rsid w:val="00AB7CE6"/>
    <w:rsid w:val="00AC008D"/>
    <w:rsid w:val="00AC0192"/>
    <w:rsid w:val="00AC164A"/>
    <w:rsid w:val="00AC17B7"/>
    <w:rsid w:val="00AC281C"/>
    <w:rsid w:val="00AC293F"/>
    <w:rsid w:val="00AC33B6"/>
    <w:rsid w:val="00AC4442"/>
    <w:rsid w:val="00AC729D"/>
    <w:rsid w:val="00AC7C24"/>
    <w:rsid w:val="00AD01AD"/>
    <w:rsid w:val="00AD2D11"/>
    <w:rsid w:val="00AD6EEA"/>
    <w:rsid w:val="00AE1993"/>
    <w:rsid w:val="00AE2FF9"/>
    <w:rsid w:val="00AE448A"/>
    <w:rsid w:val="00AE50E3"/>
    <w:rsid w:val="00AE705F"/>
    <w:rsid w:val="00AF0159"/>
    <w:rsid w:val="00AF05DC"/>
    <w:rsid w:val="00AF0A1A"/>
    <w:rsid w:val="00AF1C7D"/>
    <w:rsid w:val="00AF2050"/>
    <w:rsid w:val="00AF3411"/>
    <w:rsid w:val="00AF4A01"/>
    <w:rsid w:val="00AF4E3D"/>
    <w:rsid w:val="00AF536D"/>
    <w:rsid w:val="00B00012"/>
    <w:rsid w:val="00B0019A"/>
    <w:rsid w:val="00B00621"/>
    <w:rsid w:val="00B00979"/>
    <w:rsid w:val="00B01023"/>
    <w:rsid w:val="00B024A6"/>
    <w:rsid w:val="00B027C7"/>
    <w:rsid w:val="00B02835"/>
    <w:rsid w:val="00B03BCD"/>
    <w:rsid w:val="00B03CA8"/>
    <w:rsid w:val="00B05731"/>
    <w:rsid w:val="00B06A77"/>
    <w:rsid w:val="00B133D6"/>
    <w:rsid w:val="00B14F1D"/>
    <w:rsid w:val="00B15FEE"/>
    <w:rsid w:val="00B17074"/>
    <w:rsid w:val="00B22575"/>
    <w:rsid w:val="00B225A4"/>
    <w:rsid w:val="00B242E9"/>
    <w:rsid w:val="00B24E34"/>
    <w:rsid w:val="00B30340"/>
    <w:rsid w:val="00B3102A"/>
    <w:rsid w:val="00B31D9E"/>
    <w:rsid w:val="00B33C0A"/>
    <w:rsid w:val="00B356F0"/>
    <w:rsid w:val="00B35B54"/>
    <w:rsid w:val="00B40250"/>
    <w:rsid w:val="00B411F8"/>
    <w:rsid w:val="00B4372B"/>
    <w:rsid w:val="00B446BF"/>
    <w:rsid w:val="00B44782"/>
    <w:rsid w:val="00B47905"/>
    <w:rsid w:val="00B47CDB"/>
    <w:rsid w:val="00B50771"/>
    <w:rsid w:val="00B54242"/>
    <w:rsid w:val="00B55E19"/>
    <w:rsid w:val="00B55FA5"/>
    <w:rsid w:val="00B56657"/>
    <w:rsid w:val="00B573E1"/>
    <w:rsid w:val="00B6055F"/>
    <w:rsid w:val="00B6156D"/>
    <w:rsid w:val="00B66C70"/>
    <w:rsid w:val="00B6716A"/>
    <w:rsid w:val="00B67A89"/>
    <w:rsid w:val="00B67E68"/>
    <w:rsid w:val="00B70185"/>
    <w:rsid w:val="00B70807"/>
    <w:rsid w:val="00B70BB1"/>
    <w:rsid w:val="00B7240B"/>
    <w:rsid w:val="00B74367"/>
    <w:rsid w:val="00B74CD0"/>
    <w:rsid w:val="00B754D8"/>
    <w:rsid w:val="00B76EEF"/>
    <w:rsid w:val="00B776F2"/>
    <w:rsid w:val="00B80C94"/>
    <w:rsid w:val="00B81E4D"/>
    <w:rsid w:val="00B8306B"/>
    <w:rsid w:val="00B83433"/>
    <w:rsid w:val="00B840F7"/>
    <w:rsid w:val="00B86507"/>
    <w:rsid w:val="00B86BC2"/>
    <w:rsid w:val="00B877E5"/>
    <w:rsid w:val="00B91CD0"/>
    <w:rsid w:val="00B928F6"/>
    <w:rsid w:val="00B92A85"/>
    <w:rsid w:val="00B92DBD"/>
    <w:rsid w:val="00B93615"/>
    <w:rsid w:val="00B94758"/>
    <w:rsid w:val="00B94860"/>
    <w:rsid w:val="00B95DE1"/>
    <w:rsid w:val="00B96D30"/>
    <w:rsid w:val="00B97A45"/>
    <w:rsid w:val="00BA1408"/>
    <w:rsid w:val="00BA1C48"/>
    <w:rsid w:val="00BA279C"/>
    <w:rsid w:val="00BA2DEB"/>
    <w:rsid w:val="00BA33BB"/>
    <w:rsid w:val="00BA4B6D"/>
    <w:rsid w:val="00BA4BB4"/>
    <w:rsid w:val="00BA4CBE"/>
    <w:rsid w:val="00BA5823"/>
    <w:rsid w:val="00BA74C3"/>
    <w:rsid w:val="00BB04E7"/>
    <w:rsid w:val="00BB0BCD"/>
    <w:rsid w:val="00BB0BF0"/>
    <w:rsid w:val="00BB1580"/>
    <w:rsid w:val="00BB227D"/>
    <w:rsid w:val="00BB26C5"/>
    <w:rsid w:val="00BB48E6"/>
    <w:rsid w:val="00BB744C"/>
    <w:rsid w:val="00BC0CC5"/>
    <w:rsid w:val="00BC0DA5"/>
    <w:rsid w:val="00BC31BD"/>
    <w:rsid w:val="00BC38EE"/>
    <w:rsid w:val="00BC3B11"/>
    <w:rsid w:val="00BC435B"/>
    <w:rsid w:val="00BC6BFA"/>
    <w:rsid w:val="00BD086E"/>
    <w:rsid w:val="00BD1278"/>
    <w:rsid w:val="00BD1A2D"/>
    <w:rsid w:val="00BD2145"/>
    <w:rsid w:val="00BD220C"/>
    <w:rsid w:val="00BD2411"/>
    <w:rsid w:val="00BD4153"/>
    <w:rsid w:val="00BD51B9"/>
    <w:rsid w:val="00BD5BBC"/>
    <w:rsid w:val="00BD6013"/>
    <w:rsid w:val="00BD6E8D"/>
    <w:rsid w:val="00BD751D"/>
    <w:rsid w:val="00BD759C"/>
    <w:rsid w:val="00BE074A"/>
    <w:rsid w:val="00BE0A9E"/>
    <w:rsid w:val="00BE0CFC"/>
    <w:rsid w:val="00BE1998"/>
    <w:rsid w:val="00BE1EB8"/>
    <w:rsid w:val="00BE2097"/>
    <w:rsid w:val="00BE2670"/>
    <w:rsid w:val="00BE34FC"/>
    <w:rsid w:val="00BE4C12"/>
    <w:rsid w:val="00BE57F3"/>
    <w:rsid w:val="00BE59EE"/>
    <w:rsid w:val="00BE71E1"/>
    <w:rsid w:val="00BF059E"/>
    <w:rsid w:val="00BF0C3D"/>
    <w:rsid w:val="00BF2851"/>
    <w:rsid w:val="00BF35FD"/>
    <w:rsid w:val="00BF4DE3"/>
    <w:rsid w:val="00BF4DE6"/>
    <w:rsid w:val="00BF4E5D"/>
    <w:rsid w:val="00BF593F"/>
    <w:rsid w:val="00BF79D5"/>
    <w:rsid w:val="00C0089F"/>
    <w:rsid w:val="00C01DF3"/>
    <w:rsid w:val="00C045DA"/>
    <w:rsid w:val="00C06068"/>
    <w:rsid w:val="00C0640C"/>
    <w:rsid w:val="00C06650"/>
    <w:rsid w:val="00C06B13"/>
    <w:rsid w:val="00C1111C"/>
    <w:rsid w:val="00C13CD8"/>
    <w:rsid w:val="00C1461A"/>
    <w:rsid w:val="00C14E0E"/>
    <w:rsid w:val="00C154AA"/>
    <w:rsid w:val="00C15ED1"/>
    <w:rsid w:val="00C20058"/>
    <w:rsid w:val="00C20898"/>
    <w:rsid w:val="00C2363A"/>
    <w:rsid w:val="00C27480"/>
    <w:rsid w:val="00C2773E"/>
    <w:rsid w:val="00C27D25"/>
    <w:rsid w:val="00C31DAF"/>
    <w:rsid w:val="00C32E41"/>
    <w:rsid w:val="00C337EA"/>
    <w:rsid w:val="00C33B92"/>
    <w:rsid w:val="00C34A19"/>
    <w:rsid w:val="00C37A42"/>
    <w:rsid w:val="00C408D5"/>
    <w:rsid w:val="00C40E72"/>
    <w:rsid w:val="00C41E2E"/>
    <w:rsid w:val="00C42541"/>
    <w:rsid w:val="00C42B3D"/>
    <w:rsid w:val="00C42CDE"/>
    <w:rsid w:val="00C44646"/>
    <w:rsid w:val="00C4720D"/>
    <w:rsid w:val="00C51045"/>
    <w:rsid w:val="00C5182A"/>
    <w:rsid w:val="00C55BDF"/>
    <w:rsid w:val="00C560AF"/>
    <w:rsid w:val="00C56344"/>
    <w:rsid w:val="00C56637"/>
    <w:rsid w:val="00C57565"/>
    <w:rsid w:val="00C62422"/>
    <w:rsid w:val="00C63307"/>
    <w:rsid w:val="00C637F6"/>
    <w:rsid w:val="00C63EE9"/>
    <w:rsid w:val="00C65E02"/>
    <w:rsid w:val="00C65E8D"/>
    <w:rsid w:val="00C6774A"/>
    <w:rsid w:val="00C70BFD"/>
    <w:rsid w:val="00C756B9"/>
    <w:rsid w:val="00C75B97"/>
    <w:rsid w:val="00C7653F"/>
    <w:rsid w:val="00C80170"/>
    <w:rsid w:val="00C80E5F"/>
    <w:rsid w:val="00C82B17"/>
    <w:rsid w:val="00C83258"/>
    <w:rsid w:val="00C83751"/>
    <w:rsid w:val="00C84EE9"/>
    <w:rsid w:val="00C861DC"/>
    <w:rsid w:val="00C910C0"/>
    <w:rsid w:val="00C93638"/>
    <w:rsid w:val="00C96797"/>
    <w:rsid w:val="00CA0F62"/>
    <w:rsid w:val="00CA16F3"/>
    <w:rsid w:val="00CA3291"/>
    <w:rsid w:val="00CA37B1"/>
    <w:rsid w:val="00CA652A"/>
    <w:rsid w:val="00CA779B"/>
    <w:rsid w:val="00CB1959"/>
    <w:rsid w:val="00CB281F"/>
    <w:rsid w:val="00CB41EA"/>
    <w:rsid w:val="00CB485D"/>
    <w:rsid w:val="00CB7A08"/>
    <w:rsid w:val="00CC0502"/>
    <w:rsid w:val="00CC06FB"/>
    <w:rsid w:val="00CC13E9"/>
    <w:rsid w:val="00CC1E5D"/>
    <w:rsid w:val="00CC559D"/>
    <w:rsid w:val="00CC71D4"/>
    <w:rsid w:val="00CC741B"/>
    <w:rsid w:val="00CC7679"/>
    <w:rsid w:val="00CD053F"/>
    <w:rsid w:val="00CD0E4B"/>
    <w:rsid w:val="00CD42C5"/>
    <w:rsid w:val="00CD4A2B"/>
    <w:rsid w:val="00CD4ECD"/>
    <w:rsid w:val="00CD53DD"/>
    <w:rsid w:val="00CD6FC5"/>
    <w:rsid w:val="00CE01C2"/>
    <w:rsid w:val="00CE1055"/>
    <w:rsid w:val="00CE1C90"/>
    <w:rsid w:val="00CE272F"/>
    <w:rsid w:val="00CE44D3"/>
    <w:rsid w:val="00CE4573"/>
    <w:rsid w:val="00CE4C89"/>
    <w:rsid w:val="00CE715F"/>
    <w:rsid w:val="00CE7CE2"/>
    <w:rsid w:val="00CF07BA"/>
    <w:rsid w:val="00CF0E8E"/>
    <w:rsid w:val="00CF29A3"/>
    <w:rsid w:val="00CF6AF2"/>
    <w:rsid w:val="00CF6BF6"/>
    <w:rsid w:val="00CF6FC0"/>
    <w:rsid w:val="00CF7F8D"/>
    <w:rsid w:val="00D0296C"/>
    <w:rsid w:val="00D02D65"/>
    <w:rsid w:val="00D05BBC"/>
    <w:rsid w:val="00D05F20"/>
    <w:rsid w:val="00D133EA"/>
    <w:rsid w:val="00D15631"/>
    <w:rsid w:val="00D22261"/>
    <w:rsid w:val="00D23D6A"/>
    <w:rsid w:val="00D24849"/>
    <w:rsid w:val="00D25F88"/>
    <w:rsid w:val="00D309C5"/>
    <w:rsid w:val="00D317A9"/>
    <w:rsid w:val="00D32D6F"/>
    <w:rsid w:val="00D37B04"/>
    <w:rsid w:val="00D408AD"/>
    <w:rsid w:val="00D414FB"/>
    <w:rsid w:val="00D4199F"/>
    <w:rsid w:val="00D41D77"/>
    <w:rsid w:val="00D434A6"/>
    <w:rsid w:val="00D4422A"/>
    <w:rsid w:val="00D45752"/>
    <w:rsid w:val="00D45DDB"/>
    <w:rsid w:val="00D469AD"/>
    <w:rsid w:val="00D47BB9"/>
    <w:rsid w:val="00D47F41"/>
    <w:rsid w:val="00D52084"/>
    <w:rsid w:val="00D540C6"/>
    <w:rsid w:val="00D559CC"/>
    <w:rsid w:val="00D56F54"/>
    <w:rsid w:val="00D63AD9"/>
    <w:rsid w:val="00D63BE6"/>
    <w:rsid w:val="00D64A62"/>
    <w:rsid w:val="00D64BD1"/>
    <w:rsid w:val="00D65403"/>
    <w:rsid w:val="00D66F63"/>
    <w:rsid w:val="00D7027E"/>
    <w:rsid w:val="00D7047B"/>
    <w:rsid w:val="00D70BCA"/>
    <w:rsid w:val="00D70CA4"/>
    <w:rsid w:val="00D71EA6"/>
    <w:rsid w:val="00D720C5"/>
    <w:rsid w:val="00D72CD7"/>
    <w:rsid w:val="00D73B83"/>
    <w:rsid w:val="00D74E60"/>
    <w:rsid w:val="00D769BE"/>
    <w:rsid w:val="00D77908"/>
    <w:rsid w:val="00D80454"/>
    <w:rsid w:val="00D84DCC"/>
    <w:rsid w:val="00D8599A"/>
    <w:rsid w:val="00D86287"/>
    <w:rsid w:val="00D8690E"/>
    <w:rsid w:val="00D92254"/>
    <w:rsid w:val="00D92914"/>
    <w:rsid w:val="00D94FF3"/>
    <w:rsid w:val="00D9627A"/>
    <w:rsid w:val="00D962B1"/>
    <w:rsid w:val="00DA16FB"/>
    <w:rsid w:val="00DA537B"/>
    <w:rsid w:val="00DA6F02"/>
    <w:rsid w:val="00DB1873"/>
    <w:rsid w:val="00DB1C00"/>
    <w:rsid w:val="00DB4858"/>
    <w:rsid w:val="00DB5745"/>
    <w:rsid w:val="00DB5841"/>
    <w:rsid w:val="00DB5F26"/>
    <w:rsid w:val="00DB6859"/>
    <w:rsid w:val="00DC0355"/>
    <w:rsid w:val="00DC0D39"/>
    <w:rsid w:val="00DC1BBF"/>
    <w:rsid w:val="00DC1E5C"/>
    <w:rsid w:val="00DC2424"/>
    <w:rsid w:val="00DC3664"/>
    <w:rsid w:val="00DC3777"/>
    <w:rsid w:val="00DC7EE2"/>
    <w:rsid w:val="00DD2AC5"/>
    <w:rsid w:val="00DD67C9"/>
    <w:rsid w:val="00DE084C"/>
    <w:rsid w:val="00DE2586"/>
    <w:rsid w:val="00DE2FAE"/>
    <w:rsid w:val="00DE3BEE"/>
    <w:rsid w:val="00DE4AFF"/>
    <w:rsid w:val="00DE78D5"/>
    <w:rsid w:val="00DE7AE0"/>
    <w:rsid w:val="00DF03EF"/>
    <w:rsid w:val="00DF36BA"/>
    <w:rsid w:val="00DF3E79"/>
    <w:rsid w:val="00DF40BD"/>
    <w:rsid w:val="00DF466D"/>
    <w:rsid w:val="00DF5090"/>
    <w:rsid w:val="00DF7485"/>
    <w:rsid w:val="00E0124E"/>
    <w:rsid w:val="00E0132E"/>
    <w:rsid w:val="00E01D19"/>
    <w:rsid w:val="00E03200"/>
    <w:rsid w:val="00E036BF"/>
    <w:rsid w:val="00E03921"/>
    <w:rsid w:val="00E062A5"/>
    <w:rsid w:val="00E078E0"/>
    <w:rsid w:val="00E07EB8"/>
    <w:rsid w:val="00E10D61"/>
    <w:rsid w:val="00E12E68"/>
    <w:rsid w:val="00E14127"/>
    <w:rsid w:val="00E14F51"/>
    <w:rsid w:val="00E17BE3"/>
    <w:rsid w:val="00E22B5F"/>
    <w:rsid w:val="00E24143"/>
    <w:rsid w:val="00E2432F"/>
    <w:rsid w:val="00E26890"/>
    <w:rsid w:val="00E27D25"/>
    <w:rsid w:val="00E3079F"/>
    <w:rsid w:val="00E30E9D"/>
    <w:rsid w:val="00E3231A"/>
    <w:rsid w:val="00E336D2"/>
    <w:rsid w:val="00E357B7"/>
    <w:rsid w:val="00E36048"/>
    <w:rsid w:val="00E403EE"/>
    <w:rsid w:val="00E41EBF"/>
    <w:rsid w:val="00E420A1"/>
    <w:rsid w:val="00E451B1"/>
    <w:rsid w:val="00E45832"/>
    <w:rsid w:val="00E45CFF"/>
    <w:rsid w:val="00E4636B"/>
    <w:rsid w:val="00E51CE6"/>
    <w:rsid w:val="00E53800"/>
    <w:rsid w:val="00E55E03"/>
    <w:rsid w:val="00E57B9C"/>
    <w:rsid w:val="00E6073E"/>
    <w:rsid w:val="00E6081F"/>
    <w:rsid w:val="00E6132B"/>
    <w:rsid w:val="00E648DA"/>
    <w:rsid w:val="00E679F0"/>
    <w:rsid w:val="00E70F92"/>
    <w:rsid w:val="00E75F48"/>
    <w:rsid w:val="00E75FBC"/>
    <w:rsid w:val="00E75FC9"/>
    <w:rsid w:val="00E80883"/>
    <w:rsid w:val="00E80C4D"/>
    <w:rsid w:val="00E81233"/>
    <w:rsid w:val="00E8143E"/>
    <w:rsid w:val="00E8296D"/>
    <w:rsid w:val="00E82F9E"/>
    <w:rsid w:val="00E8457B"/>
    <w:rsid w:val="00E866D2"/>
    <w:rsid w:val="00E8699A"/>
    <w:rsid w:val="00E87136"/>
    <w:rsid w:val="00E871DB"/>
    <w:rsid w:val="00E90899"/>
    <w:rsid w:val="00E9140F"/>
    <w:rsid w:val="00E915A8"/>
    <w:rsid w:val="00E923DC"/>
    <w:rsid w:val="00E93448"/>
    <w:rsid w:val="00E94250"/>
    <w:rsid w:val="00E95DE0"/>
    <w:rsid w:val="00E95F8E"/>
    <w:rsid w:val="00E9730C"/>
    <w:rsid w:val="00E97542"/>
    <w:rsid w:val="00EA04B2"/>
    <w:rsid w:val="00EA177A"/>
    <w:rsid w:val="00EA20F3"/>
    <w:rsid w:val="00EA4303"/>
    <w:rsid w:val="00EB0DA6"/>
    <w:rsid w:val="00EB17FE"/>
    <w:rsid w:val="00EB19CB"/>
    <w:rsid w:val="00EC0754"/>
    <w:rsid w:val="00EC1E73"/>
    <w:rsid w:val="00EC1F29"/>
    <w:rsid w:val="00EC5070"/>
    <w:rsid w:val="00EC61ED"/>
    <w:rsid w:val="00EC694E"/>
    <w:rsid w:val="00ED2831"/>
    <w:rsid w:val="00ED43D1"/>
    <w:rsid w:val="00EE25F4"/>
    <w:rsid w:val="00EE3134"/>
    <w:rsid w:val="00EE3E5D"/>
    <w:rsid w:val="00EE4EE1"/>
    <w:rsid w:val="00EE57A6"/>
    <w:rsid w:val="00EE5950"/>
    <w:rsid w:val="00EE6926"/>
    <w:rsid w:val="00EE6AE0"/>
    <w:rsid w:val="00EE6C28"/>
    <w:rsid w:val="00EE7FA5"/>
    <w:rsid w:val="00EF0004"/>
    <w:rsid w:val="00EF049E"/>
    <w:rsid w:val="00EF415D"/>
    <w:rsid w:val="00EF4574"/>
    <w:rsid w:val="00EF4698"/>
    <w:rsid w:val="00EF5DD7"/>
    <w:rsid w:val="00EF5FB3"/>
    <w:rsid w:val="00EF7B62"/>
    <w:rsid w:val="00F01F4D"/>
    <w:rsid w:val="00F0532C"/>
    <w:rsid w:val="00F072BA"/>
    <w:rsid w:val="00F079CD"/>
    <w:rsid w:val="00F07DCE"/>
    <w:rsid w:val="00F10832"/>
    <w:rsid w:val="00F110FD"/>
    <w:rsid w:val="00F137C3"/>
    <w:rsid w:val="00F13BD1"/>
    <w:rsid w:val="00F157DA"/>
    <w:rsid w:val="00F160D7"/>
    <w:rsid w:val="00F16477"/>
    <w:rsid w:val="00F17289"/>
    <w:rsid w:val="00F211C8"/>
    <w:rsid w:val="00F22650"/>
    <w:rsid w:val="00F23B90"/>
    <w:rsid w:val="00F23D00"/>
    <w:rsid w:val="00F248FF"/>
    <w:rsid w:val="00F25A93"/>
    <w:rsid w:val="00F2684E"/>
    <w:rsid w:val="00F27E3E"/>
    <w:rsid w:val="00F319F3"/>
    <w:rsid w:val="00F3460A"/>
    <w:rsid w:val="00F349C2"/>
    <w:rsid w:val="00F34E28"/>
    <w:rsid w:val="00F40EC8"/>
    <w:rsid w:val="00F415F9"/>
    <w:rsid w:val="00F4266E"/>
    <w:rsid w:val="00F44BB7"/>
    <w:rsid w:val="00F47024"/>
    <w:rsid w:val="00F47E32"/>
    <w:rsid w:val="00F5031F"/>
    <w:rsid w:val="00F5105E"/>
    <w:rsid w:val="00F51863"/>
    <w:rsid w:val="00F538B7"/>
    <w:rsid w:val="00F539AD"/>
    <w:rsid w:val="00F53CA6"/>
    <w:rsid w:val="00F5404C"/>
    <w:rsid w:val="00F55188"/>
    <w:rsid w:val="00F56947"/>
    <w:rsid w:val="00F573C5"/>
    <w:rsid w:val="00F6196B"/>
    <w:rsid w:val="00F61D3C"/>
    <w:rsid w:val="00F6452F"/>
    <w:rsid w:val="00F64FEA"/>
    <w:rsid w:val="00F66214"/>
    <w:rsid w:val="00F70A1C"/>
    <w:rsid w:val="00F7294C"/>
    <w:rsid w:val="00F729EF"/>
    <w:rsid w:val="00F730C6"/>
    <w:rsid w:val="00F744A2"/>
    <w:rsid w:val="00F7459B"/>
    <w:rsid w:val="00F77CAE"/>
    <w:rsid w:val="00F8032E"/>
    <w:rsid w:val="00F82271"/>
    <w:rsid w:val="00F83428"/>
    <w:rsid w:val="00F848D9"/>
    <w:rsid w:val="00F852FB"/>
    <w:rsid w:val="00F85B7D"/>
    <w:rsid w:val="00F862CB"/>
    <w:rsid w:val="00F90FAA"/>
    <w:rsid w:val="00F9134A"/>
    <w:rsid w:val="00F915B6"/>
    <w:rsid w:val="00F91AC6"/>
    <w:rsid w:val="00F9523C"/>
    <w:rsid w:val="00F96833"/>
    <w:rsid w:val="00F96BB9"/>
    <w:rsid w:val="00F97089"/>
    <w:rsid w:val="00F97443"/>
    <w:rsid w:val="00F97726"/>
    <w:rsid w:val="00FA1DD6"/>
    <w:rsid w:val="00FA6F7B"/>
    <w:rsid w:val="00FA7965"/>
    <w:rsid w:val="00FB0D04"/>
    <w:rsid w:val="00FB21A3"/>
    <w:rsid w:val="00FB232D"/>
    <w:rsid w:val="00FB3E00"/>
    <w:rsid w:val="00FB4241"/>
    <w:rsid w:val="00FB56D3"/>
    <w:rsid w:val="00FB5A37"/>
    <w:rsid w:val="00FC0F19"/>
    <w:rsid w:val="00FC0FC9"/>
    <w:rsid w:val="00FC2613"/>
    <w:rsid w:val="00FC322F"/>
    <w:rsid w:val="00FC3450"/>
    <w:rsid w:val="00FC4D67"/>
    <w:rsid w:val="00FC5929"/>
    <w:rsid w:val="00FC692A"/>
    <w:rsid w:val="00FD0439"/>
    <w:rsid w:val="00FD0E00"/>
    <w:rsid w:val="00FD10B0"/>
    <w:rsid w:val="00FD2CF5"/>
    <w:rsid w:val="00FD3ABA"/>
    <w:rsid w:val="00FD5D8C"/>
    <w:rsid w:val="00FD657B"/>
    <w:rsid w:val="00FD6E3C"/>
    <w:rsid w:val="00FD7941"/>
    <w:rsid w:val="00FD7EFC"/>
    <w:rsid w:val="00FE18C9"/>
    <w:rsid w:val="00FE6D51"/>
    <w:rsid w:val="00FE6F2A"/>
    <w:rsid w:val="00FE7AC6"/>
    <w:rsid w:val="00FF06C4"/>
    <w:rsid w:val="00FF1113"/>
    <w:rsid w:val="00FF16E0"/>
    <w:rsid w:val="00FF2814"/>
    <w:rsid w:val="00FF5C86"/>
    <w:rsid w:val="00FF5D5F"/>
    <w:rsid w:val="00FF6724"/>
    <w:rsid w:val="00FF7EB6"/>
    <w:rsid w:val="523EDC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D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line="240" w:lineRule="atLeas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locked="0"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1916C6"/>
    <w:pPr>
      <w:suppressAutoHyphens/>
    </w:pPr>
    <w:rPr>
      <w:color w:val="495965" w:themeColor="text2"/>
      <w:lang w:val="en-GB"/>
    </w:rPr>
  </w:style>
  <w:style w:type="paragraph" w:styleId="Heading1">
    <w:name w:val="heading 1"/>
    <w:basedOn w:val="Normal"/>
    <w:next w:val="Normal"/>
    <w:link w:val="Heading1Char"/>
    <w:uiPriority w:val="9"/>
    <w:qFormat/>
    <w:rsid w:val="0017148F"/>
    <w:pPr>
      <w:keepNext/>
      <w:keepLines/>
      <w:spacing w:before="60" w:after="300" w:line="380" w:lineRule="exact"/>
      <w:contextualSpacing/>
      <w:outlineLvl w:val="0"/>
    </w:pPr>
    <w:rPr>
      <w:rFonts w:asciiTheme="majorHAnsi" w:eastAsiaTheme="majorEastAsia" w:hAnsiTheme="majorHAnsi" w:cstheme="majorBidi"/>
      <w:b/>
      <w:bCs/>
      <w:iCs/>
      <w:caps/>
      <w:spacing w:val="-10"/>
      <w:kern w:val="28"/>
      <w:sz w:val="38"/>
      <w:szCs w:val="52"/>
      <w:lang w:val="en-AU"/>
    </w:rPr>
  </w:style>
  <w:style w:type="paragraph" w:styleId="Heading2">
    <w:name w:val="heading 2"/>
    <w:basedOn w:val="ListParagraph"/>
    <w:next w:val="Normal"/>
    <w:link w:val="Heading2Char"/>
    <w:uiPriority w:val="9"/>
    <w:unhideWhenUsed/>
    <w:qFormat/>
    <w:rsid w:val="0017148F"/>
    <w:pPr>
      <w:numPr>
        <w:numId w:val="12"/>
      </w:numPr>
      <w:outlineLvl w:val="1"/>
    </w:pPr>
    <w:rPr>
      <w:rFonts w:asciiTheme="majorHAnsi" w:hAnsiTheme="majorHAnsi" w:cstheme="majorHAnsi"/>
      <w:b/>
      <w:bCs/>
      <w:sz w:val="38"/>
      <w:szCs w:val="38"/>
      <w:lang w:val="en-AU"/>
    </w:rPr>
  </w:style>
  <w:style w:type="paragraph" w:styleId="Heading3">
    <w:name w:val="heading 3"/>
    <w:basedOn w:val="Normal"/>
    <w:next w:val="Normal"/>
    <w:link w:val="Heading3Char"/>
    <w:uiPriority w:val="9"/>
    <w:unhideWhenUsed/>
    <w:qFormat/>
    <w:rsid w:val="0017148F"/>
    <w:pPr>
      <w:jc w:val="both"/>
      <w:outlineLvl w:val="2"/>
    </w:pPr>
    <w:rPr>
      <w:rFonts w:asciiTheme="majorHAnsi" w:hAnsiTheme="majorHAnsi" w:cstheme="majorHAnsi"/>
      <w:sz w:val="38"/>
      <w:szCs w:val="38"/>
      <w:lang w:val="en-AU"/>
    </w:rPr>
  </w:style>
  <w:style w:type="paragraph" w:styleId="Heading4">
    <w:name w:val="heading 4"/>
    <w:basedOn w:val="Heading3"/>
    <w:next w:val="Normal"/>
    <w:link w:val="Heading4Char"/>
    <w:uiPriority w:val="9"/>
    <w:unhideWhenUsed/>
    <w:qFormat/>
    <w:rsid w:val="00A4144F"/>
    <w:pPr>
      <w:spacing w:before="240" w:line="280" w:lineRule="atLeast"/>
      <w:outlineLvl w:val="3"/>
    </w:pPr>
    <w:rPr>
      <w:iCs/>
      <w:sz w:val="24"/>
    </w:rPr>
  </w:style>
  <w:style w:type="paragraph" w:styleId="Heading5">
    <w:name w:val="heading 5"/>
    <w:basedOn w:val="Heading4"/>
    <w:next w:val="Normal"/>
    <w:link w:val="Heading5Char"/>
    <w:uiPriority w:val="9"/>
    <w:unhideWhenUsed/>
    <w:qFormat/>
    <w:rsid w:val="007706B8"/>
    <w:pPr>
      <w:spacing w:line="200" w:lineRule="atLeast"/>
      <w:outlineLvl w:val="4"/>
    </w:pPr>
    <w:rPr>
      <w:b/>
      <w:sz w:val="22"/>
    </w:rPr>
  </w:style>
  <w:style w:type="paragraph" w:styleId="Heading6">
    <w:name w:val="heading 6"/>
    <w:basedOn w:val="Heading5"/>
    <w:next w:val="Normal"/>
    <w:link w:val="Heading6Char"/>
    <w:uiPriority w:val="9"/>
    <w:semiHidden/>
    <w:unhideWhenUsed/>
    <w:qFormat/>
    <w:rsid w:val="00486804"/>
    <w:pPr>
      <w:spacing w:before="40"/>
      <w:outlineLvl w:val="5"/>
    </w:pPr>
    <w:rPr>
      <w:color w:val="286B5F" w:themeColor="accent1" w:themeShade="7F"/>
    </w:rPr>
  </w:style>
  <w:style w:type="paragraph" w:styleId="Heading7">
    <w:name w:val="heading 7"/>
    <w:basedOn w:val="Heading6"/>
    <w:next w:val="Normal"/>
    <w:link w:val="Heading7Char"/>
    <w:uiPriority w:val="9"/>
    <w:semiHidden/>
    <w:unhideWhenUsed/>
    <w:qFormat/>
    <w:locked/>
    <w:rsid w:val="00486804"/>
    <w:pPr>
      <w:outlineLvl w:val="6"/>
    </w:pPr>
    <w:rPr>
      <w:i/>
      <w:iCs w:val="0"/>
    </w:rPr>
  </w:style>
  <w:style w:type="paragraph" w:styleId="Heading8">
    <w:name w:val="heading 8"/>
    <w:basedOn w:val="Heading7"/>
    <w:next w:val="Normal"/>
    <w:link w:val="Heading8Char"/>
    <w:uiPriority w:val="9"/>
    <w:semiHidden/>
    <w:unhideWhenUsed/>
    <w:qFormat/>
    <w:locked/>
    <w:rsid w:val="00486804"/>
    <w:p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locked/>
    <w:rsid w:val="00486804"/>
    <w:pPr>
      <w:outlineLvl w:val="8"/>
    </w:pPr>
    <w:rPr>
      <w:i w:val="0"/>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48F"/>
    <w:rPr>
      <w:rFonts w:asciiTheme="majorHAnsi" w:eastAsiaTheme="majorEastAsia" w:hAnsiTheme="majorHAnsi" w:cstheme="majorBidi"/>
      <w:b/>
      <w:bCs/>
      <w:iCs/>
      <w:caps/>
      <w:color w:val="495965" w:themeColor="text2"/>
      <w:spacing w:val="-10"/>
      <w:kern w:val="28"/>
      <w:sz w:val="38"/>
      <w:szCs w:val="52"/>
    </w:rPr>
  </w:style>
  <w:style w:type="character" w:customStyle="1" w:styleId="Heading2Char">
    <w:name w:val="Heading 2 Char"/>
    <w:basedOn w:val="DefaultParagraphFont"/>
    <w:link w:val="Heading2"/>
    <w:uiPriority w:val="9"/>
    <w:rsid w:val="0017148F"/>
    <w:rPr>
      <w:rFonts w:asciiTheme="majorHAnsi" w:hAnsiTheme="majorHAnsi" w:cstheme="majorHAnsi"/>
      <w:b/>
      <w:bCs/>
      <w:color w:val="495965" w:themeColor="text2"/>
      <w:sz w:val="38"/>
      <w:szCs w:val="38"/>
    </w:rPr>
  </w:style>
  <w:style w:type="character" w:customStyle="1" w:styleId="Heading3Char">
    <w:name w:val="Heading 3 Char"/>
    <w:basedOn w:val="DefaultParagraphFont"/>
    <w:link w:val="Heading3"/>
    <w:uiPriority w:val="9"/>
    <w:rsid w:val="0017148F"/>
    <w:rPr>
      <w:rFonts w:asciiTheme="majorHAnsi" w:hAnsiTheme="majorHAnsi" w:cstheme="majorHAnsi"/>
      <w:color w:val="495965" w:themeColor="text2"/>
      <w:sz w:val="38"/>
      <w:szCs w:val="38"/>
    </w:rPr>
  </w:style>
  <w:style w:type="paragraph" w:customStyle="1" w:styleId="NormalIndented">
    <w:name w:val="Normal Indented"/>
    <w:basedOn w:val="Normal"/>
    <w:qFormat/>
    <w:rsid w:val="00D0296C"/>
    <w:pPr>
      <w:ind w:left="284"/>
    </w:pPr>
  </w:style>
  <w:style w:type="paragraph" w:styleId="Title">
    <w:name w:val="Title"/>
    <w:basedOn w:val="Heading1"/>
    <w:next w:val="Normal"/>
    <w:link w:val="TitleChar"/>
    <w:uiPriority w:val="10"/>
    <w:qFormat/>
    <w:rsid w:val="00D64BD1"/>
    <w:pPr>
      <w:spacing w:after="0"/>
    </w:pPr>
  </w:style>
  <w:style w:type="character" w:customStyle="1" w:styleId="TitleChar">
    <w:name w:val="Title Char"/>
    <w:basedOn w:val="DefaultParagraphFont"/>
    <w:link w:val="Title"/>
    <w:uiPriority w:val="10"/>
    <w:rsid w:val="00D64BD1"/>
    <w:rPr>
      <w:rFonts w:asciiTheme="majorHAnsi" w:eastAsiaTheme="majorEastAsia" w:hAnsiTheme="majorHAnsi" w:cstheme="majorBidi"/>
      <w:b/>
      <w:bCs/>
      <w:caps/>
      <w:color w:val="495965" w:themeColor="text2"/>
      <w:spacing w:val="-10"/>
      <w:kern w:val="28"/>
      <w:sz w:val="38"/>
      <w:szCs w:val="52"/>
    </w:rPr>
  </w:style>
  <w:style w:type="paragraph" w:styleId="Subtitle">
    <w:name w:val="Subtitle"/>
    <w:basedOn w:val="Title"/>
    <w:next w:val="Normal"/>
    <w:link w:val="SubtitleChar"/>
    <w:uiPriority w:val="11"/>
    <w:qFormat/>
    <w:rsid w:val="00D64BD1"/>
    <w:pPr>
      <w:numPr>
        <w:ilvl w:val="1"/>
      </w:numPr>
      <w:spacing w:after="300"/>
    </w:pPr>
    <w:rPr>
      <w:rFonts w:asciiTheme="minorHAnsi" w:hAnsiTheme="minorHAnsi"/>
      <w:b w:val="0"/>
      <w:iCs w:val="0"/>
      <w:szCs w:val="24"/>
    </w:rPr>
  </w:style>
  <w:style w:type="character" w:customStyle="1" w:styleId="SubtitleChar">
    <w:name w:val="Subtitle Char"/>
    <w:basedOn w:val="DefaultParagraphFont"/>
    <w:link w:val="Subtitle"/>
    <w:uiPriority w:val="11"/>
    <w:rsid w:val="00D64BD1"/>
    <w:rPr>
      <w:rFonts w:eastAsiaTheme="majorEastAsia" w:cstheme="majorBidi"/>
      <w:bCs/>
      <w:iCs/>
      <w:caps/>
      <w:color w:val="495965" w:themeColor="text2"/>
      <w:spacing w:val="-10"/>
      <w:kern w:val="28"/>
      <w:sz w:val="38"/>
      <w:szCs w:val="24"/>
    </w:rPr>
  </w:style>
  <w:style w:type="paragraph" w:customStyle="1" w:styleId="Bullet1">
    <w:name w:val="Bullet 1"/>
    <w:basedOn w:val="Normal"/>
    <w:qFormat/>
    <w:rsid w:val="007706B8"/>
    <w:pPr>
      <w:numPr>
        <w:numId w:val="10"/>
      </w:numPr>
    </w:pPr>
  </w:style>
  <w:style w:type="paragraph" w:customStyle="1" w:styleId="Bullet2">
    <w:name w:val="Bullet 2"/>
    <w:basedOn w:val="Bullet1"/>
    <w:qFormat/>
    <w:rsid w:val="00F2684E"/>
    <w:pPr>
      <w:numPr>
        <w:ilvl w:val="1"/>
      </w:numPr>
    </w:pPr>
  </w:style>
  <w:style w:type="paragraph" w:customStyle="1" w:styleId="Bullet3">
    <w:name w:val="Bullet 3"/>
    <w:basedOn w:val="Bullet2"/>
    <w:qFormat/>
    <w:rsid w:val="00F2684E"/>
    <w:pPr>
      <w:numPr>
        <w:ilvl w:val="2"/>
      </w:numPr>
    </w:pPr>
  </w:style>
  <w:style w:type="paragraph" w:customStyle="1" w:styleId="NumberedList1">
    <w:name w:val="Numbered List 1"/>
    <w:basedOn w:val="Normal"/>
    <w:qFormat/>
    <w:rsid w:val="00F2684E"/>
    <w:pPr>
      <w:numPr>
        <w:numId w:val="7"/>
      </w:numPr>
    </w:pPr>
  </w:style>
  <w:style w:type="paragraph" w:customStyle="1" w:styleId="NumberedList2">
    <w:name w:val="Numbered List 2"/>
    <w:basedOn w:val="NumberedList1"/>
    <w:qFormat/>
    <w:rsid w:val="00F2684E"/>
    <w:pPr>
      <w:numPr>
        <w:ilvl w:val="1"/>
      </w:numPr>
    </w:pPr>
  </w:style>
  <w:style w:type="paragraph" w:customStyle="1" w:styleId="NumberedList3">
    <w:name w:val="Numbered List 3"/>
    <w:basedOn w:val="NumberedList2"/>
    <w:qFormat/>
    <w:rsid w:val="00F2684E"/>
    <w:pPr>
      <w:numPr>
        <w:ilvl w:val="2"/>
      </w:numPr>
    </w:pPr>
  </w:style>
  <w:style w:type="paragraph" w:customStyle="1" w:styleId="Heading1Numbered">
    <w:name w:val="Heading 1 Numbered"/>
    <w:basedOn w:val="Heading1"/>
    <w:next w:val="Normal"/>
    <w:qFormat/>
    <w:rsid w:val="001E1DC0"/>
    <w:pPr>
      <w:numPr>
        <w:numId w:val="6"/>
      </w:numPr>
    </w:pPr>
  </w:style>
  <w:style w:type="paragraph" w:customStyle="1" w:styleId="Heading2Numbered">
    <w:name w:val="Heading 2 Numbered"/>
    <w:basedOn w:val="Heading2"/>
    <w:next w:val="Normal"/>
    <w:qFormat/>
    <w:rsid w:val="00ED2831"/>
    <w:pPr>
      <w:numPr>
        <w:ilvl w:val="1"/>
        <w:numId w:val="6"/>
      </w:numPr>
      <w:spacing w:after="60"/>
    </w:pPr>
    <w:rPr>
      <w:bCs w:val="0"/>
    </w:rPr>
  </w:style>
  <w:style w:type="paragraph" w:customStyle="1" w:styleId="Heading3Numbered">
    <w:name w:val="Heading 3 Numbered"/>
    <w:basedOn w:val="Heading3"/>
    <w:next w:val="Normal"/>
    <w:qFormat/>
    <w:rsid w:val="00ED2831"/>
    <w:pPr>
      <w:numPr>
        <w:ilvl w:val="2"/>
        <w:numId w:val="6"/>
      </w:numPr>
      <w:spacing w:before="300" w:after="60"/>
    </w:pPr>
    <w:rPr>
      <w:szCs w:val="22"/>
    </w:rPr>
  </w:style>
  <w:style w:type="numbering" w:customStyle="1" w:styleId="BulletsList">
    <w:name w:val="Bullets List"/>
    <w:uiPriority w:val="99"/>
    <w:rsid w:val="007706B8"/>
    <w:pPr>
      <w:numPr>
        <w:numId w:val="1"/>
      </w:numPr>
    </w:pPr>
  </w:style>
  <w:style w:type="numbering" w:customStyle="1" w:styleId="Numberedlist">
    <w:name w:val="Numbered list"/>
    <w:uiPriority w:val="99"/>
    <w:rsid w:val="00F2684E"/>
    <w:pPr>
      <w:numPr>
        <w:numId w:val="2"/>
      </w:numPr>
    </w:pPr>
  </w:style>
  <w:style w:type="numbering" w:customStyle="1" w:styleId="HeadingsList">
    <w:name w:val="Headings List"/>
    <w:uiPriority w:val="99"/>
    <w:rsid w:val="001E1DC0"/>
    <w:pPr>
      <w:numPr>
        <w:numId w:val="3"/>
      </w:numPr>
    </w:pPr>
  </w:style>
  <w:style w:type="table" w:customStyle="1" w:styleId="PlainTable21">
    <w:name w:val="Plain Table 21"/>
    <w:basedOn w:val="TableNormal"/>
    <w:uiPriority w:val="42"/>
    <w:locked/>
    <w:rsid w:val="003148B7"/>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val="0"/>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ED2831"/>
    <w:pPr>
      <w:suppressAutoHyphens w:val="0"/>
      <w:spacing w:after="600"/>
      <w:contextualSpacing w:val="0"/>
      <w:outlineLvl w:val="9"/>
    </w:pPr>
    <w:rPr>
      <w:bCs w:val="0"/>
      <w:szCs w:val="32"/>
    </w:rPr>
  </w:style>
  <w:style w:type="character" w:customStyle="1" w:styleId="Heading4Char">
    <w:name w:val="Heading 4 Char"/>
    <w:basedOn w:val="DefaultParagraphFont"/>
    <w:link w:val="Heading4"/>
    <w:uiPriority w:val="9"/>
    <w:rsid w:val="00A4144F"/>
    <w:rPr>
      <w:rFonts w:asciiTheme="majorHAnsi" w:eastAsiaTheme="majorEastAsia" w:hAnsiTheme="majorHAnsi" w:cstheme="majorBidi"/>
      <w:bCs/>
      <w:iCs/>
      <w:color w:val="495965" w:themeColor="text2"/>
      <w:sz w:val="24"/>
      <w:szCs w:val="26"/>
    </w:rPr>
  </w:style>
  <w:style w:type="paragraph" w:styleId="TOC1">
    <w:name w:val="toc 1"/>
    <w:basedOn w:val="Normal"/>
    <w:next w:val="Normal"/>
    <w:autoRedefine/>
    <w:uiPriority w:val="39"/>
    <w:unhideWhenUsed/>
    <w:rsid w:val="00ED2831"/>
    <w:pPr>
      <w:pBdr>
        <w:top w:val="single" w:sz="4" w:space="6" w:color="65C5B4" w:themeColor="accent1"/>
        <w:between w:val="single" w:sz="4" w:space="6" w:color="65C5B4" w:themeColor="accent1"/>
      </w:pBdr>
      <w:tabs>
        <w:tab w:val="right" w:pos="9639"/>
      </w:tabs>
      <w:spacing w:after="100" w:line="320" w:lineRule="atLeast"/>
    </w:pPr>
    <w:rPr>
      <w:b/>
      <w:caps/>
      <w:color w:val="65C5B4" w:themeColor="accent1"/>
      <w:sz w:val="28"/>
    </w:rPr>
  </w:style>
  <w:style w:type="paragraph" w:styleId="TOC2">
    <w:name w:val="toc 2"/>
    <w:basedOn w:val="Normal"/>
    <w:next w:val="Normal"/>
    <w:autoRedefine/>
    <w:uiPriority w:val="39"/>
    <w:unhideWhenUsed/>
    <w:rsid w:val="00ED2831"/>
    <w:pPr>
      <w:spacing w:after="100"/>
      <w:ind w:left="199" w:right="454"/>
    </w:pPr>
  </w:style>
  <w:style w:type="paragraph" w:styleId="TOC3">
    <w:name w:val="toc 3"/>
    <w:basedOn w:val="Normal"/>
    <w:next w:val="Normal"/>
    <w:autoRedefine/>
    <w:uiPriority w:val="39"/>
    <w:unhideWhenUsed/>
    <w:rsid w:val="0035119D"/>
    <w:pPr>
      <w:spacing w:after="100"/>
      <w:ind w:left="400"/>
    </w:pPr>
  </w:style>
  <w:style w:type="paragraph" w:styleId="Header">
    <w:name w:val="header"/>
    <w:basedOn w:val="Normal"/>
    <w:link w:val="HeaderChar"/>
    <w:uiPriority w:val="99"/>
    <w:unhideWhenUsed/>
    <w:rsid w:val="00FC322F"/>
    <w:pPr>
      <w:tabs>
        <w:tab w:val="center" w:pos="4513"/>
        <w:tab w:val="right" w:pos="9026"/>
      </w:tabs>
      <w:ind w:left="227"/>
    </w:pPr>
    <w:rPr>
      <w:b/>
      <w:caps/>
      <w:color w:val="FFFFFF" w:themeColor="background1"/>
      <w:sz w:val="20"/>
    </w:rPr>
  </w:style>
  <w:style w:type="paragraph" w:styleId="TOC4">
    <w:name w:val="toc 4"/>
    <w:basedOn w:val="Normal"/>
    <w:next w:val="Normal"/>
    <w:autoRedefine/>
    <w:uiPriority w:val="39"/>
    <w:unhideWhenUsed/>
    <w:locked/>
    <w:rsid w:val="0035119D"/>
    <w:pPr>
      <w:suppressAutoHyphens w:val="0"/>
      <w:spacing w:after="100" w:line="259" w:lineRule="auto"/>
      <w:ind w:left="660"/>
    </w:pPr>
    <w:rPr>
      <w:rFonts w:eastAsiaTheme="minorEastAsia"/>
      <w:lang w:eastAsia="en-AU"/>
    </w:rPr>
  </w:style>
  <w:style w:type="paragraph" w:styleId="TOC5">
    <w:name w:val="toc 5"/>
    <w:basedOn w:val="Normal"/>
    <w:next w:val="Normal"/>
    <w:autoRedefine/>
    <w:uiPriority w:val="39"/>
    <w:unhideWhenUsed/>
    <w:locked/>
    <w:rsid w:val="0035119D"/>
    <w:pPr>
      <w:suppressAutoHyphens w:val="0"/>
      <w:spacing w:after="100" w:line="259" w:lineRule="auto"/>
      <w:ind w:left="880"/>
    </w:pPr>
    <w:rPr>
      <w:rFonts w:eastAsiaTheme="minorEastAsia"/>
      <w:lang w:eastAsia="en-AU"/>
    </w:rPr>
  </w:style>
  <w:style w:type="paragraph" w:styleId="TOC6">
    <w:name w:val="toc 6"/>
    <w:basedOn w:val="Normal"/>
    <w:next w:val="Normal"/>
    <w:autoRedefine/>
    <w:uiPriority w:val="39"/>
    <w:unhideWhenUsed/>
    <w:locked/>
    <w:rsid w:val="0035119D"/>
    <w:pPr>
      <w:suppressAutoHyphens w:val="0"/>
      <w:spacing w:after="100" w:line="259" w:lineRule="auto"/>
      <w:ind w:left="1100"/>
    </w:pPr>
    <w:rPr>
      <w:rFonts w:eastAsiaTheme="minorEastAsia"/>
      <w:lang w:eastAsia="en-AU"/>
    </w:rPr>
  </w:style>
  <w:style w:type="paragraph" w:styleId="TOC7">
    <w:name w:val="toc 7"/>
    <w:basedOn w:val="Normal"/>
    <w:next w:val="Normal"/>
    <w:autoRedefine/>
    <w:uiPriority w:val="39"/>
    <w:unhideWhenUsed/>
    <w:locked/>
    <w:rsid w:val="0035119D"/>
    <w:pPr>
      <w:suppressAutoHyphens w:val="0"/>
      <w:spacing w:after="100" w:line="259" w:lineRule="auto"/>
      <w:ind w:left="1320"/>
    </w:pPr>
    <w:rPr>
      <w:rFonts w:eastAsiaTheme="minorEastAsia"/>
      <w:lang w:eastAsia="en-AU"/>
    </w:rPr>
  </w:style>
  <w:style w:type="numbering" w:customStyle="1" w:styleId="TableHeadingNumbers">
    <w:name w:val="Table Heading Numbers"/>
    <w:uiPriority w:val="99"/>
    <w:rsid w:val="00ED2831"/>
    <w:pPr>
      <w:numPr>
        <w:numId w:val="4"/>
      </w:numPr>
    </w:pPr>
  </w:style>
  <w:style w:type="paragraph" w:styleId="TOC8">
    <w:name w:val="toc 8"/>
    <w:basedOn w:val="Normal"/>
    <w:next w:val="Normal"/>
    <w:autoRedefine/>
    <w:uiPriority w:val="39"/>
    <w:unhideWhenUsed/>
    <w:locked/>
    <w:rsid w:val="0035119D"/>
    <w:pPr>
      <w:suppressAutoHyphens w:val="0"/>
      <w:spacing w:after="100" w:line="259" w:lineRule="auto"/>
      <w:ind w:left="1540"/>
    </w:pPr>
    <w:rPr>
      <w:rFonts w:eastAsiaTheme="minorEastAsia"/>
      <w:lang w:eastAsia="en-AU"/>
    </w:rPr>
  </w:style>
  <w:style w:type="paragraph" w:styleId="TOC9">
    <w:name w:val="toc 9"/>
    <w:basedOn w:val="Normal"/>
    <w:next w:val="Normal"/>
    <w:autoRedefine/>
    <w:uiPriority w:val="39"/>
    <w:unhideWhenUsed/>
    <w:locked/>
    <w:rsid w:val="0035119D"/>
    <w:pPr>
      <w:suppressAutoHyphens w:val="0"/>
      <w:spacing w:after="100" w:line="259" w:lineRule="auto"/>
      <w:ind w:left="1760"/>
    </w:pPr>
    <w:rPr>
      <w:rFonts w:eastAsiaTheme="minorEastAsia"/>
      <w:lang w:eastAsia="en-AU"/>
    </w:rPr>
  </w:style>
  <w:style w:type="paragraph" w:styleId="TableofFigures">
    <w:name w:val="table of figures"/>
    <w:basedOn w:val="Normal"/>
    <w:next w:val="Normal"/>
    <w:uiPriority w:val="99"/>
    <w:unhideWhenUsed/>
    <w:rsid w:val="0035119D"/>
    <w:pPr>
      <w:ind w:left="907" w:hanging="907"/>
    </w:pPr>
  </w:style>
  <w:style w:type="paragraph" w:customStyle="1" w:styleId="IntroPara">
    <w:name w:val="Intro Para"/>
    <w:basedOn w:val="Normal"/>
    <w:qFormat/>
    <w:rsid w:val="007706B8"/>
    <w:pPr>
      <w:spacing w:before="400" w:after="400" w:line="280" w:lineRule="exact"/>
    </w:pPr>
    <w:rPr>
      <w:b/>
      <w:color w:val="ACD08C" w:themeColor="accent2"/>
      <w:sz w:val="28"/>
    </w:rPr>
  </w:style>
  <w:style w:type="table" w:styleId="TableGrid">
    <w:name w:val="Table Grid"/>
    <w:basedOn w:val="TableNormal"/>
    <w:uiPriority w:val="59"/>
    <w:locked/>
    <w:rsid w:val="00ED28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C322F"/>
    <w:rPr>
      <w:b/>
      <w:caps/>
      <w:color w:val="FFFFFF" w:themeColor="background1"/>
      <w:sz w:val="20"/>
      <w:lang w:val="en-GB"/>
    </w:rPr>
  </w:style>
  <w:style w:type="numbering" w:customStyle="1" w:styleId="FigureTitles">
    <w:name w:val="Figure Titles"/>
    <w:uiPriority w:val="99"/>
    <w:rsid w:val="006346BC"/>
    <w:pPr>
      <w:numPr>
        <w:numId w:val="5"/>
      </w:numPr>
    </w:pPr>
  </w:style>
  <w:style w:type="character" w:styleId="Hyperlink">
    <w:name w:val="Hyperlink"/>
    <w:basedOn w:val="DefaultParagraphFont"/>
    <w:uiPriority w:val="99"/>
    <w:rsid w:val="00F729EF"/>
    <w:rPr>
      <w:rFonts w:asciiTheme="minorHAnsi" w:hAnsiTheme="minorHAnsi" w:cs="MuseoSans-500"/>
      <w:color w:val="auto"/>
      <w:u w:val="single" w:color="0070C0"/>
    </w:rPr>
  </w:style>
  <w:style w:type="character" w:styleId="IntenseEmphasis">
    <w:name w:val="Intense Emphasis"/>
    <w:basedOn w:val="DefaultParagraphFont"/>
    <w:uiPriority w:val="21"/>
    <w:qFormat/>
    <w:rsid w:val="00D32D6F"/>
    <w:rPr>
      <w:b/>
      <w:i/>
      <w:iCs/>
      <w:color w:val="495965" w:themeColor="text2"/>
    </w:rPr>
  </w:style>
  <w:style w:type="character" w:styleId="Strong">
    <w:name w:val="Strong"/>
    <w:basedOn w:val="DefaultParagraphFont"/>
    <w:uiPriority w:val="22"/>
    <w:qFormat/>
    <w:rsid w:val="00FE6D51"/>
    <w:rPr>
      <w:b/>
      <w:bCs/>
    </w:rPr>
  </w:style>
  <w:style w:type="character" w:styleId="Emphasis">
    <w:name w:val="Emphasis"/>
    <w:basedOn w:val="DefaultParagraphFont"/>
    <w:uiPriority w:val="20"/>
    <w:qFormat/>
    <w:rsid w:val="009D7407"/>
    <w:rPr>
      <w:i/>
      <w:iCs/>
    </w:rPr>
  </w:style>
  <w:style w:type="character" w:customStyle="1" w:styleId="Heading5Char">
    <w:name w:val="Heading 5 Char"/>
    <w:basedOn w:val="DefaultParagraphFont"/>
    <w:link w:val="Heading5"/>
    <w:uiPriority w:val="9"/>
    <w:rsid w:val="007706B8"/>
    <w:rPr>
      <w:rFonts w:asciiTheme="majorHAnsi" w:eastAsiaTheme="majorEastAsia" w:hAnsiTheme="majorHAnsi" w:cstheme="majorBidi"/>
      <w:b/>
      <w:bCs/>
      <w:iCs/>
      <w:color w:val="495965" w:themeColor="text2"/>
      <w:szCs w:val="26"/>
      <w:lang w:val="en-GB"/>
    </w:rPr>
  </w:style>
  <w:style w:type="paragraph" w:styleId="Caption">
    <w:name w:val="caption"/>
    <w:basedOn w:val="Normal"/>
    <w:next w:val="Normal"/>
    <w:uiPriority w:val="35"/>
    <w:unhideWhenUsed/>
    <w:qFormat/>
    <w:rsid w:val="001214BE"/>
    <w:pPr>
      <w:spacing w:before="240" w:after="180"/>
      <w:contextualSpacing/>
    </w:pPr>
    <w:rPr>
      <w:b/>
      <w:iCs/>
      <w:sz w:val="20"/>
      <w:szCs w:val="18"/>
    </w:rPr>
  </w:style>
  <w:style w:type="paragraph" w:styleId="Footer">
    <w:name w:val="footer"/>
    <w:basedOn w:val="Normal"/>
    <w:link w:val="FooterChar"/>
    <w:uiPriority w:val="99"/>
    <w:unhideWhenUsed/>
    <w:rsid w:val="00FC322F"/>
    <w:pPr>
      <w:spacing w:line="240" w:lineRule="exact"/>
      <w:ind w:left="284" w:right="284"/>
    </w:pPr>
    <w:rPr>
      <w:color w:val="FFFFFF" w:themeColor="background1"/>
    </w:rPr>
  </w:style>
  <w:style w:type="character" w:customStyle="1" w:styleId="FooterChar">
    <w:name w:val="Footer Char"/>
    <w:basedOn w:val="DefaultParagraphFont"/>
    <w:link w:val="Footer"/>
    <w:uiPriority w:val="99"/>
    <w:rsid w:val="00FC322F"/>
    <w:rPr>
      <w:color w:val="FFFFFF" w:themeColor="background1"/>
      <w:lang w:val="en-GB"/>
    </w:rPr>
  </w:style>
  <w:style w:type="character" w:customStyle="1" w:styleId="Heading6Char">
    <w:name w:val="Heading 6 Char"/>
    <w:basedOn w:val="DefaultParagraphFont"/>
    <w:link w:val="Heading6"/>
    <w:uiPriority w:val="9"/>
    <w:semiHidden/>
    <w:rsid w:val="00486804"/>
    <w:rPr>
      <w:rFonts w:asciiTheme="majorHAnsi" w:eastAsiaTheme="majorEastAsia" w:hAnsiTheme="majorHAnsi" w:cstheme="majorBidi"/>
      <w:bCs/>
      <w:iCs/>
      <w:color w:val="286B5F" w:themeColor="accent1" w:themeShade="7F"/>
      <w:szCs w:val="26"/>
    </w:rPr>
  </w:style>
  <w:style w:type="character" w:customStyle="1" w:styleId="Heading7Char">
    <w:name w:val="Heading 7 Char"/>
    <w:basedOn w:val="DefaultParagraphFont"/>
    <w:link w:val="Heading7"/>
    <w:uiPriority w:val="9"/>
    <w:semiHidden/>
    <w:rsid w:val="00486804"/>
    <w:rPr>
      <w:rFonts w:asciiTheme="majorHAnsi" w:eastAsiaTheme="majorEastAsia" w:hAnsiTheme="majorHAnsi" w:cstheme="majorBidi"/>
      <w:bCs/>
      <w:i/>
      <w:color w:val="286B5F" w:themeColor="accent1" w:themeShade="7F"/>
      <w:szCs w:val="26"/>
    </w:rPr>
  </w:style>
  <w:style w:type="character" w:customStyle="1" w:styleId="Heading8Char">
    <w:name w:val="Heading 8 Char"/>
    <w:basedOn w:val="DefaultParagraphFont"/>
    <w:link w:val="Heading8"/>
    <w:uiPriority w:val="9"/>
    <w:semiHidden/>
    <w:rsid w:val="00486804"/>
    <w:rPr>
      <w:rFonts w:asciiTheme="majorHAnsi" w:eastAsiaTheme="majorEastAsia" w:hAnsiTheme="majorHAnsi" w:cstheme="majorBidi"/>
      <w:bCs/>
      <w:i/>
      <w:color w:val="272727" w:themeColor="text1" w:themeTint="D8"/>
      <w:sz w:val="21"/>
      <w:szCs w:val="21"/>
    </w:rPr>
  </w:style>
  <w:style w:type="character" w:customStyle="1" w:styleId="Heading9Char">
    <w:name w:val="Heading 9 Char"/>
    <w:basedOn w:val="DefaultParagraphFont"/>
    <w:link w:val="Heading9"/>
    <w:uiPriority w:val="9"/>
    <w:semiHidden/>
    <w:rsid w:val="00486804"/>
    <w:rPr>
      <w:rFonts w:asciiTheme="majorHAnsi" w:eastAsiaTheme="majorEastAsia" w:hAnsiTheme="majorHAnsi" w:cstheme="majorBidi"/>
      <w:bCs/>
      <w:iCs/>
      <w:color w:val="272727" w:themeColor="text1" w:themeTint="D8"/>
      <w:sz w:val="21"/>
      <w:szCs w:val="21"/>
    </w:rPr>
  </w:style>
  <w:style w:type="character" w:customStyle="1" w:styleId="LightGrey">
    <w:name w:val="Light Grey"/>
    <w:basedOn w:val="DefaultParagraphFont"/>
    <w:uiPriority w:val="1"/>
    <w:qFormat/>
    <w:rsid w:val="00ED2831"/>
    <w:rPr>
      <w:color w:val="B0BDC6" w:themeColor="text2" w:themeTint="66"/>
    </w:rPr>
  </w:style>
  <w:style w:type="character" w:styleId="PageNumber">
    <w:name w:val="page number"/>
    <w:basedOn w:val="DefaultParagraphFont"/>
    <w:uiPriority w:val="99"/>
    <w:unhideWhenUsed/>
    <w:rsid w:val="00F5404C"/>
    <w:rPr>
      <w:color w:val="495965" w:themeColor="text2"/>
    </w:rPr>
  </w:style>
  <w:style w:type="paragraph" w:styleId="Quote">
    <w:name w:val="Quote"/>
    <w:basedOn w:val="Normal"/>
    <w:next w:val="Normal"/>
    <w:link w:val="QuoteChar"/>
    <w:uiPriority w:val="29"/>
    <w:qFormat/>
    <w:rsid w:val="00D64BD1"/>
    <w:pPr>
      <w:spacing w:after="180" w:line="320" w:lineRule="atLeast"/>
    </w:pPr>
    <w:rPr>
      <w:iCs/>
      <w:sz w:val="28"/>
    </w:rPr>
  </w:style>
  <w:style w:type="character" w:customStyle="1" w:styleId="QuoteChar">
    <w:name w:val="Quote Char"/>
    <w:basedOn w:val="DefaultParagraphFont"/>
    <w:link w:val="Quote"/>
    <w:uiPriority w:val="29"/>
    <w:rsid w:val="00D64BD1"/>
    <w:rPr>
      <w:iCs/>
      <w:color w:val="495965" w:themeColor="text2"/>
      <w:sz w:val="28"/>
      <w:lang w:val="en-GB"/>
    </w:rPr>
  </w:style>
  <w:style w:type="paragraph" w:customStyle="1" w:styleId="QuoteHeading">
    <w:name w:val="Quote Heading"/>
    <w:basedOn w:val="Quote"/>
    <w:qFormat/>
    <w:locked/>
    <w:rsid w:val="00C5182A"/>
    <w:rPr>
      <w:b/>
      <w:sz w:val="20"/>
    </w:rPr>
  </w:style>
  <w:style w:type="paragraph" w:customStyle="1" w:styleId="Style1">
    <w:name w:val="Style1"/>
    <w:basedOn w:val="08bFOOTNOTESOVER10"/>
    <w:next w:val="Style10"/>
    <w:link w:val="FootnoteTextChar"/>
    <w:qFormat/>
    <w:rsid w:val="00A112F5"/>
    <w:pPr>
      <w:spacing w:after="0" w:line="240" w:lineRule="auto"/>
    </w:pPr>
    <w:rPr>
      <w:rFonts w:asciiTheme="minorHAnsi" w:hAnsiTheme="minorHAnsi" w:cstheme="minorHAnsi"/>
      <w:sz w:val="16"/>
      <w:szCs w:val="16"/>
      <w:vertAlign w:val="superscript"/>
    </w:rPr>
  </w:style>
  <w:style w:type="character" w:customStyle="1" w:styleId="FootnoteTextChar">
    <w:name w:val="Footnote Text Char"/>
    <w:basedOn w:val="DefaultParagraphFont"/>
    <w:link w:val="Style1"/>
    <w:uiPriority w:val="99"/>
    <w:rsid w:val="00A112F5"/>
    <w:rPr>
      <w:color w:val="495965" w:themeColor="text2"/>
      <w:sz w:val="16"/>
      <w:szCs w:val="20"/>
      <w:lang w:val="en-GB"/>
    </w:rPr>
  </w:style>
  <w:style w:type="character" w:styleId="FootnoteReference">
    <w:name w:val="footnote reference"/>
    <w:basedOn w:val="DefaultParagraphFont"/>
    <w:uiPriority w:val="99"/>
    <w:semiHidden/>
    <w:unhideWhenUsed/>
    <w:rsid w:val="003002C0"/>
    <w:rPr>
      <w:vertAlign w:val="superscript"/>
    </w:rPr>
  </w:style>
  <w:style w:type="paragraph" w:customStyle="1" w:styleId="GreyRoundBoxText">
    <w:name w:val="Grey Round Box Text"/>
    <w:basedOn w:val="Normal"/>
    <w:qFormat/>
    <w:rsid w:val="000D66D6"/>
    <w:rPr>
      <w:b/>
      <w:caps/>
      <w:color w:val="FFFFFF" w:themeColor="background1"/>
      <w:sz w:val="18"/>
    </w:rPr>
  </w:style>
  <w:style w:type="character" w:customStyle="1" w:styleId="Green">
    <w:name w:val="Green"/>
    <w:basedOn w:val="DefaultParagraphFont"/>
    <w:uiPriority w:val="1"/>
    <w:qFormat/>
    <w:rsid w:val="00961E72"/>
    <w:rPr>
      <w:color w:val="ACD08C" w:themeColor="accent2"/>
    </w:rPr>
  </w:style>
  <w:style w:type="paragraph" w:customStyle="1" w:styleId="PhotoMargins">
    <w:name w:val="Photo Margins"/>
    <w:basedOn w:val="Normal"/>
    <w:qFormat/>
    <w:rsid w:val="00992C76"/>
  </w:style>
  <w:style w:type="paragraph" w:customStyle="1" w:styleId="PhotoLeft">
    <w:name w:val="Photo Left"/>
    <w:basedOn w:val="PhotoMargins"/>
    <w:qFormat/>
    <w:rsid w:val="00F82271"/>
    <w:pPr>
      <w:ind w:left="-851"/>
    </w:pPr>
  </w:style>
  <w:style w:type="paragraph" w:customStyle="1" w:styleId="PhotoRight">
    <w:name w:val="Photo Right"/>
    <w:basedOn w:val="PhotoMargins"/>
    <w:qFormat/>
    <w:rsid w:val="00F82271"/>
    <w:pPr>
      <w:ind w:right="-851"/>
      <w:jc w:val="right"/>
    </w:pPr>
  </w:style>
  <w:style w:type="paragraph" w:customStyle="1" w:styleId="PhotoCaption">
    <w:name w:val="Photo Caption"/>
    <w:basedOn w:val="Normal"/>
    <w:qFormat/>
    <w:rsid w:val="00897FA2"/>
    <w:pPr>
      <w:spacing w:after="200" w:line="200" w:lineRule="atLeast"/>
      <w:jc w:val="right"/>
    </w:pPr>
    <w:rPr>
      <w:sz w:val="16"/>
    </w:rPr>
  </w:style>
  <w:style w:type="table" w:customStyle="1" w:styleId="DFATTable1">
    <w:name w:val="DFAT Table 1"/>
    <w:basedOn w:val="TableNormal"/>
    <w:uiPriority w:val="99"/>
    <w:rsid w:val="00C06B13"/>
    <w:pPr>
      <w:spacing w:before="60" w:after="60" w:line="260" w:lineRule="atLeast"/>
    </w:pPr>
    <w:rPr>
      <w:rFonts w:ascii="Calibri" w:hAnsi="Calibri"/>
    </w:rPr>
    <w:tblPr>
      <w:tblStyleRowBandSize w:val="1"/>
      <w:tblStyleColBandSize w:val="1"/>
      <w:tblBorders>
        <w:top w:val="single" w:sz="4" w:space="0" w:color="495965" w:themeColor="text2"/>
        <w:bottom w:val="single" w:sz="4" w:space="0" w:color="495965" w:themeColor="text2"/>
        <w:insideH w:val="single" w:sz="4" w:space="0" w:color="495965" w:themeColor="text2"/>
      </w:tblBorders>
      <w:tblCellMar>
        <w:top w:w="57" w:type="dxa"/>
        <w:bottom w:w="57" w:type="dxa"/>
      </w:tblCellMar>
    </w:tblPr>
    <w:tblStylePr w:type="firstRow">
      <w:rPr>
        <w:b w:val="0"/>
      </w:rPr>
      <w:tblPr/>
      <w:tcPr>
        <w:tcBorders>
          <w:top w:val="single" w:sz="4" w:space="0" w:color="65C5B4" w:themeColor="accent1"/>
          <w:bottom w:val="single" w:sz="4" w:space="0" w:color="65C5B4" w:themeColor="accent1"/>
          <w:insideH w:val="single" w:sz="4" w:space="0" w:color="65C5B4" w:themeColor="accent1"/>
        </w:tcBorders>
        <w:shd w:val="clear" w:color="auto" w:fill="65C5B4" w:themeFill="accent1"/>
      </w:tcPr>
    </w:tblStylePr>
    <w:tblStylePr w:type="lastRow">
      <w:rPr>
        <w:b/>
        <w:color w:val="FFFFFF"/>
      </w:rPr>
      <w:tblPr/>
      <w:tcPr>
        <w:shd w:val="clear" w:color="auto" w:fill="495965" w:themeFill="text2"/>
      </w:tcPr>
    </w:tblStylePr>
    <w:tblStylePr w:type="firstCol">
      <w:tblPr/>
      <w:tcPr>
        <w:shd w:val="clear" w:color="auto" w:fill="D8DCDB" w:themeFill="background2"/>
      </w:tcPr>
    </w:tblStylePr>
    <w:tblStylePr w:type="lastCol">
      <w:tblPr/>
      <w:tcPr>
        <w:shd w:val="clear" w:color="auto" w:fill="D8DCDB" w:themeFill="background2"/>
      </w:tcPr>
    </w:tblStylePr>
    <w:tblStylePr w:type="band1Vert">
      <w:tblPr/>
      <w:tcPr>
        <w:shd w:val="clear" w:color="auto" w:fill="E0F3EF" w:themeFill="accent1" w:themeFillTint="33"/>
      </w:tcPr>
    </w:tblStylePr>
    <w:tblStylePr w:type="band2Vert">
      <w:tblPr/>
      <w:tcPr>
        <w:shd w:val="clear" w:color="auto" w:fill="C1E7E0" w:themeFill="accent1" w:themeFillTint="66"/>
      </w:tcPr>
    </w:tblStylePr>
    <w:tblStylePr w:type="band1Horz">
      <w:tblPr/>
      <w:tcPr>
        <w:shd w:val="clear" w:color="auto" w:fill="E0F3EF" w:themeFill="accent1" w:themeFillTint="33"/>
      </w:tcPr>
    </w:tblStylePr>
    <w:tblStylePr w:type="band2Horz">
      <w:tblPr/>
      <w:tcPr>
        <w:shd w:val="clear" w:color="auto" w:fill="C1E7E0" w:themeFill="accent1" w:themeFillTint="66"/>
      </w:tcPr>
    </w:tblStylePr>
  </w:style>
  <w:style w:type="paragraph" w:customStyle="1" w:styleId="FootnoteSeparator">
    <w:name w:val="Footnote Separator"/>
    <w:basedOn w:val="Footer"/>
    <w:qFormat/>
    <w:rsid w:val="00ED2831"/>
    <w:pPr>
      <w:pBdr>
        <w:top w:val="single" w:sz="4" w:space="1" w:color="495965" w:themeColor="text2"/>
      </w:pBdr>
      <w:tabs>
        <w:tab w:val="right" w:pos="9356"/>
        <w:tab w:val="center" w:pos="10036"/>
      </w:tabs>
      <w:spacing w:line="220" w:lineRule="atLeast"/>
      <w:ind w:right="0"/>
    </w:pPr>
    <w:rPr>
      <w:color w:val="495965" w:themeColor="text2"/>
      <w:sz w:val="14"/>
    </w:rPr>
  </w:style>
  <w:style w:type="paragraph" w:customStyle="1" w:styleId="Heading1smallspaceafter">
    <w:name w:val="Heading 1 small space after"/>
    <w:basedOn w:val="Heading1"/>
    <w:qFormat/>
    <w:rsid w:val="00F25A93"/>
    <w:pPr>
      <w:spacing w:after="600"/>
      <w:contextualSpacing w:val="0"/>
    </w:pPr>
  </w:style>
  <w:style w:type="paragraph" w:customStyle="1" w:styleId="TableBullet1">
    <w:name w:val="Table Bullet 1"/>
    <w:basedOn w:val="Bullet1"/>
    <w:qFormat/>
    <w:rsid w:val="00ED2831"/>
    <w:pPr>
      <w:numPr>
        <w:numId w:val="0"/>
      </w:numPr>
      <w:spacing w:before="60" w:line="220" w:lineRule="atLeast"/>
      <w:ind w:left="284" w:hanging="284"/>
    </w:pPr>
    <w:rPr>
      <w:rFonts w:ascii="Calibri" w:hAnsi="Calibri"/>
      <w:sz w:val="18"/>
    </w:rPr>
  </w:style>
  <w:style w:type="paragraph" w:customStyle="1" w:styleId="TableBullet2">
    <w:name w:val="Table Bullet 2"/>
    <w:basedOn w:val="Bullet2"/>
    <w:qFormat/>
    <w:rsid w:val="00ED2831"/>
    <w:pPr>
      <w:numPr>
        <w:ilvl w:val="0"/>
        <w:numId w:val="0"/>
      </w:numPr>
      <w:spacing w:before="60" w:line="220" w:lineRule="atLeast"/>
      <w:ind w:left="568" w:hanging="284"/>
    </w:pPr>
    <w:rPr>
      <w:rFonts w:ascii="Calibri" w:hAnsi="Calibri"/>
      <w:sz w:val="18"/>
    </w:rPr>
  </w:style>
  <w:style w:type="paragraph" w:customStyle="1" w:styleId="TableBullet3">
    <w:name w:val="Table Bullet 3"/>
    <w:basedOn w:val="Bullet3"/>
    <w:qFormat/>
    <w:rsid w:val="00ED2831"/>
    <w:pPr>
      <w:numPr>
        <w:ilvl w:val="0"/>
        <w:numId w:val="0"/>
      </w:numPr>
      <w:spacing w:before="60" w:line="220" w:lineRule="atLeast"/>
      <w:ind w:left="852" w:hanging="284"/>
    </w:pPr>
    <w:rPr>
      <w:rFonts w:ascii="Calibri" w:hAnsi="Calibri"/>
      <w:sz w:val="18"/>
    </w:rPr>
  </w:style>
  <w:style w:type="paragraph" w:customStyle="1" w:styleId="TableHeaderRow">
    <w:name w:val="Table Header Row"/>
    <w:basedOn w:val="Normal"/>
    <w:qFormat/>
    <w:rsid w:val="00C06B13"/>
    <w:pPr>
      <w:framePr w:hSpace="180" w:wrap="around" w:vAnchor="page" w:hAnchor="margin" w:y="5061"/>
      <w:spacing w:before="60"/>
    </w:pPr>
    <w:rPr>
      <w:rFonts w:ascii="Calibri" w:hAnsi="Calibri"/>
      <w:b/>
      <w:szCs w:val="21"/>
    </w:rPr>
  </w:style>
  <w:style w:type="paragraph" w:customStyle="1" w:styleId="TableNumberedList1">
    <w:name w:val="Table Numbered List 1"/>
    <w:basedOn w:val="NumberedList1"/>
    <w:qFormat/>
    <w:rsid w:val="00ED2831"/>
    <w:pPr>
      <w:spacing w:before="60" w:line="220" w:lineRule="atLeast"/>
    </w:pPr>
    <w:rPr>
      <w:rFonts w:ascii="Calibri" w:hAnsi="Calibri"/>
      <w:sz w:val="18"/>
    </w:rPr>
  </w:style>
  <w:style w:type="paragraph" w:customStyle="1" w:styleId="TableNumberedList2">
    <w:name w:val="Table Numbered List 2"/>
    <w:basedOn w:val="NumberedList2"/>
    <w:qFormat/>
    <w:rsid w:val="00ED2831"/>
    <w:pPr>
      <w:spacing w:before="60" w:line="220" w:lineRule="atLeast"/>
    </w:pPr>
    <w:rPr>
      <w:rFonts w:ascii="Calibri" w:hAnsi="Calibri"/>
      <w:sz w:val="18"/>
    </w:rPr>
  </w:style>
  <w:style w:type="paragraph" w:customStyle="1" w:styleId="TableNumberedList3">
    <w:name w:val="Table Numbered List 3"/>
    <w:basedOn w:val="NumberedList3"/>
    <w:qFormat/>
    <w:rsid w:val="00ED2831"/>
    <w:pPr>
      <w:spacing w:before="60" w:line="220" w:lineRule="atLeast"/>
      <w:ind w:left="851"/>
    </w:pPr>
    <w:rPr>
      <w:rFonts w:ascii="Calibri" w:hAnsi="Calibri"/>
      <w:sz w:val="18"/>
    </w:rPr>
  </w:style>
  <w:style w:type="paragraph" w:customStyle="1" w:styleId="TableSourceNotes">
    <w:name w:val="Table Source Notes"/>
    <w:basedOn w:val="Normal"/>
    <w:qFormat/>
    <w:rsid w:val="00ED2831"/>
    <w:pPr>
      <w:tabs>
        <w:tab w:val="left" w:pos="284"/>
      </w:tabs>
      <w:spacing w:line="160" w:lineRule="atLeast"/>
      <w:ind w:left="284" w:hanging="284"/>
      <w:contextualSpacing/>
    </w:pPr>
    <w:rPr>
      <w:sz w:val="12"/>
    </w:rPr>
  </w:style>
  <w:style w:type="paragraph" w:customStyle="1" w:styleId="TableTotalRow">
    <w:name w:val="Table Total Row"/>
    <w:basedOn w:val="Normal"/>
    <w:qFormat/>
    <w:rsid w:val="00CF07BA"/>
    <w:pPr>
      <w:spacing w:before="60"/>
    </w:pPr>
    <w:rPr>
      <w:rFonts w:ascii="Calibri" w:hAnsi="Calibri"/>
      <w:b/>
      <w:color w:val="FFFFFF" w:themeColor="background1"/>
    </w:rPr>
  </w:style>
  <w:style w:type="paragraph" w:customStyle="1" w:styleId="BoxHeading">
    <w:name w:val="Box Heading"/>
    <w:basedOn w:val="Heading3"/>
    <w:qFormat/>
    <w:locked/>
    <w:rsid w:val="00ED2831"/>
    <w:pPr>
      <w:spacing w:before="60"/>
    </w:pPr>
  </w:style>
  <w:style w:type="paragraph" w:customStyle="1" w:styleId="QuoteAuthor">
    <w:name w:val="Quote Author"/>
    <w:basedOn w:val="Quote"/>
    <w:qFormat/>
    <w:rsid w:val="00D64BD1"/>
    <w:pPr>
      <w:spacing w:after="60" w:line="200" w:lineRule="atLeast"/>
    </w:pPr>
    <w:rPr>
      <w:sz w:val="16"/>
    </w:rPr>
  </w:style>
  <w:style w:type="paragraph" w:customStyle="1" w:styleId="TableText">
    <w:name w:val="Table Text"/>
    <w:basedOn w:val="Normal"/>
    <w:qFormat/>
    <w:rsid w:val="0080204D"/>
    <w:pPr>
      <w:framePr w:hSpace="180" w:wrap="around" w:vAnchor="page" w:hAnchor="margin" w:y="5061"/>
      <w:spacing w:before="60"/>
    </w:pPr>
    <w:rPr>
      <w:rFonts w:ascii="Calibri" w:hAnsi="Calibri"/>
      <w:szCs w:val="21"/>
    </w:rPr>
  </w:style>
  <w:style w:type="paragraph" w:customStyle="1" w:styleId="PhotoCredit">
    <w:name w:val="Photo Credit"/>
    <w:basedOn w:val="Normal"/>
    <w:qFormat/>
    <w:rsid w:val="00A80F95"/>
    <w:pPr>
      <w:spacing w:after="200" w:line="160" w:lineRule="atLeast"/>
      <w:jc w:val="right"/>
    </w:pPr>
    <w:rPr>
      <w:sz w:val="12"/>
    </w:rPr>
  </w:style>
  <w:style w:type="paragraph" w:styleId="BalloonText">
    <w:name w:val="Balloon Text"/>
    <w:basedOn w:val="Normal"/>
    <w:link w:val="BalloonTextChar"/>
    <w:uiPriority w:val="99"/>
    <w:semiHidden/>
    <w:unhideWhenUsed/>
    <w:locked/>
    <w:rsid w:val="00A61B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B4D"/>
    <w:rPr>
      <w:rFonts w:ascii="Tahoma" w:hAnsi="Tahoma" w:cs="Tahoma"/>
      <w:color w:val="495965" w:themeColor="text2"/>
      <w:sz w:val="16"/>
      <w:szCs w:val="16"/>
      <w:lang w:val="en-GB"/>
    </w:rPr>
  </w:style>
  <w:style w:type="paragraph" w:customStyle="1" w:styleId="SpacebeforeTitle">
    <w:name w:val="Space before Title"/>
    <w:basedOn w:val="Normal"/>
    <w:qFormat/>
    <w:rsid w:val="00B33C0A"/>
    <w:pPr>
      <w:spacing w:after="900"/>
    </w:pPr>
  </w:style>
  <w:style w:type="paragraph" w:customStyle="1" w:styleId="Box1Text">
    <w:name w:val="Box 1 Text"/>
    <w:basedOn w:val="Normal"/>
    <w:qFormat/>
    <w:rsid w:val="00E8296D"/>
    <w:pPr>
      <w:pBdr>
        <w:top w:val="single" w:sz="4" w:space="14" w:color="65C5B4" w:themeColor="accent1"/>
        <w:left w:val="single" w:sz="4" w:space="14" w:color="65C5B4" w:themeColor="accent1"/>
        <w:bottom w:val="single" w:sz="4" w:space="14" w:color="65C5B4" w:themeColor="accent1"/>
        <w:right w:val="single" w:sz="4" w:space="14" w:color="65C5B4" w:themeColor="accent1"/>
      </w:pBdr>
      <w:shd w:val="clear" w:color="auto" w:fill="FFFFFF" w:themeFill="background1"/>
      <w:spacing w:before="180" w:after="80"/>
      <w:ind w:left="284" w:right="284"/>
    </w:pPr>
    <w:rPr>
      <w:sz w:val="20"/>
      <w:lang w:val="en-AU"/>
    </w:rPr>
  </w:style>
  <w:style w:type="paragraph" w:customStyle="1" w:styleId="Box1Heading">
    <w:name w:val="Box 1 Heading"/>
    <w:basedOn w:val="Box1Text"/>
    <w:qFormat/>
    <w:rsid w:val="00E8296D"/>
    <w:pPr>
      <w:keepNext/>
      <w:spacing w:line="300" w:lineRule="atLeast"/>
    </w:pPr>
    <w:rPr>
      <w:b/>
      <w:sz w:val="26"/>
    </w:rPr>
  </w:style>
  <w:style w:type="paragraph" w:customStyle="1" w:styleId="Box2Text">
    <w:name w:val="Box 2 Text"/>
    <w:basedOn w:val="Box1Text"/>
    <w:qFormat/>
    <w:rsid w:val="00522396"/>
    <w:pPr>
      <w:pBdr>
        <w:top w:val="single" w:sz="4" w:space="14" w:color="495965" w:themeColor="text2"/>
        <w:left w:val="single" w:sz="4" w:space="14" w:color="495965" w:themeColor="text2"/>
        <w:bottom w:val="single" w:sz="4" w:space="14" w:color="495965" w:themeColor="text2"/>
        <w:right w:val="single" w:sz="4" w:space="14" w:color="495965" w:themeColor="text2"/>
      </w:pBdr>
      <w:shd w:val="clear" w:color="auto" w:fill="495965" w:themeFill="text2"/>
    </w:pPr>
    <w:rPr>
      <w:color w:val="FFFFFF" w:themeColor="background1"/>
    </w:rPr>
  </w:style>
  <w:style w:type="paragraph" w:customStyle="1" w:styleId="Box2Heading">
    <w:name w:val="Box 2 Heading"/>
    <w:basedOn w:val="Box2Text"/>
    <w:qFormat/>
    <w:rsid w:val="00E8296D"/>
    <w:pPr>
      <w:keepNext/>
      <w:spacing w:line="300" w:lineRule="atLeast"/>
    </w:pPr>
    <w:rPr>
      <w:b/>
      <w:sz w:val="26"/>
    </w:rPr>
  </w:style>
  <w:style w:type="paragraph" w:customStyle="1" w:styleId="Box1Bullet">
    <w:name w:val="Box 1 Bullet"/>
    <w:basedOn w:val="Box1Text"/>
    <w:qFormat/>
    <w:rsid w:val="00C42541"/>
    <w:pPr>
      <w:numPr>
        <w:numId w:val="8"/>
      </w:numPr>
      <w:ind w:left="454" w:hanging="170"/>
    </w:pPr>
  </w:style>
  <w:style w:type="paragraph" w:customStyle="1" w:styleId="Box2Bullet">
    <w:name w:val="Box 2 Bullet"/>
    <w:basedOn w:val="Box2Text"/>
    <w:qFormat/>
    <w:rsid w:val="00C42541"/>
    <w:pPr>
      <w:numPr>
        <w:numId w:val="9"/>
      </w:numPr>
      <w:ind w:left="454" w:hanging="170"/>
    </w:pPr>
  </w:style>
  <w:style w:type="paragraph" w:styleId="BodyText">
    <w:name w:val="Body Text"/>
    <w:basedOn w:val="Normal"/>
    <w:link w:val="BodyTextChar"/>
    <w:uiPriority w:val="99"/>
    <w:unhideWhenUsed/>
    <w:rsid w:val="000020C1"/>
  </w:style>
  <w:style w:type="character" w:customStyle="1" w:styleId="BodyTextChar">
    <w:name w:val="Body Text Char"/>
    <w:basedOn w:val="DefaultParagraphFont"/>
    <w:link w:val="BodyText"/>
    <w:uiPriority w:val="99"/>
    <w:rsid w:val="000020C1"/>
    <w:rPr>
      <w:color w:val="495965" w:themeColor="text2"/>
      <w:lang w:val="en-GB"/>
    </w:rPr>
  </w:style>
  <w:style w:type="paragraph" w:styleId="BodyText2">
    <w:name w:val="Body Text 2"/>
    <w:basedOn w:val="Normal"/>
    <w:link w:val="BodyText2Char"/>
    <w:uiPriority w:val="99"/>
    <w:semiHidden/>
    <w:unhideWhenUsed/>
    <w:locked/>
    <w:rsid w:val="000020C1"/>
    <w:pPr>
      <w:spacing w:line="480" w:lineRule="auto"/>
    </w:pPr>
  </w:style>
  <w:style w:type="character" w:customStyle="1" w:styleId="BodyText2Char">
    <w:name w:val="Body Text 2 Char"/>
    <w:basedOn w:val="DefaultParagraphFont"/>
    <w:link w:val="BodyText2"/>
    <w:uiPriority w:val="99"/>
    <w:semiHidden/>
    <w:rsid w:val="000020C1"/>
    <w:rPr>
      <w:color w:val="495965" w:themeColor="text2"/>
      <w:lang w:val="en-GB"/>
    </w:rPr>
  </w:style>
  <w:style w:type="paragraph" w:styleId="BodyText3">
    <w:name w:val="Body Text 3"/>
    <w:basedOn w:val="Normal"/>
    <w:link w:val="BodyText3Char"/>
    <w:uiPriority w:val="99"/>
    <w:semiHidden/>
    <w:unhideWhenUsed/>
    <w:locked/>
    <w:rsid w:val="000020C1"/>
    <w:rPr>
      <w:sz w:val="16"/>
      <w:szCs w:val="16"/>
    </w:rPr>
  </w:style>
  <w:style w:type="character" w:customStyle="1" w:styleId="BodyText3Char">
    <w:name w:val="Body Text 3 Char"/>
    <w:basedOn w:val="DefaultParagraphFont"/>
    <w:link w:val="BodyText3"/>
    <w:uiPriority w:val="99"/>
    <w:semiHidden/>
    <w:rsid w:val="000020C1"/>
    <w:rPr>
      <w:color w:val="495965" w:themeColor="text2"/>
      <w:sz w:val="16"/>
      <w:szCs w:val="16"/>
      <w:lang w:val="en-GB"/>
    </w:rPr>
  </w:style>
  <w:style w:type="paragraph" w:styleId="BodyTextFirstIndent">
    <w:name w:val="Body Text First Indent"/>
    <w:basedOn w:val="NormalIndented"/>
    <w:link w:val="BodyTextFirstIndentChar"/>
    <w:uiPriority w:val="99"/>
    <w:unhideWhenUsed/>
    <w:rsid w:val="000020C1"/>
  </w:style>
  <w:style w:type="character" w:customStyle="1" w:styleId="BodyTextFirstIndentChar">
    <w:name w:val="Body Text First Indent Char"/>
    <w:basedOn w:val="BodyTextChar"/>
    <w:link w:val="BodyTextFirstIndent"/>
    <w:uiPriority w:val="99"/>
    <w:rsid w:val="000020C1"/>
    <w:rPr>
      <w:color w:val="495965" w:themeColor="text2"/>
      <w:lang w:val="en-GB"/>
    </w:rPr>
  </w:style>
  <w:style w:type="paragraph" w:styleId="BodyTextIndent">
    <w:name w:val="Body Text Indent"/>
    <w:basedOn w:val="Normal"/>
    <w:link w:val="BodyTextIndentChar"/>
    <w:uiPriority w:val="99"/>
    <w:semiHidden/>
    <w:unhideWhenUsed/>
    <w:locked/>
    <w:rsid w:val="000020C1"/>
    <w:pPr>
      <w:spacing w:after="120"/>
      <w:ind w:left="283"/>
    </w:pPr>
  </w:style>
  <w:style w:type="character" w:customStyle="1" w:styleId="BodyTextIndentChar">
    <w:name w:val="Body Text Indent Char"/>
    <w:basedOn w:val="DefaultParagraphFont"/>
    <w:link w:val="BodyTextIndent"/>
    <w:uiPriority w:val="99"/>
    <w:semiHidden/>
    <w:rsid w:val="000020C1"/>
    <w:rPr>
      <w:color w:val="495965" w:themeColor="text2"/>
      <w:lang w:val="en-GB"/>
    </w:rPr>
  </w:style>
  <w:style w:type="paragraph" w:styleId="BodyTextFirstIndent2">
    <w:name w:val="Body Text First Indent 2"/>
    <w:basedOn w:val="BodyTextIndent"/>
    <w:link w:val="BodyTextFirstIndent2Char"/>
    <w:uiPriority w:val="99"/>
    <w:semiHidden/>
    <w:unhideWhenUsed/>
    <w:locked/>
    <w:rsid w:val="00E8457B"/>
    <w:pPr>
      <w:spacing w:after="60"/>
      <w:ind w:left="567"/>
    </w:pPr>
  </w:style>
  <w:style w:type="character" w:customStyle="1" w:styleId="BodyTextFirstIndent2Char">
    <w:name w:val="Body Text First Indent 2 Char"/>
    <w:basedOn w:val="BodyTextIndentChar"/>
    <w:link w:val="BodyTextFirstIndent2"/>
    <w:uiPriority w:val="99"/>
    <w:semiHidden/>
    <w:rsid w:val="00E8457B"/>
    <w:rPr>
      <w:color w:val="495965" w:themeColor="text2"/>
      <w:lang w:val="en-GB"/>
    </w:rPr>
  </w:style>
  <w:style w:type="paragraph" w:styleId="BlockText">
    <w:name w:val="Block Text"/>
    <w:basedOn w:val="Normal"/>
    <w:uiPriority w:val="99"/>
    <w:unhideWhenUsed/>
    <w:locked/>
    <w:rsid w:val="00E8457B"/>
    <w:pPr>
      <w:pBdr>
        <w:top w:val="single" w:sz="2" w:space="10" w:color="65C5B4" w:themeColor="accent1"/>
        <w:left w:val="single" w:sz="2" w:space="10" w:color="65C5B4" w:themeColor="accent1"/>
        <w:bottom w:val="single" w:sz="2" w:space="10" w:color="65C5B4" w:themeColor="accent1"/>
        <w:right w:val="single" w:sz="2" w:space="10" w:color="65C5B4" w:themeColor="accent1"/>
      </w:pBdr>
      <w:ind w:left="1152" w:right="1152"/>
    </w:pPr>
    <w:rPr>
      <w:rFonts w:eastAsiaTheme="minorEastAsia"/>
      <w:i/>
      <w:iCs/>
      <w:color w:val="65C5B4" w:themeColor="accent1"/>
    </w:rPr>
  </w:style>
  <w:style w:type="table" w:customStyle="1" w:styleId="DFATTable2">
    <w:name w:val="DFAT Table 2"/>
    <w:basedOn w:val="TableNormal"/>
    <w:uiPriority w:val="99"/>
    <w:rsid w:val="00482AE8"/>
    <w:pPr>
      <w:spacing w:line="260" w:lineRule="atLeast"/>
    </w:pPr>
    <w:rPr>
      <w:rFonts w:ascii="Calibri" w:hAnsi="Calibri"/>
      <w:color w:val="495965" w:themeColor="text2"/>
    </w:rPr>
    <w:tblPr>
      <w:tblBorders>
        <w:top w:val="single" w:sz="4" w:space="0" w:color="F6F6F8"/>
        <w:bottom w:val="single" w:sz="4" w:space="0" w:color="F6F6F8"/>
        <w:insideH w:val="single" w:sz="4" w:space="0" w:color="F6F6F8"/>
      </w:tblBorders>
      <w:tblCellMar>
        <w:top w:w="57" w:type="dxa"/>
        <w:left w:w="57" w:type="dxa"/>
        <w:bottom w:w="57" w:type="dxa"/>
        <w:right w:w="57" w:type="dxa"/>
      </w:tblCellMar>
    </w:tblPr>
    <w:tcPr>
      <w:shd w:val="clear" w:color="auto" w:fill="FFFFFF" w:themeFill="background1"/>
    </w:tcPr>
  </w:style>
  <w:style w:type="character" w:styleId="CommentReference">
    <w:name w:val="annotation reference"/>
    <w:basedOn w:val="DefaultParagraphFont"/>
    <w:uiPriority w:val="99"/>
    <w:semiHidden/>
    <w:unhideWhenUsed/>
    <w:rsid w:val="005204D2"/>
    <w:rPr>
      <w:sz w:val="16"/>
      <w:szCs w:val="16"/>
    </w:rPr>
  </w:style>
  <w:style w:type="paragraph" w:styleId="CommentText">
    <w:name w:val="annotation text"/>
    <w:basedOn w:val="Normal"/>
    <w:link w:val="CommentTextChar"/>
    <w:uiPriority w:val="99"/>
    <w:unhideWhenUsed/>
    <w:rsid w:val="005204D2"/>
    <w:pPr>
      <w:spacing w:line="240" w:lineRule="auto"/>
    </w:pPr>
    <w:rPr>
      <w:sz w:val="20"/>
      <w:szCs w:val="20"/>
    </w:rPr>
  </w:style>
  <w:style w:type="character" w:customStyle="1" w:styleId="CommentTextChar">
    <w:name w:val="Comment Text Char"/>
    <w:basedOn w:val="DefaultParagraphFont"/>
    <w:link w:val="CommentText"/>
    <w:uiPriority w:val="99"/>
    <w:rsid w:val="005204D2"/>
    <w:rPr>
      <w:color w:val="495965" w:themeColor="text2"/>
      <w:sz w:val="20"/>
      <w:szCs w:val="20"/>
      <w:lang w:val="en-GB"/>
    </w:rPr>
  </w:style>
  <w:style w:type="paragraph" w:styleId="CommentSubject">
    <w:name w:val="annotation subject"/>
    <w:basedOn w:val="CommentText"/>
    <w:next w:val="CommentText"/>
    <w:link w:val="CommentSubjectChar"/>
    <w:uiPriority w:val="99"/>
    <w:semiHidden/>
    <w:unhideWhenUsed/>
    <w:rsid w:val="005204D2"/>
    <w:rPr>
      <w:b/>
      <w:bCs/>
    </w:rPr>
  </w:style>
  <w:style w:type="character" w:customStyle="1" w:styleId="CommentSubjectChar">
    <w:name w:val="Comment Subject Char"/>
    <w:basedOn w:val="CommentTextChar"/>
    <w:link w:val="CommentSubject"/>
    <w:uiPriority w:val="99"/>
    <w:semiHidden/>
    <w:rsid w:val="005204D2"/>
    <w:rPr>
      <w:b/>
      <w:bCs/>
      <w:color w:val="495965" w:themeColor="text2"/>
      <w:sz w:val="20"/>
      <w:szCs w:val="20"/>
      <w:lang w:val="en-GB"/>
    </w:rPr>
  </w:style>
  <w:style w:type="character" w:customStyle="1" w:styleId="ColourAccent1">
    <w:name w:val="Colour Accent 1"/>
    <w:basedOn w:val="DefaultParagraphFont"/>
    <w:uiPriority w:val="1"/>
    <w:qFormat/>
    <w:locked/>
    <w:rsid w:val="001214BE"/>
    <w:rPr>
      <w:color w:val="65C5B4" w:themeColor="accent1"/>
    </w:rPr>
  </w:style>
  <w:style w:type="paragraph" w:customStyle="1" w:styleId="BodyBullets">
    <w:name w:val="Body Bullets"/>
    <w:rsid w:val="00CA0F62"/>
    <w:pPr>
      <w:numPr>
        <w:numId w:val="11"/>
      </w:numPr>
      <w:tabs>
        <w:tab w:val="left" w:pos="284"/>
      </w:tabs>
      <w:spacing w:before="97" w:after="153" w:line="270" w:lineRule="atLeast"/>
      <w:ind w:hanging="284"/>
    </w:pPr>
    <w:rPr>
      <w:rFonts w:ascii="Arial" w:eastAsia="Times New Roman" w:hAnsi="Arial" w:cs="Times New Roman"/>
      <w:color w:val="000000"/>
      <w:sz w:val="20"/>
      <w:szCs w:val="20"/>
    </w:rPr>
  </w:style>
  <w:style w:type="character" w:styleId="FollowedHyperlink">
    <w:name w:val="FollowedHyperlink"/>
    <w:basedOn w:val="DefaultParagraphFont"/>
    <w:uiPriority w:val="99"/>
    <w:semiHidden/>
    <w:unhideWhenUsed/>
    <w:rsid w:val="00BC0CC5"/>
    <w:rPr>
      <w:color w:val="800080" w:themeColor="followedHyperlink"/>
      <w:u w:val="single"/>
    </w:rPr>
  </w:style>
  <w:style w:type="paragraph" w:styleId="ListParagraph">
    <w:name w:val="List Paragraph"/>
    <w:basedOn w:val="Normal"/>
    <w:uiPriority w:val="34"/>
    <w:qFormat/>
    <w:locked/>
    <w:rsid w:val="00DE2FAE"/>
    <w:pPr>
      <w:ind w:left="720"/>
      <w:contextualSpacing/>
    </w:pPr>
  </w:style>
  <w:style w:type="character" w:styleId="UnresolvedMention">
    <w:name w:val="Unresolved Mention"/>
    <w:basedOn w:val="DefaultParagraphFont"/>
    <w:uiPriority w:val="99"/>
    <w:semiHidden/>
    <w:unhideWhenUsed/>
    <w:rsid w:val="00367566"/>
    <w:rPr>
      <w:color w:val="605E5C"/>
      <w:shd w:val="clear" w:color="auto" w:fill="E1DFDD"/>
    </w:rPr>
  </w:style>
  <w:style w:type="paragraph" w:styleId="EndnoteText">
    <w:name w:val="endnote text"/>
    <w:basedOn w:val="Normal"/>
    <w:link w:val="EndnoteTextChar"/>
    <w:uiPriority w:val="99"/>
    <w:unhideWhenUsed/>
    <w:rsid w:val="00E6073E"/>
    <w:pPr>
      <w:spacing w:line="240" w:lineRule="auto"/>
    </w:pPr>
    <w:rPr>
      <w:sz w:val="20"/>
      <w:szCs w:val="20"/>
    </w:rPr>
  </w:style>
  <w:style w:type="character" w:customStyle="1" w:styleId="EndnoteTextChar">
    <w:name w:val="Endnote Text Char"/>
    <w:basedOn w:val="DefaultParagraphFont"/>
    <w:link w:val="EndnoteText"/>
    <w:uiPriority w:val="99"/>
    <w:rsid w:val="00E6073E"/>
    <w:rPr>
      <w:color w:val="495965" w:themeColor="text2"/>
      <w:sz w:val="20"/>
      <w:szCs w:val="20"/>
      <w:lang w:val="en-GB"/>
    </w:rPr>
  </w:style>
  <w:style w:type="character" w:styleId="EndnoteReference">
    <w:name w:val="endnote reference"/>
    <w:basedOn w:val="DefaultParagraphFont"/>
    <w:uiPriority w:val="99"/>
    <w:semiHidden/>
    <w:unhideWhenUsed/>
    <w:rsid w:val="00E6073E"/>
    <w:rPr>
      <w:vertAlign w:val="superscript"/>
    </w:rPr>
  </w:style>
  <w:style w:type="paragraph" w:styleId="Revision">
    <w:name w:val="Revision"/>
    <w:hidden/>
    <w:uiPriority w:val="99"/>
    <w:semiHidden/>
    <w:rsid w:val="008E36A6"/>
    <w:pPr>
      <w:spacing w:line="240" w:lineRule="auto"/>
    </w:pPr>
    <w:rPr>
      <w:color w:val="495965" w:themeColor="text2"/>
      <w:lang w:val="en-GB"/>
    </w:rPr>
  </w:style>
  <w:style w:type="paragraph" w:customStyle="1" w:styleId="pf0">
    <w:name w:val="pf0"/>
    <w:basedOn w:val="Normal"/>
    <w:rsid w:val="0067293E"/>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customStyle="1" w:styleId="cf01">
    <w:name w:val="cf01"/>
    <w:basedOn w:val="DefaultParagraphFont"/>
    <w:rsid w:val="0067293E"/>
    <w:rPr>
      <w:rFonts w:ascii="Segoe UI" w:hAnsi="Segoe UI" w:cs="Segoe UI" w:hint="default"/>
      <w:color w:val="495965"/>
      <w:sz w:val="18"/>
      <w:szCs w:val="18"/>
    </w:rPr>
  </w:style>
  <w:style w:type="character" w:customStyle="1" w:styleId="cf11">
    <w:name w:val="cf11"/>
    <w:basedOn w:val="DefaultParagraphFont"/>
    <w:rsid w:val="0067293E"/>
    <w:rPr>
      <w:rFonts w:ascii="Segoe UI" w:hAnsi="Segoe UI" w:cs="Segoe UI" w:hint="default"/>
      <w:b/>
      <w:bCs/>
      <w:color w:val="495965"/>
      <w:sz w:val="18"/>
      <w:szCs w:val="18"/>
    </w:rPr>
  </w:style>
  <w:style w:type="character" w:customStyle="1" w:styleId="cf31">
    <w:name w:val="cf31"/>
    <w:basedOn w:val="DefaultParagraphFont"/>
    <w:rsid w:val="0067293E"/>
    <w:rPr>
      <w:rFonts w:ascii="Segoe UI" w:hAnsi="Segoe UI" w:cs="Segoe UI" w:hint="default"/>
      <w:i/>
      <w:iCs/>
      <w:color w:val="495965"/>
      <w:sz w:val="18"/>
      <w:szCs w:val="18"/>
    </w:rPr>
  </w:style>
  <w:style w:type="paragraph" w:styleId="NormalWeb">
    <w:name w:val="Normal (Web)"/>
    <w:basedOn w:val="Normal"/>
    <w:uiPriority w:val="99"/>
    <w:unhideWhenUsed/>
    <w:rsid w:val="0067293E"/>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paragraph" w:customStyle="1" w:styleId="02HEADING2">
    <w:name w:val="02. HEADING 2"/>
    <w:basedOn w:val="Normal"/>
    <w:uiPriority w:val="99"/>
    <w:rsid w:val="00C42B3D"/>
    <w:pPr>
      <w:keepNext/>
      <w:keepLines/>
      <w:widowControl w:val="0"/>
      <w:autoSpaceDE w:val="0"/>
      <w:autoSpaceDN w:val="0"/>
      <w:adjustRightInd w:val="0"/>
      <w:spacing w:before="440" w:after="85" w:line="340" w:lineRule="atLeast"/>
      <w:textAlignment w:val="baseline"/>
    </w:pPr>
    <w:rPr>
      <w:rFonts w:ascii="Arial-BoldMT" w:eastAsiaTheme="minorEastAsia" w:hAnsi="Arial-BoldMT" w:cs="Arial-BoldMT"/>
      <w:b/>
      <w:bCs/>
      <w:color w:val="3DA18F" w:themeColor="accent1" w:themeShade="BF"/>
      <w:sz w:val="28"/>
      <w:szCs w:val="28"/>
      <w:lang w:val="en-US" w:eastAsia="ja-JP"/>
    </w:rPr>
  </w:style>
  <w:style w:type="paragraph" w:customStyle="1" w:styleId="04BODYTEXT">
    <w:name w:val="04. BODY TEXT"/>
    <w:basedOn w:val="Normal"/>
    <w:uiPriority w:val="99"/>
    <w:rsid w:val="00C42B3D"/>
    <w:pPr>
      <w:widowControl w:val="0"/>
      <w:autoSpaceDE w:val="0"/>
      <w:autoSpaceDN w:val="0"/>
      <w:adjustRightInd w:val="0"/>
      <w:spacing w:after="113" w:line="280" w:lineRule="atLeast"/>
      <w:textAlignment w:val="center"/>
    </w:pPr>
    <w:rPr>
      <w:rFonts w:ascii="ArialMT" w:eastAsiaTheme="minorEastAsia" w:hAnsi="ArialMT" w:cs="ArialMT"/>
      <w:iCs/>
      <w:color w:val="000000"/>
      <w:sz w:val="19"/>
      <w:szCs w:val="19"/>
      <w:lang w:eastAsia="ja-JP"/>
    </w:rPr>
  </w:style>
  <w:style w:type="paragraph" w:customStyle="1" w:styleId="05DOTPOINTS">
    <w:name w:val="05. DOT POINTS"/>
    <w:basedOn w:val="04BODYTEXT"/>
    <w:uiPriority w:val="99"/>
    <w:rsid w:val="00C42B3D"/>
    <w:pPr>
      <w:ind w:left="850" w:hanging="283"/>
    </w:pPr>
  </w:style>
  <w:style w:type="paragraph" w:customStyle="1" w:styleId="08bFOOTNOTESOVER10">
    <w:name w:val="08b. FOOTNOTES OVER 10"/>
    <w:basedOn w:val="Normal"/>
    <w:link w:val="08bFOOTNOTESOVER10Char"/>
    <w:uiPriority w:val="99"/>
    <w:rsid w:val="00C42B3D"/>
    <w:pPr>
      <w:widowControl w:val="0"/>
      <w:autoSpaceDE w:val="0"/>
      <w:autoSpaceDN w:val="0"/>
      <w:adjustRightInd w:val="0"/>
      <w:spacing w:after="113" w:line="288" w:lineRule="auto"/>
      <w:ind w:left="283" w:hanging="283"/>
      <w:textAlignment w:val="center"/>
    </w:pPr>
    <w:rPr>
      <w:rFonts w:ascii="ArialMT" w:eastAsiaTheme="minorEastAsia" w:hAnsi="ArialMT" w:cs="ArialMT"/>
      <w:iCs/>
      <w:color w:val="000000"/>
      <w:sz w:val="14"/>
      <w:szCs w:val="14"/>
      <w:lang w:eastAsia="ja-JP"/>
    </w:rPr>
  </w:style>
  <w:style w:type="character" w:customStyle="1" w:styleId="ITALICS">
    <w:name w:val="ITALICS"/>
    <w:uiPriority w:val="99"/>
    <w:rsid w:val="00C42B3D"/>
    <w:rPr>
      <w:rFonts w:ascii="Arial-ItalicMT" w:hAnsi="Arial-ItalicMT" w:cs="Arial-ItalicMT"/>
      <w:i/>
      <w:iCs/>
    </w:rPr>
  </w:style>
  <w:style w:type="character" w:customStyle="1" w:styleId="FootnoteReference1">
    <w:name w:val="Footnote Reference1"/>
    <w:uiPriority w:val="99"/>
    <w:rsid w:val="00C42B3D"/>
    <w:rPr>
      <w:w w:val="100"/>
      <w:vertAlign w:val="superscript"/>
    </w:rPr>
  </w:style>
  <w:style w:type="character" w:customStyle="1" w:styleId="cf21">
    <w:name w:val="cf21"/>
    <w:basedOn w:val="DefaultParagraphFont"/>
    <w:rsid w:val="00693982"/>
    <w:rPr>
      <w:rFonts w:ascii="Segoe UI" w:hAnsi="Segoe UI" w:cs="Segoe UI" w:hint="default"/>
      <w:sz w:val="18"/>
      <w:szCs w:val="18"/>
    </w:rPr>
  </w:style>
  <w:style w:type="paragraph" w:customStyle="1" w:styleId="Style10">
    <w:name w:val="Style1"/>
    <w:basedOn w:val="08bFOOTNOTESOVER10"/>
    <w:link w:val="Style1Char"/>
    <w:qFormat/>
    <w:rsid w:val="00A112F5"/>
    <w:pPr>
      <w:spacing w:after="0" w:line="240" w:lineRule="auto"/>
    </w:pPr>
    <w:rPr>
      <w:rFonts w:asciiTheme="minorHAnsi" w:hAnsiTheme="minorHAnsi" w:cstheme="minorHAnsi"/>
      <w:sz w:val="16"/>
      <w:szCs w:val="16"/>
      <w:vertAlign w:val="superscript"/>
    </w:rPr>
  </w:style>
  <w:style w:type="character" w:customStyle="1" w:styleId="08bFOOTNOTESOVER10Char">
    <w:name w:val="08b. FOOTNOTES OVER 10 Char"/>
    <w:basedOn w:val="DefaultParagraphFont"/>
    <w:link w:val="08bFOOTNOTESOVER10"/>
    <w:uiPriority w:val="99"/>
    <w:rsid w:val="00A112F5"/>
    <w:rPr>
      <w:rFonts w:ascii="ArialMT" w:eastAsiaTheme="minorEastAsia" w:hAnsi="ArialMT" w:cs="ArialMT"/>
      <w:iCs/>
      <w:color w:val="000000"/>
      <w:sz w:val="14"/>
      <w:szCs w:val="14"/>
      <w:lang w:val="en-GB" w:eastAsia="ja-JP"/>
    </w:rPr>
  </w:style>
  <w:style w:type="character" w:customStyle="1" w:styleId="Style1Char">
    <w:name w:val="Style1 Char"/>
    <w:basedOn w:val="08bFOOTNOTESOVER10Char"/>
    <w:link w:val="Style10"/>
    <w:rsid w:val="00A112F5"/>
    <w:rPr>
      <w:rFonts w:ascii="ArialMT" w:eastAsiaTheme="minorEastAsia" w:hAnsi="ArialMT" w:cstheme="minorHAnsi"/>
      <w:iCs/>
      <w:color w:val="000000"/>
      <w:sz w:val="16"/>
      <w:szCs w:val="16"/>
      <w:vertAlign w:val="superscript"/>
      <w:lang w:val="en-GB" w:eastAsia="ja-JP"/>
    </w:rPr>
  </w:style>
  <w:style w:type="paragraph" w:customStyle="1" w:styleId="Style4endnote">
    <w:name w:val="Style4 endnote"/>
    <w:basedOn w:val="EndnoteText"/>
    <w:qFormat/>
    <w:rsid w:val="00A112F5"/>
    <w:rPr>
      <w:sz w:val="15"/>
      <w:szCs w:val="15"/>
    </w:rPr>
  </w:style>
  <w:style w:type="paragraph" w:customStyle="1" w:styleId="Style2">
    <w:name w:val="Style2"/>
    <w:basedOn w:val="Style1"/>
    <w:link w:val="Style2Char"/>
    <w:qFormat/>
    <w:rsid w:val="00A112F5"/>
  </w:style>
  <w:style w:type="character" w:customStyle="1" w:styleId="Style2Char">
    <w:name w:val="Style2 Char"/>
    <w:basedOn w:val="Style1Char"/>
    <w:link w:val="Style2"/>
    <w:rsid w:val="00A112F5"/>
    <w:rPr>
      <w:rFonts w:ascii="ArialMT" w:eastAsiaTheme="minorEastAsia" w:hAnsi="ArialMT" w:cstheme="minorHAnsi"/>
      <w:iCs/>
      <w:color w:val="000000"/>
      <w:sz w:val="16"/>
      <w:szCs w:val="16"/>
      <w:vertAlign w:val="superscript"/>
      <w:lang w:val="en-GB" w:eastAsia="ja-JP"/>
    </w:rPr>
  </w:style>
  <w:style w:type="paragraph" w:customStyle="1" w:styleId="Style3">
    <w:name w:val="Style3"/>
    <w:basedOn w:val="Style1"/>
    <w:link w:val="Style3Char"/>
    <w:qFormat/>
    <w:rsid w:val="00A112F5"/>
  </w:style>
  <w:style w:type="character" w:customStyle="1" w:styleId="Style3Char">
    <w:name w:val="Style3 Char"/>
    <w:basedOn w:val="Style1Char"/>
    <w:link w:val="Style3"/>
    <w:rsid w:val="00A112F5"/>
    <w:rPr>
      <w:rFonts w:ascii="ArialMT" w:eastAsiaTheme="minorEastAsia" w:hAnsi="ArialMT" w:cstheme="minorHAnsi"/>
      <w:iCs/>
      <w:color w:val="000000"/>
      <w:sz w:val="16"/>
      <w:szCs w:val="16"/>
      <w:vertAlign w:val="superscript"/>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295">
      <w:bodyDiv w:val="1"/>
      <w:marLeft w:val="0"/>
      <w:marRight w:val="0"/>
      <w:marTop w:val="0"/>
      <w:marBottom w:val="0"/>
      <w:divBdr>
        <w:top w:val="none" w:sz="0" w:space="0" w:color="auto"/>
        <w:left w:val="none" w:sz="0" w:space="0" w:color="auto"/>
        <w:bottom w:val="none" w:sz="0" w:space="0" w:color="auto"/>
        <w:right w:val="none" w:sz="0" w:space="0" w:color="auto"/>
      </w:divBdr>
    </w:div>
    <w:div w:id="275715631">
      <w:bodyDiv w:val="1"/>
      <w:marLeft w:val="0"/>
      <w:marRight w:val="0"/>
      <w:marTop w:val="0"/>
      <w:marBottom w:val="0"/>
      <w:divBdr>
        <w:top w:val="none" w:sz="0" w:space="0" w:color="auto"/>
        <w:left w:val="none" w:sz="0" w:space="0" w:color="auto"/>
        <w:bottom w:val="none" w:sz="0" w:space="0" w:color="auto"/>
        <w:right w:val="none" w:sz="0" w:space="0" w:color="auto"/>
      </w:divBdr>
    </w:div>
    <w:div w:id="284314005">
      <w:bodyDiv w:val="1"/>
      <w:marLeft w:val="0"/>
      <w:marRight w:val="0"/>
      <w:marTop w:val="0"/>
      <w:marBottom w:val="0"/>
      <w:divBdr>
        <w:top w:val="none" w:sz="0" w:space="0" w:color="auto"/>
        <w:left w:val="none" w:sz="0" w:space="0" w:color="auto"/>
        <w:bottom w:val="none" w:sz="0" w:space="0" w:color="auto"/>
        <w:right w:val="none" w:sz="0" w:space="0" w:color="auto"/>
      </w:divBdr>
    </w:div>
    <w:div w:id="625162266">
      <w:bodyDiv w:val="1"/>
      <w:marLeft w:val="0"/>
      <w:marRight w:val="0"/>
      <w:marTop w:val="0"/>
      <w:marBottom w:val="0"/>
      <w:divBdr>
        <w:top w:val="none" w:sz="0" w:space="0" w:color="auto"/>
        <w:left w:val="none" w:sz="0" w:space="0" w:color="auto"/>
        <w:bottom w:val="none" w:sz="0" w:space="0" w:color="auto"/>
        <w:right w:val="none" w:sz="0" w:space="0" w:color="auto"/>
      </w:divBdr>
    </w:div>
    <w:div w:id="1533570284">
      <w:bodyDiv w:val="1"/>
      <w:marLeft w:val="0"/>
      <w:marRight w:val="0"/>
      <w:marTop w:val="0"/>
      <w:marBottom w:val="0"/>
      <w:divBdr>
        <w:top w:val="none" w:sz="0" w:space="0" w:color="auto"/>
        <w:left w:val="none" w:sz="0" w:space="0" w:color="auto"/>
        <w:bottom w:val="none" w:sz="0" w:space="0" w:color="auto"/>
        <w:right w:val="none" w:sz="0" w:space="0" w:color="auto"/>
      </w:divBdr>
    </w:div>
    <w:div w:id="179216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fat.gov.au/sites/default/files/aid-programming-guide.pdf" TargetMode="External"/><Relationship Id="rId18" Type="http://schemas.openxmlformats.org/officeDocument/2006/relationships/hyperlink" Target="https://genderatwork.org/analytical-framework/" TargetMode="External"/><Relationship Id="rId26" Type="http://schemas.openxmlformats.org/officeDocument/2006/relationships/footer" Target="footer1.xml"/><Relationship Id="rId39" Type="http://schemas.openxmlformats.org/officeDocument/2006/relationships/hyperlink" Target="https://www.washingtongroup-disability.com/question-sets/wg-short-set-on-functioning-wg-ss/" TargetMode="External"/><Relationship Id="rId21" Type="http://schemas.openxmlformats.org/officeDocument/2006/relationships/image" Target="media/image2.png"/><Relationship Id="rId34" Type="http://schemas.openxmlformats.org/officeDocument/2006/relationships/hyperlink" Target="https://www.dfat.gov.au/sites/default/files/child-protection-policy.pdf" TargetMode="External"/><Relationship Id="rId42" Type="http://schemas.openxmlformats.org/officeDocument/2006/relationships/hyperlink" Target="https://www.dfat.gov.au/sites/default/files/ethical-research-evaluation-guidance-note.pdf" TargetMode="External"/><Relationship Id="rId47" Type="http://schemas.openxmlformats.org/officeDocument/2006/relationships/hyperlink" Target="https://unprpd.org/sites/default/files/library/2022-02/UNPRPD_Guidance_for_Conducting_a_Situational_Country_Analysis_of_the_Rights_of_Persons_with_Disabilities.pdf" TargetMode="External"/><Relationship Id="rId50" Type="http://schemas.openxmlformats.org/officeDocument/2006/relationships/hyperlink" Target="https://www.dfat.gov.au/sites/default/files/disability-inclusive-development-guidance-note.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fat.gov.au/sites/default/files/disability-inclusive-development-guidance-note.pdf" TargetMode="External"/><Relationship Id="rId17" Type="http://schemas.openxmlformats.org/officeDocument/2006/relationships/hyperlink" Target="https://www.hi.org/sn_uploads/document/IP_DisabilityGenreAge_1.pdf" TargetMode="External"/><Relationship Id="rId25" Type="http://schemas.openxmlformats.org/officeDocument/2006/relationships/header" Target="header1.xml"/><Relationship Id="rId33" Type="http://schemas.openxmlformats.org/officeDocument/2006/relationships/hyperlink" Target="https://www.dfat.gov.au/sites/default/files/environmental-social-safeguard-policy.pdf" TargetMode="External"/><Relationship Id="rId38" Type="http://schemas.openxmlformats.org/officeDocument/2006/relationships/image" Target="media/image12.png"/><Relationship Id="rId46" Type="http://schemas.openxmlformats.org/officeDocument/2006/relationships/hyperlink" Target="https://www.cbm.org.au/wp-content/uploads/2020/11/CBM_disability_and_gender_analysis_toolkit_accessible.pdf" TargetMode="External"/><Relationship Id="rId2" Type="http://schemas.openxmlformats.org/officeDocument/2006/relationships/numbering" Target="numbering.xml"/><Relationship Id="rId16" Type="http://schemas.openxmlformats.org/officeDocument/2006/relationships/hyperlink" Target="https://www.unwomen.org/sites/default/files/2022-01/Intersectionality-resource-guide-and-toolkit-en.pdf" TargetMode="External"/><Relationship Id="rId20" Type="http://schemas.openxmlformats.org/officeDocument/2006/relationships/hyperlink" Target="https://www.did4all.com.au/" TargetMode="External"/><Relationship Id="rId29" Type="http://schemas.openxmlformats.org/officeDocument/2006/relationships/image" Target="media/image6.png"/><Relationship Id="rId41" Type="http://schemas.openxmlformats.org/officeDocument/2006/relationships/hyperlink" Target="https://interagencystandingcommittee.org/system/files/2018-iasc_gender_handbook_for_humanitarian_action_eng_0.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fat.gov.au/sites/default/files/gender-equality-in-monitoring-and-evaluation-good-practice-note.pdf" TargetMode="External"/><Relationship Id="rId24" Type="http://schemas.openxmlformats.org/officeDocument/2006/relationships/hyperlink" Target="https://www.dfat.gov.au/sites/default/files/aid-programming-guide.pdf" TargetMode="External"/><Relationship Id="rId32" Type="http://schemas.openxmlformats.org/officeDocument/2006/relationships/hyperlink" Target="https://www.dfat.gov.au/sites/default/files/pseah-policy.pdf" TargetMode="External"/><Relationship Id="rId37" Type="http://schemas.openxmlformats.org/officeDocument/2006/relationships/image" Target="media/image11.png"/><Relationship Id="rId40" Type="http://schemas.openxmlformats.org/officeDocument/2006/relationships/hyperlink" Target="https://insights.careinternational.org.uk/images/documents/rapid-gender-analysis/GIE-Guidance-Note-Rapid-Gender-Analysis.pdf" TargetMode="External"/><Relationship Id="rId45" Type="http://schemas.openxmlformats.org/officeDocument/2006/relationships/hyperlink" Target="https://www.adb.org/documents/tool-kit-gender-equality-results-and-indicators?ref=themes/gender/publications" TargetMode="External"/><Relationship Id="rId53"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genderatwork.org/resource/intersectionality-capacity-development-resource-kit/" TargetMode="External"/><Relationship Id="rId23" Type="http://schemas.openxmlformats.org/officeDocument/2006/relationships/image" Target="media/image3.png"/><Relationship Id="rId28" Type="http://schemas.openxmlformats.org/officeDocument/2006/relationships/header" Target="header2.xml"/><Relationship Id="rId36" Type="http://schemas.openxmlformats.org/officeDocument/2006/relationships/image" Target="media/image10.png"/><Relationship Id="rId49" Type="http://schemas.openxmlformats.org/officeDocument/2006/relationships/hyperlink" Target="https://www.dfat.gov.au/sites/default/files/gender-equality-in-monitoring-and-evaluation-good-practice-note.pdf" TargetMode="External"/><Relationship Id="rId10" Type="http://schemas.openxmlformats.org/officeDocument/2006/relationships/hyperlink" Target="https://www.dfat.gov.au/sites/default/files/gender-equality-in-investment-design-good-practice-note.pdf" TargetMode="External"/><Relationship Id="rId19" Type="http://schemas.openxmlformats.org/officeDocument/2006/relationships/hyperlink" Target="https://surge4genderequality.com.au/knowledge-hub" TargetMode="External"/><Relationship Id="rId31" Type="http://schemas.openxmlformats.org/officeDocument/2006/relationships/image" Target="media/image8.png"/><Relationship Id="rId44" Type="http://schemas.openxmlformats.org/officeDocument/2006/relationships/hyperlink" Target="https://women-gender-equality.canada.ca/en/gender-based-analysis-plus.htm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one.oecd.org/document/DCD/DAC/STAT(2020)48/en/pdf" TargetMode="External"/><Relationship Id="rId14" Type="http://schemas.openxmlformats.org/officeDocument/2006/relationships/image" Target="media/image1.png"/><Relationship Id="rId22" Type="http://schemas.openxmlformats.org/officeDocument/2006/relationships/hyperlink" Target="https://genderatwork.org/analytical-framework/" TargetMode="Externa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9.png"/><Relationship Id="rId43" Type="http://schemas.openxmlformats.org/officeDocument/2006/relationships/hyperlink" Target="https://rdinetwork.org.au/effective-ethical-research-evaluation/principles-guidelines-ethical-research-evaluation/" TargetMode="External"/><Relationship Id="rId48" Type="http://schemas.openxmlformats.org/officeDocument/2006/relationships/hyperlink" Target="https://www.dfat.gov.au/sites/default/files/gender-equality-in-investment-design-good-practice-note.pdf" TargetMode="External"/><Relationship Id="rId8" Type="http://schemas.openxmlformats.org/officeDocument/2006/relationships/hyperlink" Target="https://www.oecd.org/dac/gender-development/dac-gender-equality-marker.htm" TargetMode="External"/><Relationship Id="rId51" Type="http://schemas.openxmlformats.org/officeDocument/2006/relationships/header" Target="header3.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DFAT Corporate - Standard">
  <a:themeElements>
    <a:clrScheme name="DFAT Corporate">
      <a:dk1>
        <a:sysClr val="windowText" lastClr="000000"/>
      </a:dk1>
      <a:lt1>
        <a:sysClr val="window" lastClr="FFFFFF"/>
      </a:lt1>
      <a:dk2>
        <a:srgbClr val="495965"/>
      </a:dk2>
      <a:lt2>
        <a:srgbClr val="D8DCDB"/>
      </a:lt2>
      <a:accent1>
        <a:srgbClr val="65C5B4"/>
      </a:accent1>
      <a:accent2>
        <a:srgbClr val="ACD08C"/>
      </a:accent2>
      <a:accent3>
        <a:srgbClr val="D3875F"/>
      </a:accent3>
      <a:accent4>
        <a:srgbClr val="FFF799"/>
      </a:accent4>
      <a:accent5>
        <a:srgbClr val="409F68"/>
      </a:accent5>
      <a:accent6>
        <a:srgbClr val="007C89"/>
      </a:accent6>
      <a:hlink>
        <a:srgbClr val="0000FF"/>
      </a:hlink>
      <a:folHlink>
        <a:srgbClr val="800080"/>
      </a:folHlink>
    </a:clrScheme>
    <a:fontScheme name="DFAT Corporate 1">
      <a:majorFont>
        <a:latin typeface="Calibri"/>
        <a:ea typeface=""/>
        <a:cs typeface=""/>
      </a:majorFont>
      <a:minorFont>
        <a:latin typeface="Calibri Light"/>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spAutoFit/>
      </a:bodyPr>
      <a:lstStyle>
        <a:defPPr>
          <a:defRPr dirty="0"/>
        </a:defPPr>
      </a:lstStyle>
    </a:txDef>
  </a:objectDefaults>
  <a:extraClrSchemeLst/>
  <a:extLst>
    <a:ext uri="{05A4C25C-085E-4340-85A3-A5531E510DB2}">
      <thm15:themeFamily xmlns:thm15="http://schemas.microsoft.com/office/thememl/2012/main" name="DFAT Corporate - Standard" id="{D4BA5EE0-EB14-4FE9-A4E7-2FD97131F639}" vid="{2ACD2008-3A55-4AE1-937A-FE4FB76DD00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F2894-BF09-43BE-8048-3A892C3C2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4464</Words>
  <Characters>26866</Characters>
  <Application>Microsoft Office Word</Application>
  <DocSecurity>4</DocSecurity>
  <Lines>387</Lines>
  <Paragraphs>101</Paragraphs>
  <ScaleCrop>false</ScaleCrop>
  <HeadingPairs>
    <vt:vector size="2" baseType="variant">
      <vt:variant>
        <vt:lpstr>Title</vt:lpstr>
      </vt:variant>
      <vt:variant>
        <vt:i4>1</vt:i4>
      </vt:variant>
    </vt:vector>
  </HeadingPairs>
  <TitlesOfParts>
    <vt:vector size="1" baseType="lpstr">
      <vt:lpstr>Gender Equality in Monitoring and Evaluation – Good Practice Note</vt:lpstr>
    </vt:vector>
  </TitlesOfParts>
  <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in Monitoring and Evaluation – Good Practice Note</dc:title>
  <dc:creator/>
  <cp:keywords>[SEC=OFFICIAL]</cp:keywords>
  <cp:lastModifiedBy/>
  <cp:revision>1</cp:revision>
  <dcterms:created xsi:type="dcterms:W3CDTF">2023-11-06T20:41:00Z</dcterms:created>
  <dcterms:modified xsi:type="dcterms:W3CDTF">2023-11-06T20:41:00Z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4ef7c335-33ff-4a5f-b1ea-24b29383b544</vt:lpwstr>
  </property>
  <property fmtid="{D5CDD505-2E9C-101B-9397-08002B2CF9AE}" pid="3" name="SEC">
    <vt:lpwstr>OFFICIAL</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F0ED7AA1D5F44F32B4A4F3AD2D405FD4</vt:lpwstr>
  </property>
  <property fmtid="{D5CDD505-2E9C-101B-9397-08002B2CF9AE}" pid="11" name="PM_ProtectiveMarkingValue_Footer">
    <vt:lpwstr>OFFICIAL</vt:lpwstr>
  </property>
  <property fmtid="{D5CDD505-2E9C-101B-9397-08002B2CF9AE}" pid="12" name="PM_Originator_Hash_SHA1">
    <vt:lpwstr>D9F6E5C82DFAF7AB6E3D596D48DD43C72EDFDAB4</vt:lpwstr>
  </property>
  <property fmtid="{D5CDD505-2E9C-101B-9397-08002B2CF9AE}" pid="13" name="PM_OriginationTimeStamp">
    <vt:lpwstr>2023-05-24T03:03:22Z</vt:lpwstr>
  </property>
  <property fmtid="{D5CDD505-2E9C-101B-9397-08002B2CF9AE}" pid="14" name="PM_ProtectiveMarkingValue_Header">
    <vt:lpwstr>OFFICIAL</vt:lpwstr>
  </property>
  <property fmtid="{D5CDD505-2E9C-101B-9397-08002B2CF9AE}" pid="15" name="PM_ProtectiveMarkingImage_Footer">
    <vt:lpwstr>C:\Program Files (x86)\Common Files\janusNET Shared\janusSEAL\Images\DocumentSlashBlue.png</vt:lpwstr>
  </property>
  <property fmtid="{D5CDD505-2E9C-101B-9397-08002B2CF9AE}" pid="16" name="PM_Namespace">
    <vt:lpwstr>gov.au</vt:lpwstr>
  </property>
  <property fmtid="{D5CDD505-2E9C-101B-9397-08002B2CF9AE}" pid="17" name="PM_Version">
    <vt:lpwstr>2018.4</vt:lpwstr>
  </property>
  <property fmtid="{D5CDD505-2E9C-101B-9397-08002B2CF9AE}" pid="18" name="PM_Note">
    <vt:lpwstr/>
  </property>
  <property fmtid="{D5CDD505-2E9C-101B-9397-08002B2CF9AE}" pid="19" name="PM_Markers">
    <vt:lpwstr/>
  </property>
  <property fmtid="{D5CDD505-2E9C-101B-9397-08002B2CF9AE}" pid="20" name="PM_Display">
    <vt:lpwstr>OFFICIAL</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Hash_Salt_Prev">
    <vt:lpwstr>9E929AB811AEEC23084C5DD7E900ED00</vt:lpwstr>
  </property>
  <property fmtid="{D5CDD505-2E9C-101B-9397-08002B2CF9AE}" pid="24" name="PM_Hash_Salt">
    <vt:lpwstr>989F6DC1A81AEB44D4C5E44B62EFB0CD</vt:lpwstr>
  </property>
  <property fmtid="{D5CDD505-2E9C-101B-9397-08002B2CF9AE}" pid="25" name="PM_Hash_SHA1">
    <vt:lpwstr>BCC6BDFFDFF22F591E84892B8596706B06B0E001</vt:lpwstr>
  </property>
  <property fmtid="{D5CDD505-2E9C-101B-9397-08002B2CF9AE}" pid="26" name="PM_OriginatorUserAccountName_SHA256">
    <vt:lpwstr>3E9DB5AB808CA91EB3E8EC398CDB7F67B110581D6BB28BC88565729DCE387350</vt:lpwstr>
  </property>
  <property fmtid="{D5CDD505-2E9C-101B-9397-08002B2CF9AE}" pid="27" name="PM_OriginatorDomainName_SHA256">
    <vt:lpwstr>6F3591835F3B2A8A025B00B5BA6418010DA3A17C9C26EA9C049FFD28039489A2</vt:lpwstr>
  </property>
  <property fmtid="{D5CDD505-2E9C-101B-9397-08002B2CF9AE}" pid="28" name="PM_MinimumSecurityClassification">
    <vt:lpwstr>OFFICIAL</vt:lpwstr>
  </property>
  <property fmtid="{D5CDD505-2E9C-101B-9397-08002B2CF9AE}" pid="29" name="PM_SecurityClassification_Prev">
    <vt:lpwstr>OFFICIAL</vt:lpwstr>
  </property>
  <property fmtid="{D5CDD505-2E9C-101B-9397-08002B2CF9AE}" pid="30" name="PM_Qualifier_Prev">
    <vt:lpwstr/>
  </property>
  <property fmtid="{D5CDD505-2E9C-101B-9397-08002B2CF9AE}" pid="31" name="PMHMAC">
    <vt:lpwstr>v=2022.1;a=SHA256;h=CF5261573283F6DBE6288F689C913853D4BB556CCA175D36508E887CA38A40A0</vt:lpwstr>
  </property>
</Properties>
</file>