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B5E8" w14:textId="62279CAE" w:rsidR="00FA687C" w:rsidRPr="00066484" w:rsidRDefault="00FA687C" w:rsidP="00B92D37">
      <w:pPr>
        <w:jc w:val="both"/>
        <w:rPr>
          <w:rFonts w:ascii="Arial" w:hAnsi="Arial" w:cs="Arial"/>
          <w:b/>
          <w:bCs/>
          <w:sz w:val="20"/>
          <w:szCs w:val="20"/>
        </w:rPr>
      </w:pPr>
      <w:bookmarkStart w:id="0" w:name="_Hlk149637083"/>
      <w:bookmarkEnd w:id="0"/>
      <w:r w:rsidRPr="00066484">
        <w:rPr>
          <w:rFonts w:ascii="Arial" w:hAnsi="Arial" w:cs="Arial"/>
          <w:b/>
          <w:bCs/>
          <w:sz w:val="20"/>
          <w:szCs w:val="20"/>
        </w:rPr>
        <w:t xml:space="preserve">CORPORATE TAX </w:t>
      </w:r>
      <w:r w:rsidR="00791196" w:rsidRPr="00066484">
        <w:rPr>
          <w:rFonts w:ascii="Arial" w:hAnsi="Arial" w:cs="Arial"/>
          <w:b/>
          <w:bCs/>
          <w:sz w:val="20"/>
          <w:szCs w:val="20"/>
        </w:rPr>
        <w:t xml:space="preserve">RATE </w:t>
      </w:r>
      <w:r w:rsidRPr="00066484">
        <w:rPr>
          <w:rFonts w:ascii="Arial" w:hAnsi="Arial" w:cs="Arial"/>
          <w:b/>
          <w:bCs/>
          <w:sz w:val="20"/>
          <w:szCs w:val="20"/>
        </w:rPr>
        <w:t>OVERVIEW</w:t>
      </w:r>
      <w:r w:rsidR="00791196" w:rsidRPr="00066484">
        <w:rPr>
          <w:rFonts w:ascii="Arial" w:hAnsi="Arial" w:cs="Arial"/>
          <w:b/>
          <w:bCs/>
          <w:sz w:val="20"/>
          <w:szCs w:val="20"/>
        </w:rPr>
        <w:t xml:space="preserve"> </w:t>
      </w:r>
      <w:r w:rsidRPr="00066484">
        <w:rPr>
          <w:rFonts w:ascii="Arial" w:hAnsi="Arial" w:cs="Arial"/>
          <w:b/>
          <w:bCs/>
          <w:sz w:val="20"/>
          <w:szCs w:val="20"/>
        </w:rPr>
        <w:t>FOR COMPANIES REGISTERED IN THE UAE FREE ZONES</w:t>
      </w:r>
    </w:p>
    <w:p w14:paraId="76FC0982" w14:textId="77777777" w:rsidR="00FA687C" w:rsidRDefault="00FA687C" w:rsidP="00B92D37">
      <w:pPr>
        <w:jc w:val="both"/>
        <w:rPr>
          <w:rFonts w:ascii="Arial" w:hAnsi="Arial" w:cs="Arial"/>
          <w:b/>
          <w:bCs/>
          <w:color w:val="385623" w:themeColor="accent6" w:themeShade="80"/>
          <w:sz w:val="20"/>
          <w:szCs w:val="20"/>
        </w:rPr>
      </w:pPr>
    </w:p>
    <w:p w14:paraId="54A44E9D" w14:textId="55630973" w:rsidR="00FA687C" w:rsidRPr="00FA687C" w:rsidRDefault="00FA687C" w:rsidP="00B92D37">
      <w:pPr>
        <w:pStyle w:val="Default"/>
        <w:jc w:val="both"/>
        <w:rPr>
          <w:rFonts w:ascii="Arial" w:hAnsi="Arial" w:cs="Arial"/>
          <w:sz w:val="20"/>
          <w:szCs w:val="20"/>
        </w:rPr>
      </w:pPr>
      <w:r w:rsidRPr="00FA687C">
        <w:rPr>
          <w:rFonts w:ascii="Arial" w:hAnsi="Arial" w:cs="Arial"/>
          <w:sz w:val="20"/>
          <w:szCs w:val="20"/>
        </w:rPr>
        <w:t>A company registered in a free zone</w:t>
      </w:r>
      <w:r w:rsidR="001D4D69">
        <w:rPr>
          <w:rFonts w:ascii="Arial" w:hAnsi="Arial" w:cs="Arial"/>
          <w:sz w:val="20"/>
          <w:szCs w:val="20"/>
        </w:rPr>
        <w:t xml:space="preserve"> (hereinafter – “Free Zone Person”)</w:t>
      </w:r>
      <w:r w:rsidRPr="00FA687C">
        <w:rPr>
          <w:rFonts w:ascii="Arial" w:hAnsi="Arial" w:cs="Arial"/>
          <w:sz w:val="20"/>
          <w:szCs w:val="20"/>
        </w:rPr>
        <w:t xml:space="preserve"> in the UAE </w:t>
      </w:r>
      <w:r>
        <w:rPr>
          <w:rFonts w:ascii="Arial" w:hAnsi="Arial" w:cs="Arial"/>
          <w:sz w:val="20"/>
          <w:szCs w:val="20"/>
        </w:rPr>
        <w:t xml:space="preserve">is </w:t>
      </w:r>
      <w:r w:rsidRPr="00FA687C">
        <w:rPr>
          <w:rFonts w:ascii="Arial" w:hAnsi="Arial" w:cs="Arial"/>
          <w:sz w:val="20"/>
          <w:szCs w:val="20"/>
        </w:rPr>
        <w:t>not automatically</w:t>
      </w:r>
      <w:r>
        <w:rPr>
          <w:rFonts w:ascii="Arial" w:hAnsi="Arial" w:cs="Arial"/>
          <w:sz w:val="20"/>
          <w:szCs w:val="20"/>
        </w:rPr>
        <w:t xml:space="preserve"> eligible for</w:t>
      </w:r>
      <w:r w:rsidR="001D4D69">
        <w:rPr>
          <w:rFonts w:ascii="Arial" w:hAnsi="Arial" w:cs="Arial"/>
          <w:sz w:val="20"/>
          <w:szCs w:val="20"/>
        </w:rPr>
        <w:t xml:space="preserve"> 0%</w:t>
      </w:r>
      <w:r>
        <w:rPr>
          <w:rFonts w:ascii="Arial" w:hAnsi="Arial" w:cs="Arial"/>
          <w:sz w:val="20"/>
          <w:szCs w:val="20"/>
        </w:rPr>
        <w:t xml:space="preserve"> </w:t>
      </w:r>
      <w:r w:rsidR="001D4D69">
        <w:rPr>
          <w:rFonts w:ascii="Arial" w:hAnsi="Arial" w:cs="Arial"/>
          <w:sz w:val="20"/>
          <w:szCs w:val="20"/>
        </w:rPr>
        <w:t>corporate tax</w:t>
      </w:r>
      <w:r w:rsidR="008B1448">
        <w:rPr>
          <w:rFonts w:ascii="Arial" w:hAnsi="Arial" w:cs="Arial"/>
          <w:sz w:val="20"/>
          <w:szCs w:val="20"/>
        </w:rPr>
        <w:t xml:space="preserve"> rate</w:t>
      </w:r>
      <w:r w:rsidR="001D4D69">
        <w:rPr>
          <w:rFonts w:ascii="Arial" w:hAnsi="Arial" w:cs="Arial"/>
          <w:sz w:val="20"/>
          <w:szCs w:val="20"/>
        </w:rPr>
        <w:t>.</w:t>
      </w:r>
    </w:p>
    <w:p w14:paraId="52731E97" w14:textId="77777777" w:rsidR="00FA687C" w:rsidRDefault="00FA687C" w:rsidP="00B92D37">
      <w:pPr>
        <w:pStyle w:val="Default"/>
        <w:jc w:val="both"/>
        <w:rPr>
          <w:rFonts w:ascii="Arial" w:hAnsi="Arial" w:cs="Arial"/>
          <w:b/>
          <w:bCs/>
          <w:sz w:val="20"/>
          <w:szCs w:val="20"/>
        </w:rPr>
      </w:pPr>
    </w:p>
    <w:p w14:paraId="37D521CB" w14:textId="77777777" w:rsidR="00B92D37" w:rsidRDefault="001D4D69" w:rsidP="00B92D37">
      <w:pPr>
        <w:pStyle w:val="Default"/>
        <w:jc w:val="both"/>
        <w:rPr>
          <w:rFonts w:ascii="Arial" w:hAnsi="Arial" w:cs="Arial"/>
          <w:sz w:val="20"/>
          <w:szCs w:val="20"/>
        </w:rPr>
      </w:pPr>
      <w:r>
        <w:rPr>
          <w:rFonts w:ascii="Arial" w:hAnsi="Arial" w:cs="Arial"/>
          <w:sz w:val="20"/>
          <w:szCs w:val="20"/>
        </w:rPr>
        <w:t>C</w:t>
      </w:r>
      <w:r w:rsidRPr="001D4D69">
        <w:rPr>
          <w:rFonts w:ascii="Arial" w:hAnsi="Arial" w:cs="Arial"/>
          <w:sz w:val="20"/>
          <w:szCs w:val="20"/>
        </w:rPr>
        <w:t xml:space="preserve">orporate tax rates in the </w:t>
      </w:r>
      <w:r>
        <w:rPr>
          <w:rFonts w:ascii="Arial" w:hAnsi="Arial" w:cs="Arial"/>
          <w:sz w:val="20"/>
          <w:szCs w:val="20"/>
        </w:rPr>
        <w:t>UAE</w:t>
      </w:r>
      <w:r w:rsidRPr="001D4D69">
        <w:rPr>
          <w:rFonts w:ascii="Arial" w:hAnsi="Arial" w:cs="Arial"/>
          <w:sz w:val="20"/>
          <w:szCs w:val="20"/>
        </w:rPr>
        <w:t xml:space="preserve"> are as follows:</w:t>
      </w:r>
    </w:p>
    <w:p w14:paraId="413705B5" w14:textId="067E4330" w:rsidR="00FA687C" w:rsidRPr="001D4D69" w:rsidRDefault="00FA687C" w:rsidP="00B92D37">
      <w:pPr>
        <w:pStyle w:val="Default"/>
        <w:jc w:val="both"/>
        <w:rPr>
          <w:rFonts w:ascii="Arial" w:hAnsi="Arial" w:cs="Arial"/>
          <w:sz w:val="20"/>
          <w:szCs w:val="20"/>
        </w:rPr>
      </w:pPr>
    </w:p>
    <w:p w14:paraId="7E49FCA0" w14:textId="4591E690" w:rsidR="00FA687C" w:rsidRPr="00FA687C" w:rsidRDefault="00FA687C" w:rsidP="00B92D37">
      <w:pPr>
        <w:pStyle w:val="Default"/>
        <w:jc w:val="both"/>
        <w:rPr>
          <w:rFonts w:ascii="Arial" w:hAnsi="Arial" w:cs="Arial"/>
          <w:b/>
          <w:bCs/>
          <w:sz w:val="20"/>
          <w:szCs w:val="20"/>
        </w:rPr>
      </w:pPr>
      <w:r>
        <w:rPr>
          <w:rFonts w:ascii="Arial" w:hAnsi="Arial" w:cs="Arial"/>
          <w:b/>
          <w:bCs/>
          <w:sz w:val="20"/>
          <w:szCs w:val="20"/>
        </w:rPr>
        <w:t xml:space="preserve">9% </w:t>
      </w:r>
      <w:r w:rsidRPr="00FA687C">
        <w:rPr>
          <w:rFonts w:ascii="Arial" w:hAnsi="Arial" w:cs="Arial"/>
          <w:sz w:val="20"/>
          <w:szCs w:val="20"/>
        </w:rPr>
        <w:t>- the</w:t>
      </w:r>
      <w:r>
        <w:rPr>
          <w:rFonts w:ascii="Arial" w:hAnsi="Arial" w:cs="Arial"/>
          <w:sz w:val="20"/>
          <w:szCs w:val="20"/>
        </w:rPr>
        <w:t xml:space="preserve"> standard corporate tax rate in the UAE, </w:t>
      </w:r>
    </w:p>
    <w:p w14:paraId="343CE1C6" w14:textId="77777777" w:rsidR="00B92D37" w:rsidRDefault="00FA687C" w:rsidP="00B92D37">
      <w:pPr>
        <w:jc w:val="both"/>
        <w:rPr>
          <w:rFonts w:ascii="Arial" w:hAnsi="Arial" w:cs="Arial"/>
          <w:b/>
          <w:bCs/>
          <w:sz w:val="20"/>
          <w:szCs w:val="20"/>
        </w:rPr>
      </w:pPr>
      <w:r w:rsidRPr="00FA687C">
        <w:rPr>
          <w:rFonts w:ascii="Arial" w:hAnsi="Arial" w:cs="Arial"/>
          <w:b/>
          <w:bCs/>
          <w:sz w:val="20"/>
          <w:szCs w:val="20"/>
        </w:rPr>
        <w:t>0% -</w:t>
      </w:r>
      <w:r>
        <w:rPr>
          <w:rFonts w:ascii="Arial" w:hAnsi="Arial" w:cs="Arial"/>
          <w:sz w:val="20"/>
          <w:szCs w:val="20"/>
        </w:rPr>
        <w:t xml:space="preserve"> the rate, which </w:t>
      </w:r>
      <w:r w:rsidR="001D4D69">
        <w:rPr>
          <w:rFonts w:ascii="Arial" w:hAnsi="Arial" w:cs="Arial"/>
          <w:sz w:val="20"/>
          <w:szCs w:val="20"/>
        </w:rPr>
        <w:t>might be</w:t>
      </w:r>
      <w:r>
        <w:rPr>
          <w:rFonts w:ascii="Arial" w:hAnsi="Arial" w:cs="Arial"/>
          <w:sz w:val="20"/>
          <w:szCs w:val="20"/>
        </w:rPr>
        <w:t xml:space="preserve"> applicable for </w:t>
      </w:r>
      <w:r w:rsidRPr="00A86294">
        <w:rPr>
          <w:rFonts w:ascii="Arial" w:hAnsi="Arial" w:cs="Arial"/>
          <w:sz w:val="20"/>
          <w:szCs w:val="20"/>
        </w:rPr>
        <w:t>Free Zone Persons</w:t>
      </w:r>
      <w:r>
        <w:rPr>
          <w:rFonts w:ascii="Arial" w:hAnsi="Arial" w:cs="Arial"/>
          <w:sz w:val="20"/>
          <w:szCs w:val="20"/>
        </w:rPr>
        <w:t xml:space="preserve"> provided that they are treated as</w:t>
      </w:r>
      <w:r w:rsidRPr="00A86294">
        <w:rPr>
          <w:rFonts w:ascii="Arial" w:hAnsi="Arial" w:cs="Arial"/>
          <w:sz w:val="20"/>
          <w:szCs w:val="20"/>
        </w:rPr>
        <w:t xml:space="preserve"> </w:t>
      </w:r>
      <w:r w:rsidRPr="0088532D">
        <w:rPr>
          <w:rFonts w:ascii="Arial" w:hAnsi="Arial" w:cs="Arial"/>
          <w:b/>
          <w:bCs/>
          <w:sz w:val="20"/>
          <w:szCs w:val="20"/>
        </w:rPr>
        <w:t>a Qualifying Free Zone Person</w:t>
      </w:r>
      <w:r>
        <w:rPr>
          <w:rFonts w:ascii="Arial" w:hAnsi="Arial" w:cs="Arial"/>
          <w:b/>
          <w:bCs/>
          <w:sz w:val="20"/>
          <w:szCs w:val="20"/>
        </w:rPr>
        <w:t>.</w:t>
      </w:r>
    </w:p>
    <w:p w14:paraId="5B06BD55" w14:textId="1EAE3A28" w:rsidR="00FA687C" w:rsidRPr="00A86294" w:rsidRDefault="00FA687C" w:rsidP="00B92D37">
      <w:pPr>
        <w:jc w:val="both"/>
        <w:rPr>
          <w:rFonts w:ascii="Arial" w:hAnsi="Arial" w:cs="Arial"/>
          <w:sz w:val="20"/>
          <w:szCs w:val="20"/>
        </w:rPr>
      </w:pPr>
      <w:r>
        <w:rPr>
          <w:rFonts w:ascii="Arial" w:hAnsi="Arial" w:cs="Arial"/>
          <w:b/>
          <w:bCs/>
          <w:sz w:val="20"/>
          <w:szCs w:val="20"/>
        </w:rPr>
        <w:br/>
      </w:r>
      <w:r w:rsidRPr="00A86294">
        <w:rPr>
          <w:rFonts w:ascii="Arial" w:hAnsi="Arial" w:cs="Arial"/>
          <w:sz w:val="20"/>
          <w:szCs w:val="20"/>
        </w:rPr>
        <w:t xml:space="preserve">In order to be considered as a </w:t>
      </w:r>
      <w:r w:rsidRPr="00FD5727">
        <w:rPr>
          <w:rFonts w:ascii="Arial" w:hAnsi="Arial" w:cs="Arial"/>
          <w:b/>
          <w:bCs/>
          <w:sz w:val="20"/>
          <w:szCs w:val="20"/>
          <w:u w:val="single"/>
        </w:rPr>
        <w:t>Qualifying Free Zone Person</w:t>
      </w:r>
      <w:r w:rsidRPr="00A86294">
        <w:rPr>
          <w:rFonts w:ascii="Arial" w:hAnsi="Arial" w:cs="Arial"/>
          <w:sz w:val="20"/>
          <w:szCs w:val="20"/>
        </w:rPr>
        <w:t xml:space="preserve">, a Free Zone Person must meet the </w:t>
      </w:r>
      <w:r w:rsidRPr="00FD5727">
        <w:rPr>
          <w:rFonts w:ascii="Arial" w:hAnsi="Arial" w:cs="Arial"/>
          <w:b/>
          <w:bCs/>
          <w:sz w:val="20"/>
          <w:szCs w:val="20"/>
          <w:u w:val="single"/>
        </w:rPr>
        <w:t>following requirements</w:t>
      </w:r>
      <w:r w:rsidRPr="00A86294">
        <w:rPr>
          <w:rFonts w:ascii="Arial" w:hAnsi="Arial" w:cs="Arial"/>
          <w:sz w:val="20"/>
          <w:szCs w:val="20"/>
        </w:rPr>
        <w:t xml:space="preserve">: </w:t>
      </w:r>
    </w:p>
    <w:p w14:paraId="2C9A579F" w14:textId="77777777" w:rsidR="00FA687C" w:rsidRPr="00A86294" w:rsidRDefault="00FA687C" w:rsidP="00B92D37">
      <w:pPr>
        <w:jc w:val="both"/>
        <w:rPr>
          <w:rFonts w:ascii="Arial" w:hAnsi="Arial" w:cs="Arial"/>
          <w:sz w:val="20"/>
          <w:szCs w:val="20"/>
        </w:rPr>
      </w:pPr>
    </w:p>
    <w:p w14:paraId="57D5ECF1" w14:textId="77777777" w:rsidR="008F7954" w:rsidRDefault="00FA687C" w:rsidP="00B92D37">
      <w:pPr>
        <w:pStyle w:val="ListParagraph"/>
        <w:numPr>
          <w:ilvl w:val="0"/>
          <w:numId w:val="1"/>
        </w:numPr>
        <w:jc w:val="both"/>
        <w:rPr>
          <w:rFonts w:ascii="Arial" w:hAnsi="Arial" w:cs="Arial"/>
          <w:sz w:val="20"/>
          <w:szCs w:val="20"/>
        </w:rPr>
      </w:pPr>
      <w:r w:rsidRPr="008F7954">
        <w:rPr>
          <w:rFonts w:ascii="Arial" w:hAnsi="Arial" w:cs="Arial"/>
          <w:sz w:val="20"/>
          <w:szCs w:val="20"/>
        </w:rPr>
        <w:t xml:space="preserve">derive </w:t>
      </w:r>
      <w:r w:rsidRPr="008F7954">
        <w:rPr>
          <w:rFonts w:ascii="Arial" w:hAnsi="Arial" w:cs="Arial"/>
          <w:b/>
          <w:bCs/>
          <w:sz w:val="20"/>
          <w:szCs w:val="20"/>
        </w:rPr>
        <w:t xml:space="preserve">qualifying </w:t>
      </w:r>
      <w:r w:rsidR="001D4D69" w:rsidRPr="008F7954">
        <w:rPr>
          <w:rFonts w:ascii="Arial" w:hAnsi="Arial" w:cs="Arial"/>
          <w:b/>
          <w:bCs/>
          <w:sz w:val="20"/>
          <w:szCs w:val="20"/>
        </w:rPr>
        <w:t>i</w:t>
      </w:r>
      <w:r w:rsidRPr="008F7954">
        <w:rPr>
          <w:rFonts w:ascii="Arial" w:hAnsi="Arial" w:cs="Arial"/>
          <w:b/>
          <w:bCs/>
          <w:sz w:val="20"/>
          <w:szCs w:val="20"/>
        </w:rPr>
        <w:t>ncome</w:t>
      </w:r>
      <w:r w:rsidRPr="008F7954">
        <w:rPr>
          <w:rFonts w:ascii="Arial" w:hAnsi="Arial" w:cs="Arial"/>
          <w:sz w:val="20"/>
          <w:szCs w:val="20"/>
        </w:rPr>
        <w:t xml:space="preserve"> from relevant transactions</w:t>
      </w:r>
      <w:r w:rsidR="008F7954" w:rsidRPr="008F7954">
        <w:rPr>
          <w:rFonts w:ascii="Arial" w:hAnsi="Arial" w:cs="Arial"/>
          <w:sz w:val="20"/>
          <w:szCs w:val="20"/>
        </w:rPr>
        <w:t xml:space="preserve"> </w:t>
      </w:r>
      <w:r w:rsidR="008F7954">
        <w:rPr>
          <w:rFonts w:ascii="Arial" w:hAnsi="Arial" w:cs="Arial"/>
          <w:sz w:val="20"/>
          <w:szCs w:val="20"/>
        </w:rPr>
        <w:t>(</w:t>
      </w:r>
      <w:r w:rsidR="008F7954" w:rsidRPr="008F7954">
        <w:rPr>
          <w:rFonts w:ascii="Arial" w:hAnsi="Arial" w:cs="Arial"/>
          <w:i/>
          <w:iCs/>
          <w:sz w:val="18"/>
          <w:szCs w:val="18"/>
        </w:rPr>
        <w:t>further discussed below</w:t>
      </w:r>
      <w:r w:rsidR="008F7954">
        <w:rPr>
          <w:rFonts w:ascii="Arial" w:hAnsi="Arial" w:cs="Arial"/>
          <w:sz w:val="20"/>
          <w:szCs w:val="20"/>
        </w:rPr>
        <w:t>);</w:t>
      </w:r>
    </w:p>
    <w:p w14:paraId="48015F77" w14:textId="4DEEA8FE" w:rsidR="00FA687C" w:rsidRPr="008F7954" w:rsidRDefault="00FA687C" w:rsidP="00B92D37">
      <w:pPr>
        <w:pStyle w:val="ListParagraph"/>
        <w:numPr>
          <w:ilvl w:val="0"/>
          <w:numId w:val="1"/>
        </w:numPr>
        <w:jc w:val="both"/>
        <w:rPr>
          <w:rFonts w:ascii="Arial" w:hAnsi="Arial" w:cs="Arial"/>
          <w:sz w:val="20"/>
          <w:szCs w:val="20"/>
        </w:rPr>
      </w:pPr>
      <w:r w:rsidRPr="008F7954">
        <w:rPr>
          <w:rFonts w:ascii="Arial" w:hAnsi="Arial" w:cs="Arial"/>
          <w:sz w:val="20"/>
          <w:szCs w:val="20"/>
        </w:rPr>
        <w:t xml:space="preserve">maintain </w:t>
      </w:r>
      <w:r w:rsidRPr="008F7954">
        <w:rPr>
          <w:rFonts w:ascii="Arial" w:hAnsi="Arial" w:cs="Arial"/>
          <w:b/>
          <w:bCs/>
          <w:sz w:val="20"/>
          <w:szCs w:val="20"/>
        </w:rPr>
        <w:t>adequate substance</w:t>
      </w:r>
      <w:r w:rsidRPr="008F7954">
        <w:rPr>
          <w:rFonts w:ascii="Arial" w:hAnsi="Arial" w:cs="Arial"/>
          <w:sz w:val="20"/>
          <w:szCs w:val="20"/>
        </w:rPr>
        <w:t xml:space="preserve"> in the free zone</w:t>
      </w:r>
      <w:r w:rsidR="008F7954" w:rsidRPr="008F7954">
        <w:rPr>
          <w:rFonts w:ascii="Arial" w:hAnsi="Arial" w:cs="Arial"/>
          <w:sz w:val="20"/>
          <w:szCs w:val="20"/>
        </w:rPr>
        <w:t xml:space="preserve"> (</w:t>
      </w:r>
      <w:r w:rsidR="008F7954" w:rsidRPr="008F7954">
        <w:rPr>
          <w:rFonts w:ascii="Arial" w:hAnsi="Arial" w:cs="Arial"/>
          <w:i/>
          <w:iCs/>
          <w:sz w:val="18"/>
          <w:szCs w:val="18"/>
        </w:rPr>
        <w:t>further discussed below</w:t>
      </w:r>
      <w:r w:rsidR="008F7954" w:rsidRPr="008F7954">
        <w:rPr>
          <w:rFonts w:ascii="Arial" w:hAnsi="Arial" w:cs="Arial"/>
          <w:sz w:val="20"/>
          <w:szCs w:val="20"/>
        </w:rPr>
        <w:t>);</w:t>
      </w:r>
    </w:p>
    <w:p w14:paraId="77B82AE0" w14:textId="79E9AA34" w:rsidR="00FA687C" w:rsidRPr="00A86294" w:rsidRDefault="00FA687C" w:rsidP="00B92D37">
      <w:pPr>
        <w:pStyle w:val="ListParagraph"/>
        <w:numPr>
          <w:ilvl w:val="0"/>
          <w:numId w:val="1"/>
        </w:numPr>
        <w:jc w:val="both"/>
        <w:rPr>
          <w:rFonts w:ascii="Arial" w:hAnsi="Arial" w:cs="Arial"/>
          <w:sz w:val="20"/>
          <w:szCs w:val="20"/>
        </w:rPr>
      </w:pPr>
      <w:r w:rsidRPr="00A86294">
        <w:rPr>
          <w:rFonts w:ascii="Arial" w:hAnsi="Arial" w:cs="Arial"/>
          <w:sz w:val="20"/>
          <w:szCs w:val="20"/>
        </w:rPr>
        <w:t xml:space="preserve">satisfy the </w:t>
      </w:r>
      <w:r w:rsidRPr="0088532D">
        <w:rPr>
          <w:rFonts w:ascii="Arial" w:hAnsi="Arial" w:cs="Arial"/>
          <w:b/>
          <w:bCs/>
          <w:sz w:val="20"/>
          <w:szCs w:val="20"/>
        </w:rPr>
        <w:t>de minimis requirement</w:t>
      </w:r>
      <w:r w:rsidR="008F7954">
        <w:rPr>
          <w:rFonts w:ascii="Arial" w:hAnsi="Arial" w:cs="Arial"/>
          <w:b/>
          <w:bCs/>
          <w:sz w:val="20"/>
          <w:szCs w:val="20"/>
        </w:rPr>
        <w:t xml:space="preserve"> </w:t>
      </w:r>
      <w:r w:rsidR="008F7954">
        <w:rPr>
          <w:rFonts w:ascii="Arial" w:hAnsi="Arial" w:cs="Arial"/>
          <w:sz w:val="20"/>
          <w:szCs w:val="20"/>
        </w:rPr>
        <w:t>(</w:t>
      </w:r>
      <w:r w:rsidR="008F7954" w:rsidRPr="008F7954">
        <w:rPr>
          <w:rFonts w:ascii="Arial" w:hAnsi="Arial" w:cs="Arial"/>
          <w:i/>
          <w:iCs/>
          <w:sz w:val="18"/>
          <w:szCs w:val="18"/>
        </w:rPr>
        <w:t>further discussed below</w:t>
      </w:r>
      <w:r w:rsidR="008F7954">
        <w:rPr>
          <w:rFonts w:ascii="Arial" w:hAnsi="Arial" w:cs="Arial"/>
          <w:sz w:val="20"/>
          <w:szCs w:val="20"/>
        </w:rPr>
        <w:t>);</w:t>
      </w:r>
    </w:p>
    <w:p w14:paraId="6F51BAA0" w14:textId="365858BB" w:rsidR="00FA687C" w:rsidRPr="00A86294" w:rsidRDefault="00FA687C" w:rsidP="00B92D37">
      <w:pPr>
        <w:pStyle w:val="ListParagraph"/>
        <w:numPr>
          <w:ilvl w:val="0"/>
          <w:numId w:val="1"/>
        </w:numPr>
        <w:jc w:val="both"/>
        <w:rPr>
          <w:rFonts w:ascii="Arial" w:hAnsi="Arial" w:cs="Arial"/>
          <w:sz w:val="20"/>
          <w:szCs w:val="20"/>
        </w:rPr>
      </w:pPr>
      <w:r w:rsidRPr="00A86294">
        <w:rPr>
          <w:rFonts w:ascii="Arial" w:hAnsi="Arial" w:cs="Arial"/>
          <w:sz w:val="20"/>
          <w:szCs w:val="20"/>
        </w:rPr>
        <w:t xml:space="preserve">have </w:t>
      </w:r>
      <w:r w:rsidRPr="0088532D">
        <w:rPr>
          <w:rFonts w:ascii="Arial" w:hAnsi="Arial" w:cs="Arial"/>
          <w:b/>
          <w:bCs/>
          <w:sz w:val="20"/>
          <w:szCs w:val="20"/>
        </w:rPr>
        <w:t xml:space="preserve">not elected to be subject to </w:t>
      </w:r>
      <w:r w:rsidR="001D4D69">
        <w:rPr>
          <w:rFonts w:ascii="Arial" w:hAnsi="Arial" w:cs="Arial"/>
          <w:b/>
          <w:bCs/>
          <w:sz w:val="20"/>
          <w:szCs w:val="20"/>
        </w:rPr>
        <w:t>c</w:t>
      </w:r>
      <w:r w:rsidRPr="0088532D">
        <w:rPr>
          <w:rFonts w:ascii="Arial" w:hAnsi="Arial" w:cs="Arial"/>
          <w:b/>
          <w:bCs/>
          <w:sz w:val="20"/>
          <w:szCs w:val="20"/>
        </w:rPr>
        <w:t xml:space="preserve">orporate </w:t>
      </w:r>
      <w:r w:rsidR="001D4D69">
        <w:rPr>
          <w:rFonts w:ascii="Arial" w:hAnsi="Arial" w:cs="Arial"/>
          <w:b/>
          <w:bCs/>
          <w:sz w:val="20"/>
          <w:szCs w:val="20"/>
        </w:rPr>
        <w:t>t</w:t>
      </w:r>
      <w:r w:rsidRPr="0088532D">
        <w:rPr>
          <w:rFonts w:ascii="Arial" w:hAnsi="Arial" w:cs="Arial"/>
          <w:b/>
          <w:bCs/>
          <w:sz w:val="20"/>
          <w:szCs w:val="20"/>
        </w:rPr>
        <w:t>ax</w:t>
      </w:r>
      <w:r>
        <w:rPr>
          <w:rFonts w:ascii="Arial" w:hAnsi="Arial" w:cs="Arial"/>
          <w:sz w:val="20"/>
          <w:szCs w:val="20"/>
        </w:rPr>
        <w:t>;</w:t>
      </w:r>
    </w:p>
    <w:p w14:paraId="2D7171A8" w14:textId="7AE6ECB5" w:rsidR="00FA687C" w:rsidRPr="008F7954" w:rsidRDefault="00FA687C" w:rsidP="00B92D37">
      <w:pPr>
        <w:pStyle w:val="ListParagraph"/>
        <w:numPr>
          <w:ilvl w:val="0"/>
          <w:numId w:val="1"/>
        </w:numPr>
        <w:jc w:val="both"/>
        <w:rPr>
          <w:rFonts w:ascii="Arial" w:hAnsi="Arial" w:cs="Arial"/>
          <w:sz w:val="20"/>
          <w:szCs w:val="20"/>
        </w:rPr>
      </w:pPr>
      <w:r w:rsidRPr="00A86294">
        <w:rPr>
          <w:rFonts w:ascii="Arial" w:hAnsi="Arial" w:cs="Arial"/>
          <w:sz w:val="20"/>
          <w:szCs w:val="20"/>
        </w:rPr>
        <w:t xml:space="preserve">comply with the </w:t>
      </w:r>
      <w:r w:rsidRPr="0088532D">
        <w:rPr>
          <w:rFonts w:ascii="Arial" w:hAnsi="Arial" w:cs="Arial"/>
          <w:b/>
          <w:bCs/>
          <w:sz w:val="20"/>
          <w:szCs w:val="20"/>
        </w:rPr>
        <w:t>transfer pricing rules</w:t>
      </w:r>
      <w:r w:rsidRPr="00A86294">
        <w:rPr>
          <w:rFonts w:ascii="Arial" w:hAnsi="Arial" w:cs="Arial"/>
          <w:sz w:val="20"/>
          <w:szCs w:val="20"/>
        </w:rPr>
        <w:t xml:space="preserve"> and </w:t>
      </w:r>
      <w:r w:rsidRPr="0088532D">
        <w:rPr>
          <w:rFonts w:ascii="Arial" w:hAnsi="Arial" w:cs="Arial"/>
          <w:b/>
          <w:bCs/>
          <w:sz w:val="20"/>
          <w:szCs w:val="20"/>
        </w:rPr>
        <w:t xml:space="preserve">documentation </w:t>
      </w:r>
      <w:r w:rsidRPr="008F7954">
        <w:rPr>
          <w:rFonts w:ascii="Arial" w:hAnsi="Arial" w:cs="Arial"/>
          <w:sz w:val="20"/>
          <w:szCs w:val="20"/>
        </w:rPr>
        <w:t>requirements</w:t>
      </w:r>
      <w:r w:rsidR="008F7954" w:rsidRPr="008F7954">
        <w:rPr>
          <w:rFonts w:ascii="Arial" w:hAnsi="Arial" w:cs="Arial"/>
          <w:sz w:val="20"/>
          <w:szCs w:val="20"/>
        </w:rPr>
        <w:t xml:space="preserve"> (for related </w:t>
      </w:r>
      <w:proofErr w:type="gramStart"/>
      <w:r w:rsidR="008F7954" w:rsidRPr="008F7954">
        <w:rPr>
          <w:rFonts w:ascii="Arial" w:hAnsi="Arial" w:cs="Arial"/>
          <w:sz w:val="20"/>
          <w:szCs w:val="20"/>
        </w:rPr>
        <w:t>parties</w:t>
      </w:r>
      <w:proofErr w:type="gramEnd"/>
      <w:r w:rsidR="008F7954" w:rsidRPr="008F7954">
        <w:rPr>
          <w:rFonts w:ascii="Arial" w:hAnsi="Arial" w:cs="Arial"/>
          <w:sz w:val="20"/>
          <w:szCs w:val="20"/>
        </w:rPr>
        <w:t xml:space="preserve"> transactions)</w:t>
      </w:r>
      <w:r w:rsidRPr="008F7954">
        <w:rPr>
          <w:rFonts w:ascii="Arial" w:hAnsi="Arial" w:cs="Arial"/>
          <w:sz w:val="20"/>
          <w:szCs w:val="20"/>
        </w:rPr>
        <w:t>;</w:t>
      </w:r>
    </w:p>
    <w:p w14:paraId="7421F24D" w14:textId="2190D01F" w:rsidR="00FA687C" w:rsidRPr="001F2FE1" w:rsidRDefault="00FA687C" w:rsidP="00B92D37">
      <w:pPr>
        <w:pStyle w:val="ListParagraph"/>
        <w:numPr>
          <w:ilvl w:val="0"/>
          <w:numId w:val="1"/>
        </w:numPr>
        <w:jc w:val="both"/>
        <w:rPr>
          <w:rFonts w:ascii="Arial" w:hAnsi="Arial" w:cs="Arial"/>
          <w:sz w:val="20"/>
          <w:szCs w:val="20"/>
        </w:rPr>
      </w:pPr>
      <w:r w:rsidRPr="001F2FE1">
        <w:rPr>
          <w:rFonts w:ascii="Arial" w:hAnsi="Arial" w:cs="Arial"/>
          <w:sz w:val="20"/>
          <w:szCs w:val="20"/>
        </w:rPr>
        <w:t xml:space="preserve">prepare and maintain </w:t>
      </w:r>
      <w:r w:rsidRPr="0088532D">
        <w:rPr>
          <w:rFonts w:ascii="Arial" w:hAnsi="Arial" w:cs="Arial"/>
          <w:b/>
          <w:bCs/>
          <w:sz w:val="20"/>
          <w:szCs w:val="20"/>
        </w:rPr>
        <w:t xml:space="preserve">audited </w:t>
      </w:r>
      <w:r w:rsidR="001D4D69">
        <w:rPr>
          <w:rFonts w:ascii="Arial" w:hAnsi="Arial" w:cs="Arial"/>
          <w:b/>
          <w:bCs/>
          <w:sz w:val="20"/>
          <w:szCs w:val="20"/>
        </w:rPr>
        <w:t>f</w:t>
      </w:r>
      <w:r w:rsidRPr="0088532D">
        <w:rPr>
          <w:rFonts w:ascii="Arial" w:hAnsi="Arial" w:cs="Arial"/>
          <w:b/>
          <w:bCs/>
          <w:sz w:val="20"/>
          <w:szCs w:val="20"/>
        </w:rPr>
        <w:t xml:space="preserve">inancial </w:t>
      </w:r>
      <w:r w:rsidR="001D4D69">
        <w:rPr>
          <w:rFonts w:ascii="Arial" w:hAnsi="Arial" w:cs="Arial"/>
          <w:b/>
          <w:bCs/>
          <w:sz w:val="20"/>
          <w:szCs w:val="20"/>
        </w:rPr>
        <w:t>s</w:t>
      </w:r>
      <w:r w:rsidRPr="0088532D">
        <w:rPr>
          <w:rFonts w:ascii="Arial" w:hAnsi="Arial" w:cs="Arial"/>
          <w:b/>
          <w:bCs/>
          <w:sz w:val="20"/>
          <w:szCs w:val="20"/>
        </w:rPr>
        <w:t>tatements</w:t>
      </w:r>
      <w:r>
        <w:rPr>
          <w:rFonts w:ascii="Arial" w:hAnsi="Arial" w:cs="Arial"/>
          <w:sz w:val="20"/>
          <w:szCs w:val="20"/>
        </w:rPr>
        <w:t>.</w:t>
      </w:r>
    </w:p>
    <w:p w14:paraId="55595D9F" w14:textId="77777777" w:rsidR="00FA687C" w:rsidRDefault="00FA687C" w:rsidP="00B92D37">
      <w:pPr>
        <w:jc w:val="both"/>
        <w:rPr>
          <w:rFonts w:ascii="Arial" w:hAnsi="Arial" w:cs="Arial"/>
          <w:sz w:val="20"/>
          <w:szCs w:val="20"/>
        </w:rPr>
      </w:pPr>
    </w:p>
    <w:p w14:paraId="60697B18" w14:textId="77777777" w:rsidR="00FA687C" w:rsidRPr="008471EF" w:rsidRDefault="00FA687C" w:rsidP="00B92D37">
      <w:pPr>
        <w:jc w:val="both"/>
        <w:rPr>
          <w:rFonts w:ascii="Arial" w:hAnsi="Arial" w:cs="Arial"/>
          <w:b/>
          <w:bCs/>
          <w:sz w:val="20"/>
          <w:szCs w:val="20"/>
          <w:u w:val="single"/>
        </w:rPr>
      </w:pPr>
      <w:r w:rsidRPr="008471EF">
        <w:rPr>
          <w:rFonts w:ascii="Arial" w:hAnsi="Arial" w:cs="Arial"/>
          <w:b/>
          <w:bCs/>
          <w:sz w:val="20"/>
          <w:szCs w:val="20"/>
          <w:u w:val="single"/>
        </w:rPr>
        <w:t>Requirement 1 - Qualifying Income:</w:t>
      </w:r>
    </w:p>
    <w:p w14:paraId="49A43BDB" w14:textId="77777777" w:rsidR="00FA687C" w:rsidRDefault="00FA687C" w:rsidP="00B92D37">
      <w:pPr>
        <w:jc w:val="both"/>
        <w:rPr>
          <w:rFonts w:ascii="Arial" w:hAnsi="Arial" w:cs="Arial"/>
          <w:b/>
          <w:bCs/>
          <w:sz w:val="20"/>
          <w:szCs w:val="20"/>
        </w:rPr>
      </w:pPr>
    </w:p>
    <w:p w14:paraId="3C992F3A"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Qualifying Income is the income that can benefit from the 0% Corporate Tax rate.</w:t>
      </w:r>
    </w:p>
    <w:p w14:paraId="63189290" w14:textId="16F3F2C9" w:rsidR="00FA687C" w:rsidRDefault="00FA687C" w:rsidP="00B92D37">
      <w:pPr>
        <w:jc w:val="both"/>
        <w:rPr>
          <w:rFonts w:ascii="Arial" w:hAnsi="Arial" w:cs="Arial"/>
          <w:sz w:val="20"/>
          <w:szCs w:val="20"/>
        </w:rPr>
      </w:pPr>
      <w:r w:rsidRPr="00A86294">
        <w:rPr>
          <w:rFonts w:ascii="Arial" w:hAnsi="Arial" w:cs="Arial"/>
          <w:sz w:val="20"/>
          <w:szCs w:val="20"/>
        </w:rPr>
        <w:t xml:space="preserve">Qualifying Income includes: </w:t>
      </w:r>
    </w:p>
    <w:p w14:paraId="40BB87F6" w14:textId="77777777" w:rsidR="00FA687C" w:rsidRPr="00A86294" w:rsidRDefault="00FA687C" w:rsidP="00B92D37">
      <w:pPr>
        <w:jc w:val="both"/>
        <w:rPr>
          <w:rFonts w:ascii="Arial" w:hAnsi="Arial" w:cs="Arial"/>
          <w:sz w:val="20"/>
          <w:szCs w:val="20"/>
        </w:rPr>
      </w:pPr>
    </w:p>
    <w:p w14:paraId="755BC68D" w14:textId="6FB37A34" w:rsidR="00FA687C" w:rsidRPr="008471EF" w:rsidRDefault="00FA687C" w:rsidP="00B92D37">
      <w:pPr>
        <w:pStyle w:val="ListParagraph"/>
        <w:numPr>
          <w:ilvl w:val="0"/>
          <w:numId w:val="2"/>
        </w:numPr>
        <w:jc w:val="both"/>
        <w:rPr>
          <w:rFonts w:ascii="Arial" w:hAnsi="Arial" w:cs="Arial"/>
          <w:sz w:val="20"/>
          <w:szCs w:val="20"/>
        </w:rPr>
      </w:pPr>
      <w:r w:rsidRPr="008471EF">
        <w:rPr>
          <w:rFonts w:ascii="Arial" w:hAnsi="Arial" w:cs="Arial"/>
          <w:sz w:val="20"/>
          <w:szCs w:val="20"/>
        </w:rPr>
        <w:t xml:space="preserve">Income derived from transactions </w:t>
      </w:r>
      <w:r w:rsidRPr="005C309D">
        <w:rPr>
          <w:rFonts w:ascii="Arial" w:hAnsi="Arial" w:cs="Arial"/>
          <w:b/>
          <w:bCs/>
          <w:sz w:val="20"/>
          <w:szCs w:val="20"/>
        </w:rPr>
        <w:t>with other Free Zone Persons</w:t>
      </w:r>
      <w:r w:rsidR="001D4D69">
        <w:rPr>
          <w:rFonts w:ascii="Arial" w:hAnsi="Arial" w:cs="Arial"/>
          <w:b/>
          <w:bCs/>
          <w:sz w:val="20"/>
          <w:szCs w:val="20"/>
        </w:rPr>
        <w:t xml:space="preserve">, </w:t>
      </w:r>
      <w:r w:rsidR="001D4D69" w:rsidRPr="001D4D69">
        <w:rPr>
          <w:rFonts w:ascii="Arial" w:hAnsi="Arial" w:cs="Arial"/>
          <w:sz w:val="20"/>
          <w:szCs w:val="20"/>
        </w:rPr>
        <w:t>provided they are beneficial recipients for goods or services</w:t>
      </w:r>
      <w:r w:rsidRPr="008471EF">
        <w:rPr>
          <w:rFonts w:ascii="Arial" w:hAnsi="Arial" w:cs="Arial"/>
          <w:sz w:val="20"/>
          <w:szCs w:val="20"/>
        </w:rPr>
        <w:t xml:space="preserve"> </w:t>
      </w:r>
      <w:r w:rsidR="001D4D69">
        <w:rPr>
          <w:rFonts w:ascii="Arial" w:hAnsi="Arial" w:cs="Arial"/>
          <w:sz w:val="20"/>
          <w:szCs w:val="20"/>
        </w:rPr>
        <w:t>(</w:t>
      </w:r>
      <w:r w:rsidRPr="008471EF">
        <w:rPr>
          <w:rFonts w:ascii="Arial" w:hAnsi="Arial" w:cs="Arial"/>
          <w:sz w:val="20"/>
          <w:szCs w:val="20"/>
        </w:rPr>
        <w:t xml:space="preserve">except for income derived from </w:t>
      </w:r>
      <w:r w:rsidRPr="008471EF">
        <w:rPr>
          <w:rFonts w:ascii="Arial" w:hAnsi="Arial" w:cs="Arial"/>
          <w:i/>
          <w:iCs/>
          <w:sz w:val="20"/>
          <w:szCs w:val="20"/>
        </w:rPr>
        <w:t>Excluded Activities</w:t>
      </w:r>
      <w:r w:rsidR="001D4D69">
        <w:rPr>
          <w:rFonts w:ascii="Arial" w:hAnsi="Arial" w:cs="Arial"/>
          <w:i/>
          <w:iCs/>
          <w:sz w:val="20"/>
          <w:szCs w:val="20"/>
        </w:rPr>
        <w:t>)</w:t>
      </w:r>
      <w:r w:rsidRPr="008471EF">
        <w:rPr>
          <w:rFonts w:ascii="Arial" w:hAnsi="Arial" w:cs="Arial"/>
          <w:i/>
          <w:iCs/>
          <w:sz w:val="20"/>
          <w:szCs w:val="20"/>
        </w:rPr>
        <w:t>;</w:t>
      </w:r>
    </w:p>
    <w:p w14:paraId="5CDCF56C" w14:textId="77777777" w:rsidR="00FA687C" w:rsidRPr="00A86294" w:rsidRDefault="00FA687C" w:rsidP="00B92D37">
      <w:pPr>
        <w:jc w:val="both"/>
        <w:rPr>
          <w:rFonts w:ascii="Arial" w:hAnsi="Arial" w:cs="Arial"/>
          <w:sz w:val="20"/>
          <w:szCs w:val="20"/>
        </w:rPr>
      </w:pPr>
    </w:p>
    <w:p w14:paraId="23C02726" w14:textId="4C58FC00" w:rsidR="00FA687C" w:rsidRDefault="00FA687C" w:rsidP="00B92D37">
      <w:pPr>
        <w:pStyle w:val="ListParagraph"/>
        <w:numPr>
          <w:ilvl w:val="0"/>
          <w:numId w:val="2"/>
        </w:numPr>
        <w:jc w:val="both"/>
        <w:rPr>
          <w:rFonts w:ascii="Arial" w:hAnsi="Arial" w:cs="Arial"/>
          <w:sz w:val="20"/>
          <w:szCs w:val="20"/>
        </w:rPr>
      </w:pPr>
      <w:r w:rsidRPr="008471EF">
        <w:rPr>
          <w:rFonts w:ascii="Arial" w:hAnsi="Arial" w:cs="Arial"/>
          <w:sz w:val="20"/>
          <w:szCs w:val="20"/>
        </w:rPr>
        <w:t xml:space="preserve">Income derived from transactions with </w:t>
      </w:r>
      <w:r w:rsidRPr="00344D94">
        <w:rPr>
          <w:rFonts w:ascii="Arial" w:hAnsi="Arial" w:cs="Arial"/>
          <w:b/>
          <w:bCs/>
          <w:sz w:val="20"/>
          <w:szCs w:val="20"/>
        </w:rPr>
        <w:t>any Non-Free Zone Person</w:t>
      </w:r>
      <w:r>
        <w:rPr>
          <w:rFonts w:ascii="Arial" w:hAnsi="Arial" w:cs="Arial"/>
          <w:sz w:val="20"/>
          <w:szCs w:val="20"/>
        </w:rPr>
        <w:t xml:space="preserve"> (includes overseas </w:t>
      </w:r>
      <w:r w:rsidR="001D4D69">
        <w:rPr>
          <w:rFonts w:ascii="Arial" w:hAnsi="Arial" w:cs="Arial"/>
          <w:sz w:val="20"/>
          <w:szCs w:val="20"/>
        </w:rPr>
        <w:t xml:space="preserve">and mainland </w:t>
      </w:r>
      <w:r>
        <w:rPr>
          <w:rFonts w:ascii="Arial" w:hAnsi="Arial" w:cs="Arial"/>
          <w:sz w:val="20"/>
          <w:szCs w:val="20"/>
        </w:rPr>
        <w:t>companies)</w:t>
      </w:r>
      <w:r w:rsidRPr="008471EF">
        <w:rPr>
          <w:rFonts w:ascii="Arial" w:hAnsi="Arial" w:cs="Arial"/>
          <w:sz w:val="20"/>
          <w:szCs w:val="20"/>
        </w:rPr>
        <w:t xml:space="preserve">, </w:t>
      </w:r>
      <w:r w:rsidRPr="00344D94">
        <w:rPr>
          <w:rFonts w:ascii="Arial" w:hAnsi="Arial" w:cs="Arial"/>
          <w:b/>
          <w:bCs/>
          <w:sz w:val="20"/>
          <w:szCs w:val="20"/>
          <w:u w:val="single"/>
        </w:rPr>
        <w:t>only in the case</w:t>
      </w:r>
      <w:r w:rsidRPr="008471EF">
        <w:rPr>
          <w:rFonts w:ascii="Arial" w:hAnsi="Arial" w:cs="Arial"/>
          <w:sz w:val="20"/>
          <w:szCs w:val="20"/>
        </w:rPr>
        <w:t xml:space="preserve"> of </w:t>
      </w:r>
      <w:r w:rsidRPr="001D4D69">
        <w:rPr>
          <w:rFonts w:ascii="Arial" w:hAnsi="Arial" w:cs="Arial"/>
          <w:b/>
          <w:bCs/>
          <w:sz w:val="20"/>
          <w:szCs w:val="20"/>
          <w:u w:val="single"/>
        </w:rPr>
        <w:t>Qualifying Activities</w:t>
      </w:r>
      <w:r w:rsidRPr="008471EF">
        <w:rPr>
          <w:rFonts w:ascii="Arial" w:hAnsi="Arial" w:cs="Arial"/>
          <w:sz w:val="20"/>
          <w:szCs w:val="20"/>
        </w:rPr>
        <w:t xml:space="preserve"> that are not </w:t>
      </w:r>
      <w:r w:rsidRPr="008471EF">
        <w:rPr>
          <w:rFonts w:ascii="Arial" w:hAnsi="Arial" w:cs="Arial"/>
          <w:i/>
          <w:iCs/>
          <w:sz w:val="20"/>
          <w:szCs w:val="20"/>
        </w:rPr>
        <w:t>Excluded Activities;</w:t>
      </w:r>
      <w:r w:rsidRPr="008471EF">
        <w:rPr>
          <w:rFonts w:ascii="Arial" w:hAnsi="Arial" w:cs="Arial"/>
          <w:sz w:val="20"/>
          <w:szCs w:val="20"/>
        </w:rPr>
        <w:t xml:space="preserve"> </w:t>
      </w:r>
    </w:p>
    <w:p w14:paraId="3CE58D3C" w14:textId="77777777" w:rsidR="008B1448" w:rsidRPr="008B1448" w:rsidRDefault="008B1448" w:rsidP="00B92D37">
      <w:pPr>
        <w:pStyle w:val="ListParagraph"/>
        <w:jc w:val="both"/>
        <w:rPr>
          <w:rFonts w:ascii="Arial" w:hAnsi="Arial" w:cs="Arial"/>
          <w:sz w:val="20"/>
          <w:szCs w:val="20"/>
        </w:rPr>
      </w:pPr>
    </w:p>
    <w:p w14:paraId="4E3AB2AE" w14:textId="7312BD70" w:rsidR="008B1448" w:rsidRPr="008471EF" w:rsidRDefault="008B1448" w:rsidP="00B92D37">
      <w:pPr>
        <w:pStyle w:val="ListParagraph"/>
        <w:numPr>
          <w:ilvl w:val="0"/>
          <w:numId w:val="2"/>
        </w:numPr>
        <w:jc w:val="both"/>
        <w:rPr>
          <w:rFonts w:ascii="Arial" w:hAnsi="Arial" w:cs="Arial"/>
          <w:sz w:val="20"/>
          <w:szCs w:val="20"/>
        </w:rPr>
      </w:pPr>
      <w:r w:rsidRPr="008B1448">
        <w:rPr>
          <w:rFonts w:ascii="Arial" w:hAnsi="Arial" w:cs="Arial"/>
          <w:sz w:val="20"/>
          <w:szCs w:val="20"/>
        </w:rPr>
        <w:t>Income derived from the ownership or exploitation of Qualifying Intellectual Property</w:t>
      </w:r>
      <w:r>
        <w:rPr>
          <w:rFonts w:ascii="Arial" w:hAnsi="Arial" w:cs="Arial"/>
          <w:sz w:val="20"/>
          <w:szCs w:val="20"/>
        </w:rPr>
        <w:t>;</w:t>
      </w:r>
    </w:p>
    <w:p w14:paraId="1DAA9A66" w14:textId="77777777" w:rsidR="00FA687C" w:rsidRDefault="00FA687C" w:rsidP="00B92D37">
      <w:pPr>
        <w:jc w:val="both"/>
        <w:rPr>
          <w:rFonts w:ascii="Arial" w:hAnsi="Arial" w:cs="Arial"/>
          <w:sz w:val="20"/>
          <w:szCs w:val="20"/>
        </w:rPr>
      </w:pPr>
    </w:p>
    <w:p w14:paraId="34F1FA5F" w14:textId="77777777" w:rsidR="00FA687C" w:rsidRPr="008471EF" w:rsidRDefault="00FA687C" w:rsidP="00B92D37">
      <w:pPr>
        <w:pStyle w:val="ListParagraph"/>
        <w:numPr>
          <w:ilvl w:val="0"/>
          <w:numId w:val="2"/>
        </w:numPr>
        <w:jc w:val="both"/>
        <w:rPr>
          <w:rFonts w:ascii="Arial" w:hAnsi="Arial" w:cs="Arial"/>
          <w:sz w:val="20"/>
          <w:szCs w:val="20"/>
        </w:rPr>
      </w:pPr>
      <w:r w:rsidRPr="008471EF">
        <w:rPr>
          <w:rFonts w:ascii="Arial" w:hAnsi="Arial" w:cs="Arial"/>
          <w:sz w:val="20"/>
          <w:szCs w:val="20"/>
        </w:rPr>
        <w:t xml:space="preserve">Any other income where </w:t>
      </w:r>
      <w:r w:rsidRPr="008471EF">
        <w:rPr>
          <w:rFonts w:ascii="Arial" w:hAnsi="Arial" w:cs="Arial"/>
          <w:i/>
          <w:iCs/>
          <w:sz w:val="20"/>
          <w:szCs w:val="20"/>
        </w:rPr>
        <w:t>the de minimis requirement</w:t>
      </w:r>
      <w:r w:rsidRPr="008471EF">
        <w:rPr>
          <w:rFonts w:ascii="Arial" w:hAnsi="Arial" w:cs="Arial"/>
          <w:sz w:val="20"/>
          <w:szCs w:val="20"/>
        </w:rPr>
        <w:t xml:space="preserve"> is satisfied.</w:t>
      </w:r>
    </w:p>
    <w:p w14:paraId="421ED4A5" w14:textId="77777777" w:rsidR="00FA687C" w:rsidRPr="00A86294" w:rsidRDefault="00FA687C" w:rsidP="00B92D37">
      <w:pPr>
        <w:jc w:val="both"/>
        <w:rPr>
          <w:rFonts w:ascii="Arial" w:hAnsi="Arial" w:cs="Arial"/>
          <w:sz w:val="20"/>
          <w:szCs w:val="20"/>
        </w:rPr>
      </w:pPr>
    </w:p>
    <w:p w14:paraId="33D09862" w14:textId="77777777" w:rsidR="00FA687C" w:rsidRPr="008471EF" w:rsidRDefault="00FA687C" w:rsidP="00B92D37">
      <w:pPr>
        <w:jc w:val="both"/>
        <w:rPr>
          <w:rFonts w:ascii="Arial" w:hAnsi="Arial" w:cs="Arial"/>
          <w:i/>
          <w:iCs/>
          <w:sz w:val="20"/>
          <w:szCs w:val="20"/>
          <w:u w:val="single"/>
        </w:rPr>
      </w:pPr>
      <w:r w:rsidRPr="008471EF">
        <w:rPr>
          <w:rFonts w:ascii="Arial" w:hAnsi="Arial" w:cs="Arial"/>
          <w:i/>
          <w:iCs/>
          <w:sz w:val="20"/>
          <w:szCs w:val="20"/>
          <w:u w:val="single"/>
        </w:rPr>
        <w:t xml:space="preserve">Excluded Activities  </w:t>
      </w:r>
    </w:p>
    <w:p w14:paraId="6472A44B" w14:textId="77777777" w:rsidR="00FA687C" w:rsidRPr="008471EF" w:rsidRDefault="00FA687C" w:rsidP="00B92D37">
      <w:pPr>
        <w:jc w:val="both"/>
        <w:rPr>
          <w:rFonts w:ascii="Arial" w:hAnsi="Arial" w:cs="Arial"/>
          <w:b/>
          <w:bCs/>
          <w:i/>
          <w:iCs/>
          <w:sz w:val="20"/>
          <w:szCs w:val="20"/>
        </w:rPr>
      </w:pPr>
    </w:p>
    <w:p w14:paraId="1D15B008"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Qualifying Income does not include income derived from Excluded Activities.</w:t>
      </w:r>
    </w:p>
    <w:p w14:paraId="640EF420" w14:textId="77777777" w:rsidR="00FA687C" w:rsidRPr="00A86294" w:rsidRDefault="00FA687C" w:rsidP="00B92D37">
      <w:pPr>
        <w:jc w:val="both"/>
        <w:rPr>
          <w:rFonts w:ascii="Arial" w:hAnsi="Arial" w:cs="Arial"/>
          <w:sz w:val="20"/>
          <w:szCs w:val="20"/>
        </w:rPr>
      </w:pPr>
    </w:p>
    <w:p w14:paraId="2CB86BEF"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The Excluded Activities include:</w:t>
      </w:r>
    </w:p>
    <w:p w14:paraId="3A11706A" w14:textId="77777777" w:rsidR="00FA687C" w:rsidRPr="00A86294" w:rsidRDefault="00FA687C" w:rsidP="00B92D37">
      <w:pPr>
        <w:jc w:val="both"/>
        <w:rPr>
          <w:rFonts w:ascii="Arial" w:hAnsi="Arial" w:cs="Arial"/>
          <w:sz w:val="20"/>
          <w:szCs w:val="20"/>
        </w:rPr>
      </w:pPr>
    </w:p>
    <w:p w14:paraId="4A125C03"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Transactions with natural persons, except in relation to certain Qualifying Activities;  </w:t>
      </w:r>
    </w:p>
    <w:p w14:paraId="3D60C033"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Banking, insurance, finance and leasing activities that are subject to the relevant regulatory oversight of the relevant competent authority in the UAE, except for certain exceptions; </w:t>
      </w:r>
    </w:p>
    <w:p w14:paraId="43BA2797"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Ownership or exploitation of UAE immovable property, other than Commercial Property located in a Free Zone provided such activity in relation to Immovable Property located in a Free Zone is conducted with other Free Zone Persons; </w:t>
      </w:r>
    </w:p>
    <w:p w14:paraId="578D9522"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Ownership or exploitation of intellectual property assets; and</w:t>
      </w:r>
    </w:p>
    <w:p w14:paraId="6D9F2BEA" w14:textId="3C3010AC" w:rsidR="00FA687C" w:rsidRPr="00A86294" w:rsidRDefault="00FA687C" w:rsidP="00B92D37">
      <w:pPr>
        <w:jc w:val="both"/>
        <w:rPr>
          <w:rFonts w:ascii="Arial" w:hAnsi="Arial" w:cs="Arial"/>
          <w:sz w:val="20"/>
          <w:szCs w:val="20"/>
        </w:rPr>
      </w:pPr>
      <w:r w:rsidRPr="00A86294">
        <w:rPr>
          <w:rFonts w:ascii="Arial" w:hAnsi="Arial" w:cs="Arial"/>
          <w:sz w:val="20"/>
          <w:szCs w:val="20"/>
        </w:rPr>
        <w:t>• Activities that are ancillary (which serve no independent function) to the above activities.</w:t>
      </w:r>
    </w:p>
    <w:p w14:paraId="0E64A5CC" w14:textId="77777777" w:rsidR="00FA687C" w:rsidRPr="00A86294" w:rsidRDefault="00FA687C" w:rsidP="00B92D37">
      <w:pPr>
        <w:jc w:val="both"/>
        <w:rPr>
          <w:rFonts w:ascii="Arial" w:hAnsi="Arial" w:cs="Arial"/>
          <w:sz w:val="20"/>
          <w:szCs w:val="20"/>
        </w:rPr>
      </w:pPr>
    </w:p>
    <w:p w14:paraId="46394B44" w14:textId="77777777" w:rsidR="00FA687C" w:rsidRPr="00DF5D3D" w:rsidRDefault="00FA687C" w:rsidP="00B92D37">
      <w:pPr>
        <w:jc w:val="both"/>
        <w:rPr>
          <w:rFonts w:ascii="Arial" w:hAnsi="Arial" w:cs="Arial"/>
          <w:b/>
          <w:bCs/>
          <w:i/>
          <w:iCs/>
          <w:sz w:val="20"/>
          <w:szCs w:val="20"/>
          <w:u w:val="single"/>
        </w:rPr>
      </w:pPr>
      <w:r w:rsidRPr="00DF5D3D">
        <w:rPr>
          <w:rFonts w:ascii="Arial" w:hAnsi="Arial" w:cs="Arial"/>
          <w:b/>
          <w:bCs/>
          <w:i/>
          <w:iCs/>
          <w:sz w:val="20"/>
          <w:szCs w:val="20"/>
          <w:u w:val="single"/>
        </w:rPr>
        <w:t xml:space="preserve">Qualifying Activities  </w:t>
      </w:r>
    </w:p>
    <w:p w14:paraId="1F094679" w14:textId="77777777" w:rsidR="00FA687C" w:rsidRPr="008471EF" w:rsidRDefault="00FA687C" w:rsidP="00B92D37">
      <w:pPr>
        <w:jc w:val="both"/>
        <w:rPr>
          <w:rFonts w:ascii="Arial" w:hAnsi="Arial" w:cs="Arial"/>
          <w:i/>
          <w:iCs/>
          <w:sz w:val="20"/>
          <w:szCs w:val="20"/>
          <w:u w:val="single"/>
        </w:rPr>
      </w:pPr>
    </w:p>
    <w:p w14:paraId="06A639E2" w14:textId="77777777" w:rsidR="007F7D6B" w:rsidRDefault="0070043E" w:rsidP="00B92D37">
      <w:pPr>
        <w:jc w:val="both"/>
        <w:rPr>
          <w:rFonts w:ascii="Arial" w:hAnsi="Arial" w:cs="Arial"/>
          <w:sz w:val="20"/>
          <w:szCs w:val="20"/>
        </w:rPr>
      </w:pPr>
      <w:r>
        <w:rPr>
          <w:rFonts w:ascii="Arial" w:hAnsi="Arial" w:cs="Arial"/>
          <w:sz w:val="20"/>
          <w:szCs w:val="20"/>
        </w:rPr>
        <w:t xml:space="preserve">If the income is derived from sources other than from </w:t>
      </w:r>
      <w:r w:rsidRPr="0070043E">
        <w:rPr>
          <w:rFonts w:ascii="Arial" w:hAnsi="Arial" w:cs="Arial"/>
          <w:sz w:val="20"/>
          <w:szCs w:val="20"/>
        </w:rPr>
        <w:t>other Free Zone Persons</w:t>
      </w:r>
      <w:r>
        <w:rPr>
          <w:rFonts w:ascii="Arial" w:hAnsi="Arial" w:cs="Arial"/>
          <w:sz w:val="20"/>
          <w:szCs w:val="20"/>
        </w:rPr>
        <w:t>, the income earned is not by default the qualifying income, taxable at 0%.</w:t>
      </w:r>
    </w:p>
    <w:p w14:paraId="38A96E52" w14:textId="77777777" w:rsidR="007F7D6B" w:rsidRDefault="007F7D6B" w:rsidP="00B92D37">
      <w:pPr>
        <w:jc w:val="both"/>
        <w:rPr>
          <w:rFonts w:ascii="Arial" w:hAnsi="Arial" w:cs="Arial"/>
          <w:sz w:val="20"/>
          <w:szCs w:val="20"/>
        </w:rPr>
      </w:pPr>
    </w:p>
    <w:p w14:paraId="32073964" w14:textId="5F5FE97D" w:rsidR="007F7D6B" w:rsidRPr="00A86294" w:rsidRDefault="007F7D6B" w:rsidP="00B92D37">
      <w:pPr>
        <w:jc w:val="both"/>
        <w:rPr>
          <w:rFonts w:ascii="Arial" w:hAnsi="Arial" w:cs="Arial"/>
          <w:sz w:val="20"/>
          <w:szCs w:val="20"/>
        </w:rPr>
      </w:pPr>
      <w:r w:rsidRPr="00A86294">
        <w:rPr>
          <w:rFonts w:ascii="Arial" w:hAnsi="Arial" w:cs="Arial"/>
          <w:sz w:val="20"/>
          <w:szCs w:val="20"/>
        </w:rPr>
        <w:t xml:space="preserve">Qualifying </w:t>
      </w:r>
      <w:r w:rsidR="0095331E">
        <w:rPr>
          <w:rFonts w:ascii="Arial" w:hAnsi="Arial" w:cs="Arial"/>
          <w:sz w:val="20"/>
          <w:szCs w:val="20"/>
        </w:rPr>
        <w:t>i</w:t>
      </w:r>
      <w:r w:rsidRPr="00A86294">
        <w:rPr>
          <w:rFonts w:ascii="Arial" w:hAnsi="Arial" w:cs="Arial"/>
          <w:sz w:val="20"/>
          <w:szCs w:val="20"/>
        </w:rPr>
        <w:t>ncome includes income derived from transactions with Non-Free Zone Persons only in respect of Qualifying Activities.</w:t>
      </w:r>
    </w:p>
    <w:p w14:paraId="4D286B00" w14:textId="3ECE3B2B" w:rsidR="00FA687C" w:rsidRPr="00A86294" w:rsidRDefault="00FA687C" w:rsidP="00B92D37">
      <w:pPr>
        <w:jc w:val="both"/>
        <w:rPr>
          <w:rFonts w:ascii="Arial" w:hAnsi="Arial" w:cs="Arial"/>
          <w:sz w:val="20"/>
          <w:szCs w:val="20"/>
        </w:rPr>
      </w:pPr>
      <w:r w:rsidRPr="00A86294">
        <w:rPr>
          <w:rFonts w:ascii="Arial" w:hAnsi="Arial" w:cs="Arial"/>
          <w:sz w:val="20"/>
          <w:szCs w:val="20"/>
        </w:rPr>
        <w:t>The</w:t>
      </w:r>
      <w:r w:rsidR="007F7D6B">
        <w:rPr>
          <w:rFonts w:ascii="Arial" w:hAnsi="Arial" w:cs="Arial"/>
          <w:sz w:val="20"/>
          <w:szCs w:val="20"/>
        </w:rPr>
        <w:t xml:space="preserve"> qualifying</w:t>
      </w:r>
      <w:r w:rsidRPr="00A86294">
        <w:rPr>
          <w:rFonts w:ascii="Arial" w:hAnsi="Arial" w:cs="Arial"/>
          <w:sz w:val="20"/>
          <w:szCs w:val="20"/>
        </w:rPr>
        <w:t xml:space="preserve"> activities include:</w:t>
      </w:r>
    </w:p>
    <w:p w14:paraId="229DC820" w14:textId="77777777" w:rsidR="00FA687C" w:rsidRPr="00A86294" w:rsidRDefault="00FA687C" w:rsidP="00B92D37">
      <w:pPr>
        <w:jc w:val="both"/>
        <w:rPr>
          <w:rFonts w:ascii="Arial" w:hAnsi="Arial" w:cs="Arial"/>
          <w:sz w:val="20"/>
          <w:szCs w:val="20"/>
        </w:rPr>
      </w:pPr>
    </w:p>
    <w:p w14:paraId="1A134766"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a. Manufacturing of goods or materials.</w:t>
      </w:r>
    </w:p>
    <w:p w14:paraId="70A6CA60"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b. Processing of goods or materials.</w:t>
      </w:r>
    </w:p>
    <w:p w14:paraId="49AEB92A" w14:textId="77777777" w:rsidR="00FA687C" w:rsidRPr="007F7D6B" w:rsidRDefault="00FA687C" w:rsidP="00B92D37">
      <w:pPr>
        <w:jc w:val="both"/>
        <w:rPr>
          <w:rFonts w:ascii="Arial" w:hAnsi="Arial" w:cs="Arial"/>
          <w:sz w:val="20"/>
          <w:szCs w:val="20"/>
        </w:rPr>
      </w:pPr>
      <w:r w:rsidRPr="007F7D6B">
        <w:rPr>
          <w:rFonts w:ascii="Arial" w:hAnsi="Arial" w:cs="Arial"/>
          <w:sz w:val="20"/>
          <w:szCs w:val="20"/>
        </w:rPr>
        <w:t>c. Trading of Qualifying Commodities.</w:t>
      </w:r>
    </w:p>
    <w:p w14:paraId="4F025680"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d. Holding of shares and other securities for investment purposes.</w:t>
      </w:r>
    </w:p>
    <w:p w14:paraId="27BD48F7"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e. Ownership, management and operation of Ships.</w:t>
      </w:r>
    </w:p>
    <w:p w14:paraId="23A4E4C1"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f. Reinsurance services.</w:t>
      </w:r>
    </w:p>
    <w:p w14:paraId="07E87C5C"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g. Fund management services.</w:t>
      </w:r>
    </w:p>
    <w:p w14:paraId="7CF78A65"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h. Wealth and investment management services.</w:t>
      </w:r>
    </w:p>
    <w:p w14:paraId="3F852EA4"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i. Headquarter services to Related Parties.</w:t>
      </w:r>
    </w:p>
    <w:p w14:paraId="735B1D6C"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j. Treasury and financing services to Related Parties.</w:t>
      </w:r>
    </w:p>
    <w:p w14:paraId="09849BE5"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k. Financing and leasing of Aircrafts.</w:t>
      </w:r>
    </w:p>
    <w:p w14:paraId="3F5D43C8"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l. Distribution of goods or materials in or from a Designated Zone.</w:t>
      </w:r>
    </w:p>
    <w:p w14:paraId="77FE3435" w14:textId="77777777" w:rsidR="00FA687C" w:rsidRPr="00C76323" w:rsidRDefault="00FA687C" w:rsidP="00B92D37">
      <w:pPr>
        <w:jc w:val="both"/>
        <w:rPr>
          <w:rFonts w:ascii="Arial" w:hAnsi="Arial" w:cs="Arial"/>
          <w:sz w:val="20"/>
          <w:szCs w:val="20"/>
        </w:rPr>
      </w:pPr>
      <w:r w:rsidRPr="00C76323">
        <w:rPr>
          <w:rFonts w:ascii="Arial" w:hAnsi="Arial" w:cs="Arial"/>
          <w:sz w:val="20"/>
          <w:szCs w:val="20"/>
        </w:rPr>
        <w:t>m. Logistics services.</w:t>
      </w:r>
    </w:p>
    <w:p w14:paraId="6E25CC50" w14:textId="77777777" w:rsidR="00FA687C" w:rsidRDefault="00FA687C" w:rsidP="00B92D37">
      <w:pPr>
        <w:jc w:val="both"/>
        <w:rPr>
          <w:rFonts w:ascii="Arial" w:hAnsi="Arial" w:cs="Arial"/>
          <w:sz w:val="20"/>
          <w:szCs w:val="20"/>
        </w:rPr>
      </w:pPr>
      <w:r w:rsidRPr="00C76323">
        <w:rPr>
          <w:rFonts w:ascii="Arial" w:hAnsi="Arial" w:cs="Arial"/>
          <w:sz w:val="20"/>
          <w:szCs w:val="20"/>
        </w:rPr>
        <w:t>n. Any activities that are ancillary to the Qualifying Activities specified in paragraphs (a) to (m) of this Clause.</w:t>
      </w:r>
    </w:p>
    <w:p w14:paraId="3B1C0B07" w14:textId="77777777" w:rsidR="00FA687C" w:rsidRDefault="00FA687C" w:rsidP="00B92D37">
      <w:pPr>
        <w:jc w:val="both"/>
        <w:rPr>
          <w:rFonts w:ascii="Arial" w:hAnsi="Arial" w:cs="Arial"/>
          <w:sz w:val="20"/>
          <w:szCs w:val="20"/>
        </w:rPr>
      </w:pPr>
    </w:p>
    <w:p w14:paraId="60D2972E" w14:textId="0BC10386" w:rsidR="00FA687C" w:rsidRDefault="007F7D6B" w:rsidP="00B92D37">
      <w:pPr>
        <w:jc w:val="both"/>
        <w:rPr>
          <w:rFonts w:ascii="Arial" w:hAnsi="Arial" w:cs="Arial"/>
          <w:sz w:val="20"/>
          <w:szCs w:val="20"/>
        </w:rPr>
      </w:pPr>
      <w:r>
        <w:rPr>
          <w:rFonts w:ascii="Arial" w:hAnsi="Arial" w:cs="Arial"/>
          <w:sz w:val="20"/>
          <w:szCs w:val="20"/>
        </w:rPr>
        <w:t>Should a Free Zone Person generate income from activities as mentioned above, it might be considered as a qualifying free zone person provided all obligatory requirements are satisfied.</w:t>
      </w:r>
    </w:p>
    <w:p w14:paraId="66929D75" w14:textId="77777777" w:rsidR="007F7D6B" w:rsidRPr="00A86294" w:rsidRDefault="007F7D6B" w:rsidP="00B92D37">
      <w:pPr>
        <w:jc w:val="both"/>
        <w:rPr>
          <w:rFonts w:ascii="Arial" w:hAnsi="Arial" w:cs="Arial"/>
          <w:sz w:val="20"/>
          <w:szCs w:val="20"/>
        </w:rPr>
      </w:pPr>
    </w:p>
    <w:p w14:paraId="09FE9E80" w14:textId="77777777" w:rsidR="00FA687C" w:rsidRPr="006D20E6" w:rsidRDefault="00FA687C" w:rsidP="00B92D37">
      <w:pPr>
        <w:jc w:val="both"/>
        <w:rPr>
          <w:rFonts w:ascii="Arial" w:hAnsi="Arial" w:cs="Arial"/>
          <w:sz w:val="20"/>
          <w:szCs w:val="20"/>
          <w:u w:val="single"/>
        </w:rPr>
      </w:pPr>
      <w:r w:rsidRPr="006D20E6">
        <w:rPr>
          <w:rFonts w:ascii="Arial" w:hAnsi="Arial" w:cs="Arial"/>
          <w:b/>
          <w:bCs/>
          <w:sz w:val="20"/>
          <w:szCs w:val="20"/>
          <w:u w:val="single"/>
        </w:rPr>
        <w:t>Requirement 2 - Adequate substance requirements</w:t>
      </w:r>
      <w:r w:rsidRPr="006D20E6">
        <w:rPr>
          <w:rFonts w:ascii="Arial" w:hAnsi="Arial" w:cs="Arial"/>
          <w:sz w:val="20"/>
          <w:szCs w:val="20"/>
          <w:u w:val="single"/>
        </w:rPr>
        <w:t xml:space="preserve"> </w:t>
      </w:r>
    </w:p>
    <w:p w14:paraId="08133F5D" w14:textId="77777777" w:rsidR="00FA687C" w:rsidRDefault="00FA687C" w:rsidP="00B92D37">
      <w:pPr>
        <w:jc w:val="both"/>
        <w:rPr>
          <w:rFonts w:ascii="Arial" w:hAnsi="Arial" w:cs="Arial"/>
          <w:sz w:val="20"/>
          <w:szCs w:val="20"/>
        </w:rPr>
      </w:pPr>
    </w:p>
    <w:p w14:paraId="6572825D"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To meet the adequate substance requirements, a Free Zone Person must have their core-income generating activities (e.g. the activities that are of central importance) performed within the Free Zone, these can be undertaken by the Free Zone Person or outsourced to a Related Party or third party who is located in a Free Zone. </w:t>
      </w:r>
    </w:p>
    <w:p w14:paraId="750010BC" w14:textId="77777777" w:rsidR="00FA687C" w:rsidRPr="00A86294" w:rsidRDefault="00FA687C" w:rsidP="00B92D37">
      <w:pPr>
        <w:jc w:val="both"/>
        <w:rPr>
          <w:rFonts w:ascii="Arial" w:hAnsi="Arial" w:cs="Arial"/>
          <w:sz w:val="20"/>
          <w:szCs w:val="20"/>
        </w:rPr>
      </w:pPr>
    </w:p>
    <w:p w14:paraId="6C06E870" w14:textId="06DB1156" w:rsidR="00FA687C" w:rsidRPr="00A86294" w:rsidRDefault="00FA687C" w:rsidP="00B92D37">
      <w:pPr>
        <w:jc w:val="both"/>
        <w:rPr>
          <w:rFonts w:ascii="Arial" w:hAnsi="Arial" w:cs="Arial"/>
          <w:sz w:val="20"/>
          <w:szCs w:val="20"/>
        </w:rPr>
      </w:pPr>
      <w:r w:rsidRPr="00A86294">
        <w:rPr>
          <w:rFonts w:ascii="Arial" w:hAnsi="Arial" w:cs="Arial"/>
          <w:sz w:val="20"/>
          <w:szCs w:val="20"/>
        </w:rPr>
        <w:t>The Qualifying Free Zone Person must also have adequate supervision over any activities that are outsourced to a Free Zone Related Party or third party.</w:t>
      </w:r>
      <w:r w:rsidR="009460F8">
        <w:rPr>
          <w:rFonts w:ascii="Arial" w:hAnsi="Arial" w:cs="Arial"/>
          <w:sz w:val="20"/>
          <w:szCs w:val="20"/>
        </w:rPr>
        <w:t xml:space="preserve"> </w:t>
      </w:r>
      <w:r w:rsidRPr="00A86294">
        <w:rPr>
          <w:rFonts w:ascii="Arial" w:hAnsi="Arial" w:cs="Arial"/>
          <w:sz w:val="20"/>
          <w:szCs w:val="20"/>
        </w:rPr>
        <w:t xml:space="preserve">The Qualifying Free Zone Person (or its outsourced party) must be able to demonstrate that it has adequate staff and assets, and that it incurs adequate operating expenditures within the Free Zone.                                                 </w:t>
      </w:r>
    </w:p>
    <w:p w14:paraId="60100114" w14:textId="77777777" w:rsidR="00FA687C" w:rsidRPr="00A86294" w:rsidRDefault="00FA687C" w:rsidP="00B92D37">
      <w:pPr>
        <w:jc w:val="both"/>
        <w:rPr>
          <w:rFonts w:ascii="Arial" w:hAnsi="Arial" w:cs="Arial"/>
          <w:sz w:val="20"/>
          <w:szCs w:val="20"/>
        </w:rPr>
      </w:pPr>
    </w:p>
    <w:p w14:paraId="610647C9" w14:textId="1C81703D" w:rsidR="00FA687C" w:rsidRPr="00A86294" w:rsidRDefault="00FA687C" w:rsidP="00B92D37">
      <w:pPr>
        <w:jc w:val="both"/>
        <w:rPr>
          <w:rFonts w:ascii="Arial" w:hAnsi="Arial" w:cs="Arial"/>
          <w:sz w:val="20"/>
          <w:szCs w:val="20"/>
        </w:rPr>
      </w:pPr>
      <w:r w:rsidRPr="00A86294">
        <w:rPr>
          <w:rFonts w:ascii="Arial" w:hAnsi="Arial" w:cs="Arial"/>
          <w:sz w:val="20"/>
          <w:szCs w:val="20"/>
        </w:rPr>
        <w:t>A</w:t>
      </w:r>
      <w:r w:rsidR="00066484">
        <w:rPr>
          <w:rFonts w:ascii="Arial" w:hAnsi="Arial" w:cs="Arial"/>
          <w:sz w:val="20"/>
          <w:szCs w:val="20"/>
        </w:rPr>
        <w:t>s</w:t>
      </w:r>
      <w:r w:rsidRPr="00A86294">
        <w:rPr>
          <w:rFonts w:ascii="Arial" w:hAnsi="Arial" w:cs="Arial"/>
          <w:sz w:val="20"/>
          <w:szCs w:val="20"/>
        </w:rPr>
        <w:t xml:space="preserve"> business vary, adequate substance is determined on a case-by-case basis, following the test criteria. This may include the number of qualified full-time employees, adequate operating expenditure and physical assets. In any case, the analysis also takes into account the nature and level of activities performed by the Qualifying Free Zone Person, the Qualifying Income earned, and any other relevant facts and circumstances.</w:t>
      </w:r>
    </w:p>
    <w:p w14:paraId="48FCDCF6" w14:textId="77777777" w:rsidR="00FA687C" w:rsidRPr="00A86294" w:rsidRDefault="00FA687C" w:rsidP="00B92D37">
      <w:pPr>
        <w:jc w:val="both"/>
        <w:rPr>
          <w:rFonts w:ascii="Arial" w:hAnsi="Arial" w:cs="Arial"/>
          <w:sz w:val="20"/>
          <w:szCs w:val="20"/>
        </w:rPr>
      </w:pPr>
    </w:p>
    <w:p w14:paraId="27B59545" w14:textId="77777777" w:rsidR="00FA687C" w:rsidRPr="006D20E6" w:rsidRDefault="00FA687C" w:rsidP="00B92D37">
      <w:pPr>
        <w:jc w:val="both"/>
        <w:rPr>
          <w:rFonts w:ascii="Arial" w:hAnsi="Arial" w:cs="Arial"/>
          <w:sz w:val="20"/>
          <w:szCs w:val="20"/>
          <w:u w:val="single"/>
        </w:rPr>
      </w:pPr>
      <w:r>
        <w:rPr>
          <w:rFonts w:ascii="Arial" w:hAnsi="Arial" w:cs="Arial"/>
          <w:b/>
          <w:bCs/>
          <w:sz w:val="20"/>
          <w:szCs w:val="20"/>
          <w:u w:val="single"/>
        </w:rPr>
        <w:t xml:space="preserve">Requirement 3 - </w:t>
      </w:r>
      <w:r w:rsidRPr="006D20E6">
        <w:rPr>
          <w:rFonts w:ascii="Arial" w:hAnsi="Arial" w:cs="Arial"/>
          <w:b/>
          <w:bCs/>
          <w:sz w:val="20"/>
          <w:szCs w:val="20"/>
          <w:u w:val="single"/>
        </w:rPr>
        <w:t>The de minimis requirement</w:t>
      </w:r>
      <w:r w:rsidRPr="006D20E6">
        <w:rPr>
          <w:rFonts w:ascii="Arial" w:hAnsi="Arial" w:cs="Arial"/>
          <w:sz w:val="20"/>
          <w:szCs w:val="20"/>
          <w:u w:val="single"/>
        </w:rPr>
        <w:t xml:space="preserve">  </w:t>
      </w:r>
    </w:p>
    <w:p w14:paraId="7C2C51FA" w14:textId="77777777" w:rsidR="00FA687C" w:rsidRPr="00A86294" w:rsidRDefault="00FA687C" w:rsidP="00B92D37">
      <w:pPr>
        <w:jc w:val="both"/>
        <w:rPr>
          <w:rFonts w:ascii="Arial" w:hAnsi="Arial" w:cs="Arial"/>
          <w:sz w:val="20"/>
          <w:szCs w:val="20"/>
        </w:rPr>
      </w:pPr>
    </w:p>
    <w:p w14:paraId="4B51E2D3"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For a Free Zone Person to be a Qualifying Free Zone Person, the de minimis requirements must be met.</w:t>
      </w:r>
    </w:p>
    <w:p w14:paraId="1F778DFF" w14:textId="77777777" w:rsidR="00FA687C" w:rsidRPr="00A86294" w:rsidRDefault="00FA687C" w:rsidP="00B92D37">
      <w:pPr>
        <w:jc w:val="both"/>
        <w:rPr>
          <w:rFonts w:ascii="Arial" w:hAnsi="Arial" w:cs="Arial"/>
          <w:sz w:val="20"/>
          <w:szCs w:val="20"/>
        </w:rPr>
      </w:pPr>
    </w:p>
    <w:p w14:paraId="488F4534" w14:textId="77777777" w:rsidR="00FA687C" w:rsidRDefault="00FA687C" w:rsidP="00B92D37">
      <w:pPr>
        <w:jc w:val="both"/>
        <w:rPr>
          <w:rFonts w:ascii="Arial" w:hAnsi="Arial" w:cs="Arial"/>
          <w:sz w:val="20"/>
          <w:szCs w:val="20"/>
        </w:rPr>
      </w:pPr>
      <w:r w:rsidRPr="00A86294">
        <w:rPr>
          <w:rFonts w:ascii="Arial" w:hAnsi="Arial" w:cs="Arial"/>
          <w:sz w:val="20"/>
          <w:szCs w:val="20"/>
        </w:rPr>
        <w:t xml:space="preserve">The de minimis requirements are met where the non-qualifying Revenue in a Tax Period does not exceed the </w:t>
      </w:r>
      <w:r w:rsidRPr="00B92D37">
        <w:rPr>
          <w:rFonts w:ascii="Arial" w:hAnsi="Arial" w:cs="Arial"/>
          <w:sz w:val="20"/>
          <w:szCs w:val="20"/>
          <w:u w:val="single"/>
        </w:rPr>
        <w:t>lower of</w:t>
      </w:r>
      <w:r w:rsidRPr="00A86294">
        <w:rPr>
          <w:rFonts w:ascii="Arial" w:hAnsi="Arial" w:cs="Arial"/>
          <w:sz w:val="20"/>
          <w:szCs w:val="20"/>
        </w:rPr>
        <w:t>:</w:t>
      </w:r>
    </w:p>
    <w:p w14:paraId="3B5EC65D" w14:textId="77777777" w:rsidR="00FA687C" w:rsidRPr="00A86294" w:rsidRDefault="00FA687C" w:rsidP="00B92D37">
      <w:pPr>
        <w:jc w:val="both"/>
        <w:rPr>
          <w:rFonts w:ascii="Arial" w:hAnsi="Arial" w:cs="Arial"/>
          <w:sz w:val="20"/>
          <w:szCs w:val="20"/>
        </w:rPr>
      </w:pPr>
    </w:p>
    <w:p w14:paraId="3DECBBE5"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AED 5,000,000; </w:t>
      </w:r>
    </w:p>
    <w:p w14:paraId="3DF11F6D" w14:textId="77777777" w:rsidR="00FA687C" w:rsidRDefault="00FA687C" w:rsidP="00B92D37">
      <w:pPr>
        <w:jc w:val="both"/>
        <w:rPr>
          <w:rFonts w:ascii="Arial" w:hAnsi="Arial" w:cs="Arial"/>
          <w:sz w:val="20"/>
          <w:szCs w:val="20"/>
        </w:rPr>
      </w:pPr>
      <w:r w:rsidRPr="00A86294">
        <w:rPr>
          <w:rFonts w:ascii="Arial" w:hAnsi="Arial" w:cs="Arial"/>
          <w:sz w:val="20"/>
          <w:szCs w:val="20"/>
        </w:rPr>
        <w:t>a</w:t>
      </w:r>
      <w:r>
        <w:rPr>
          <w:rFonts w:ascii="Arial" w:hAnsi="Arial" w:cs="Arial"/>
          <w:sz w:val="20"/>
          <w:szCs w:val="20"/>
        </w:rPr>
        <w:t>nd</w:t>
      </w:r>
    </w:p>
    <w:p w14:paraId="664F6D44"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 xml:space="preserve">• 5% of total Revenue (calculated as total amount of non-qualifying Revenue total Revenue).  </w:t>
      </w:r>
    </w:p>
    <w:p w14:paraId="101FAD49" w14:textId="77777777" w:rsidR="00FA687C" w:rsidRPr="00A86294" w:rsidRDefault="00FA687C" w:rsidP="00B92D37">
      <w:pPr>
        <w:jc w:val="both"/>
        <w:rPr>
          <w:rFonts w:ascii="Arial" w:hAnsi="Arial" w:cs="Arial"/>
          <w:sz w:val="20"/>
          <w:szCs w:val="20"/>
        </w:rPr>
      </w:pPr>
    </w:p>
    <w:p w14:paraId="2A478C5B" w14:textId="77777777" w:rsidR="00FA687C" w:rsidRPr="00A86294" w:rsidRDefault="00FA687C" w:rsidP="00B92D37">
      <w:pPr>
        <w:jc w:val="both"/>
        <w:rPr>
          <w:rFonts w:ascii="Arial" w:hAnsi="Arial" w:cs="Arial"/>
          <w:sz w:val="20"/>
          <w:szCs w:val="20"/>
        </w:rPr>
      </w:pPr>
      <w:r w:rsidRPr="00A86294">
        <w:rPr>
          <w:rFonts w:ascii="Arial" w:hAnsi="Arial" w:cs="Arial"/>
          <w:sz w:val="20"/>
          <w:szCs w:val="20"/>
        </w:rPr>
        <w:t>The de minimis requirement allows a Qualifying Free Zone Person to earn a small or incidental amount of non-qualifying Income without being disqualified from the Free Zone Corporate Tax</w:t>
      </w:r>
      <w:r>
        <w:rPr>
          <w:rFonts w:ascii="Arial" w:hAnsi="Arial" w:cs="Arial"/>
          <w:sz w:val="20"/>
          <w:szCs w:val="20"/>
        </w:rPr>
        <w:t xml:space="preserve"> </w:t>
      </w:r>
      <w:r w:rsidRPr="00A86294">
        <w:rPr>
          <w:rFonts w:ascii="Arial" w:hAnsi="Arial" w:cs="Arial"/>
          <w:sz w:val="20"/>
          <w:szCs w:val="20"/>
        </w:rPr>
        <w:t>regime</w:t>
      </w:r>
      <w:r>
        <w:rPr>
          <w:rFonts w:ascii="Arial" w:hAnsi="Arial" w:cs="Arial"/>
          <w:sz w:val="20"/>
          <w:szCs w:val="20"/>
        </w:rPr>
        <w:t>.</w:t>
      </w:r>
    </w:p>
    <w:p w14:paraId="15E059CD" w14:textId="77777777" w:rsidR="00FA687C" w:rsidRPr="00A86294" w:rsidRDefault="00FA687C" w:rsidP="00B92D37">
      <w:pPr>
        <w:jc w:val="both"/>
        <w:rPr>
          <w:rFonts w:ascii="Arial" w:hAnsi="Arial" w:cs="Arial"/>
          <w:sz w:val="20"/>
          <w:szCs w:val="20"/>
        </w:rPr>
      </w:pPr>
    </w:p>
    <w:p w14:paraId="5AE1BFAC" w14:textId="77777777" w:rsidR="00FA687C" w:rsidRPr="00FC7598" w:rsidRDefault="00FA687C" w:rsidP="00B92D37">
      <w:pPr>
        <w:jc w:val="both"/>
        <w:rPr>
          <w:rFonts w:ascii="Arial" w:hAnsi="Arial" w:cs="Arial"/>
          <w:sz w:val="20"/>
          <w:szCs w:val="20"/>
        </w:rPr>
      </w:pPr>
      <w:r w:rsidRPr="00FC7598">
        <w:rPr>
          <w:rFonts w:ascii="Arial" w:hAnsi="Arial" w:cs="Arial"/>
          <w:sz w:val="20"/>
          <w:szCs w:val="20"/>
        </w:rPr>
        <w:t>Where the requirement has been met, income that does not fulfil the first two categories of Qualifying Income will be treated as Qualifying Income.</w:t>
      </w:r>
    </w:p>
    <w:p w14:paraId="54DCE7F0" w14:textId="697BD40A" w:rsidR="003E6ABB" w:rsidRPr="00FC7598" w:rsidRDefault="003E6ABB" w:rsidP="00B92D37">
      <w:pPr>
        <w:jc w:val="both"/>
        <w:rPr>
          <w:rFonts w:ascii="Arial" w:hAnsi="Arial" w:cs="Arial"/>
          <w:sz w:val="20"/>
          <w:szCs w:val="20"/>
        </w:rPr>
      </w:pPr>
    </w:p>
    <w:p w14:paraId="75190BFD" w14:textId="04A7B613" w:rsidR="00E17828" w:rsidRPr="00FC7598" w:rsidRDefault="00E17828" w:rsidP="00B92D37">
      <w:pPr>
        <w:jc w:val="both"/>
        <w:rPr>
          <w:rFonts w:ascii="Arial" w:hAnsi="Arial" w:cs="Arial"/>
          <w:b/>
          <w:bCs/>
          <w:sz w:val="20"/>
          <w:szCs w:val="20"/>
        </w:rPr>
      </w:pPr>
      <w:r w:rsidRPr="00FC7598">
        <w:rPr>
          <w:rFonts w:ascii="Arial" w:hAnsi="Arial" w:cs="Arial"/>
          <w:b/>
          <w:bCs/>
          <w:sz w:val="20"/>
          <w:szCs w:val="20"/>
        </w:rPr>
        <w:t>IMPORTANT NOTE:</w:t>
      </w:r>
    </w:p>
    <w:p w14:paraId="20410EC6" w14:textId="77777777" w:rsidR="009460F8" w:rsidRDefault="009460F8" w:rsidP="00B92D37">
      <w:pPr>
        <w:jc w:val="both"/>
        <w:rPr>
          <w:b/>
          <w:bCs/>
        </w:rPr>
      </w:pPr>
    </w:p>
    <w:p w14:paraId="14BD41E8" w14:textId="3AF9C1DB" w:rsidR="009460F8" w:rsidRDefault="00E17828" w:rsidP="00B92D37">
      <w:pPr>
        <w:pStyle w:val="ListParagraph"/>
        <w:numPr>
          <w:ilvl w:val="0"/>
          <w:numId w:val="3"/>
        </w:numPr>
        <w:jc w:val="both"/>
        <w:rPr>
          <w:rFonts w:ascii="Arial" w:hAnsi="Arial" w:cs="Arial"/>
          <w:sz w:val="20"/>
          <w:szCs w:val="20"/>
        </w:rPr>
      </w:pPr>
      <w:r w:rsidRPr="00B92D37">
        <w:rPr>
          <w:rFonts w:ascii="Arial" w:hAnsi="Arial" w:cs="Arial"/>
          <w:sz w:val="20"/>
          <w:szCs w:val="20"/>
        </w:rPr>
        <w:t xml:space="preserve">If any of 6 conditions listed above </w:t>
      </w:r>
      <w:r w:rsidR="009460F8" w:rsidRPr="00B92D37">
        <w:rPr>
          <w:rFonts w:ascii="Arial" w:hAnsi="Arial" w:cs="Arial"/>
          <w:sz w:val="20"/>
          <w:szCs w:val="20"/>
        </w:rPr>
        <w:t>is</w:t>
      </w:r>
      <w:r w:rsidRPr="00B92D37">
        <w:rPr>
          <w:rFonts w:ascii="Arial" w:hAnsi="Arial" w:cs="Arial"/>
          <w:sz w:val="20"/>
          <w:szCs w:val="20"/>
        </w:rPr>
        <w:t xml:space="preserve"> not satisfied, the Free Zone Person will lose the right to ap</w:t>
      </w:r>
      <w:r w:rsidR="009460F8" w:rsidRPr="00B92D37">
        <w:rPr>
          <w:rFonts w:ascii="Arial" w:hAnsi="Arial" w:cs="Arial"/>
          <w:sz w:val="20"/>
          <w:szCs w:val="20"/>
        </w:rPr>
        <w:t>pl</w:t>
      </w:r>
      <w:r w:rsidRPr="00B92D37">
        <w:rPr>
          <w:rFonts w:ascii="Arial" w:hAnsi="Arial" w:cs="Arial"/>
          <w:sz w:val="20"/>
          <w:szCs w:val="20"/>
        </w:rPr>
        <w:t>y 0% rate on ALL its pro</w:t>
      </w:r>
      <w:r w:rsidR="009460F8" w:rsidRPr="00B92D37">
        <w:rPr>
          <w:rFonts w:ascii="Arial" w:hAnsi="Arial" w:cs="Arial"/>
          <w:sz w:val="20"/>
          <w:szCs w:val="20"/>
        </w:rPr>
        <w:t xml:space="preserve">fits for </w:t>
      </w:r>
      <w:r w:rsidR="00C46F3E">
        <w:rPr>
          <w:rFonts w:ascii="Arial" w:hAnsi="Arial" w:cs="Arial"/>
          <w:sz w:val="20"/>
          <w:szCs w:val="20"/>
        </w:rPr>
        <w:t>4</w:t>
      </w:r>
      <w:r w:rsidR="009460F8" w:rsidRPr="00B92D37">
        <w:rPr>
          <w:rFonts w:ascii="Arial" w:hAnsi="Arial" w:cs="Arial"/>
          <w:sz w:val="20"/>
          <w:szCs w:val="20"/>
        </w:rPr>
        <w:t xml:space="preserve"> consecutive years. </w:t>
      </w:r>
    </w:p>
    <w:p w14:paraId="5DF10D66" w14:textId="5C038477" w:rsidR="008424EA" w:rsidRDefault="008424EA" w:rsidP="008424EA">
      <w:pPr>
        <w:ind w:left="360"/>
        <w:jc w:val="both"/>
        <w:rPr>
          <w:rFonts w:ascii="Arial" w:hAnsi="Arial" w:cs="Arial"/>
          <w:sz w:val="20"/>
          <w:szCs w:val="20"/>
        </w:rPr>
      </w:pPr>
    </w:p>
    <w:p w14:paraId="25251E2B" w14:textId="77777777" w:rsidR="008424EA" w:rsidRDefault="008424EA" w:rsidP="008424EA">
      <w:pPr>
        <w:ind w:left="360"/>
        <w:jc w:val="both"/>
        <w:rPr>
          <w:rFonts w:ascii="Arial" w:hAnsi="Arial" w:cs="Arial"/>
          <w:sz w:val="20"/>
          <w:szCs w:val="20"/>
        </w:rPr>
      </w:pPr>
    </w:p>
    <w:p w14:paraId="0C5652B4" w14:textId="77777777" w:rsidR="008424EA" w:rsidRDefault="008424EA" w:rsidP="008424EA">
      <w:pPr>
        <w:ind w:left="360"/>
        <w:jc w:val="both"/>
        <w:rPr>
          <w:rFonts w:ascii="Arial" w:hAnsi="Arial" w:cs="Arial"/>
          <w:sz w:val="20"/>
          <w:szCs w:val="20"/>
          <w:lang w:val="ru-RU"/>
        </w:rPr>
      </w:pPr>
      <w:r>
        <w:rPr>
          <w:rFonts w:ascii="Arial" w:hAnsi="Arial" w:cs="Arial"/>
          <w:sz w:val="20"/>
          <w:szCs w:val="20"/>
        </w:rPr>
        <w:t xml:space="preserve">If you are interested, please approach InBusiness for Consultation.  </w:t>
      </w:r>
    </w:p>
    <w:p w14:paraId="6411CA05" w14:textId="09152C6F" w:rsidR="008424EA" w:rsidRPr="008424EA" w:rsidRDefault="008424EA" w:rsidP="008424EA">
      <w:pPr>
        <w:ind w:left="360"/>
        <w:jc w:val="both"/>
        <w:rPr>
          <w:rFonts w:ascii="Arial" w:hAnsi="Arial" w:cs="Arial"/>
          <w:sz w:val="20"/>
          <w:szCs w:val="20"/>
          <w:u w:val="single"/>
          <w:lang w:val="en-GB"/>
        </w:rPr>
      </w:pPr>
      <w:commentRangeStart w:id="1"/>
      <w:r w:rsidRPr="008424EA">
        <w:rPr>
          <w:rFonts w:ascii="Arial" w:hAnsi="Arial" w:cs="Arial"/>
          <w:sz w:val="20"/>
          <w:szCs w:val="20"/>
          <w:u w:val="single"/>
        </w:rPr>
        <w:t xml:space="preserve">Learn more at InBusiness.com </w:t>
      </w:r>
      <w:r w:rsidRPr="008424EA">
        <w:rPr>
          <w:rFonts w:ascii="Arial" w:hAnsi="Arial" w:cs="Arial"/>
          <w:sz w:val="20"/>
          <w:szCs w:val="20"/>
          <w:u w:val="single"/>
        </w:rPr>
        <w:t>→</w:t>
      </w:r>
      <w:commentRangeEnd w:id="1"/>
      <w:r>
        <w:rPr>
          <w:rStyle w:val="CommentReference"/>
        </w:rPr>
        <w:commentReference w:id="1"/>
      </w:r>
    </w:p>
    <w:sectPr w:rsidR="008424EA" w:rsidRPr="008424EA" w:rsidSect="00FA687C">
      <w:headerReference w:type="default" r:id="rId1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ina Rustamzoda" w:date="2025-12-29T13:12:00Z" w:initials="MR">
    <w:p w14:paraId="33DC9C87" w14:textId="77777777" w:rsidR="008424EA" w:rsidRDefault="008424EA" w:rsidP="008424EA">
      <w:pPr>
        <w:pStyle w:val="CommentText"/>
      </w:pPr>
      <w:r>
        <w:rPr>
          <w:rStyle w:val="CommentReference"/>
        </w:rPr>
        <w:annotationRef/>
      </w:r>
      <w:r>
        <w:t xml:space="preserve">Link should be to Contact Us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DC9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8D0969" w16cex:dateUtc="2025-12-29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C9C87" w16cid:durableId="488D09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ACD1" w14:textId="77777777" w:rsidR="009778A0" w:rsidRDefault="009778A0" w:rsidP="00791196">
      <w:r>
        <w:separator/>
      </w:r>
    </w:p>
  </w:endnote>
  <w:endnote w:type="continuationSeparator" w:id="0">
    <w:p w14:paraId="3640DE00" w14:textId="77777777" w:rsidR="009778A0" w:rsidRDefault="009778A0" w:rsidP="0079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42C6" w14:textId="77777777" w:rsidR="009778A0" w:rsidRDefault="009778A0" w:rsidP="00791196">
      <w:r>
        <w:separator/>
      </w:r>
    </w:p>
  </w:footnote>
  <w:footnote w:type="continuationSeparator" w:id="0">
    <w:p w14:paraId="28109130" w14:textId="77777777" w:rsidR="009778A0" w:rsidRDefault="009778A0" w:rsidP="0079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714" w14:textId="6A573088" w:rsidR="00066484" w:rsidRDefault="00066484">
    <w:pPr>
      <w:pStyle w:val="Header"/>
    </w:pPr>
    <w:r w:rsidRPr="00971E13">
      <w:rPr>
        <w:noProof/>
      </w:rPr>
      <w:drawing>
        <wp:inline distT="0" distB="0" distL="0" distR="0" wp14:anchorId="2DEDAFAB" wp14:editId="29EE8D45">
          <wp:extent cx="1454150" cy="347305"/>
          <wp:effectExtent l="0" t="0" r="0" b="0"/>
          <wp:docPr id="11" name="Picture 10">
            <a:extLst xmlns:a="http://schemas.openxmlformats.org/drawingml/2006/main">
              <a:ext uri="{FF2B5EF4-FFF2-40B4-BE49-F238E27FC236}">
                <a16:creationId xmlns:a16="http://schemas.microsoft.com/office/drawing/2014/main" id="{74F02C95-6620-5F44-ACBB-97BBAF47AE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4F02C95-6620-5F44-ACBB-97BBAF47AE1B}"/>
                      </a:ext>
                    </a:extLst>
                  </pic:cNvPr>
                  <pic:cNvPicPr>
                    <a:picLocks noChangeAspect="1"/>
                  </pic:cNvPicPr>
                </pic:nvPicPr>
                <pic:blipFill>
                  <a:blip r:embed="rId1"/>
                  <a:stretch>
                    <a:fillRect/>
                  </a:stretch>
                </pic:blipFill>
                <pic:spPr>
                  <a:xfrm>
                    <a:off x="0" y="0"/>
                    <a:ext cx="1496158" cy="357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6A2D"/>
    <w:multiLevelType w:val="hybridMultilevel"/>
    <w:tmpl w:val="EF986234"/>
    <w:lvl w:ilvl="0" w:tplc="2A80B616">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545D4673"/>
    <w:multiLevelType w:val="hybridMultilevel"/>
    <w:tmpl w:val="480447CE"/>
    <w:lvl w:ilvl="0" w:tplc="86421D82">
      <w:start w:val="1"/>
      <w:numFmt w:val="decimal"/>
      <w:lvlText w:val="%1)"/>
      <w:lvlJc w:val="left"/>
      <w:pPr>
        <w:ind w:left="420" w:hanging="360"/>
      </w:pPr>
      <w:rPr>
        <w:rFonts w:hint="default"/>
      </w:rPr>
    </w:lvl>
    <w:lvl w:ilvl="1" w:tplc="4C090019" w:tentative="1">
      <w:start w:val="1"/>
      <w:numFmt w:val="lowerLetter"/>
      <w:lvlText w:val="%2."/>
      <w:lvlJc w:val="left"/>
      <w:pPr>
        <w:ind w:left="1140" w:hanging="360"/>
      </w:pPr>
    </w:lvl>
    <w:lvl w:ilvl="2" w:tplc="4C09001B" w:tentative="1">
      <w:start w:val="1"/>
      <w:numFmt w:val="lowerRoman"/>
      <w:lvlText w:val="%3."/>
      <w:lvlJc w:val="right"/>
      <w:pPr>
        <w:ind w:left="1860" w:hanging="180"/>
      </w:pPr>
    </w:lvl>
    <w:lvl w:ilvl="3" w:tplc="4C09000F" w:tentative="1">
      <w:start w:val="1"/>
      <w:numFmt w:val="decimal"/>
      <w:lvlText w:val="%4."/>
      <w:lvlJc w:val="left"/>
      <w:pPr>
        <w:ind w:left="2580" w:hanging="360"/>
      </w:pPr>
    </w:lvl>
    <w:lvl w:ilvl="4" w:tplc="4C090019" w:tentative="1">
      <w:start w:val="1"/>
      <w:numFmt w:val="lowerLetter"/>
      <w:lvlText w:val="%5."/>
      <w:lvlJc w:val="left"/>
      <w:pPr>
        <w:ind w:left="3300" w:hanging="360"/>
      </w:pPr>
    </w:lvl>
    <w:lvl w:ilvl="5" w:tplc="4C09001B" w:tentative="1">
      <w:start w:val="1"/>
      <w:numFmt w:val="lowerRoman"/>
      <w:lvlText w:val="%6."/>
      <w:lvlJc w:val="right"/>
      <w:pPr>
        <w:ind w:left="4020" w:hanging="180"/>
      </w:pPr>
    </w:lvl>
    <w:lvl w:ilvl="6" w:tplc="4C09000F" w:tentative="1">
      <w:start w:val="1"/>
      <w:numFmt w:val="decimal"/>
      <w:lvlText w:val="%7."/>
      <w:lvlJc w:val="left"/>
      <w:pPr>
        <w:ind w:left="4740" w:hanging="360"/>
      </w:pPr>
    </w:lvl>
    <w:lvl w:ilvl="7" w:tplc="4C090019" w:tentative="1">
      <w:start w:val="1"/>
      <w:numFmt w:val="lowerLetter"/>
      <w:lvlText w:val="%8."/>
      <w:lvlJc w:val="left"/>
      <w:pPr>
        <w:ind w:left="5460" w:hanging="360"/>
      </w:pPr>
    </w:lvl>
    <w:lvl w:ilvl="8" w:tplc="4C09001B" w:tentative="1">
      <w:start w:val="1"/>
      <w:numFmt w:val="lowerRoman"/>
      <w:lvlText w:val="%9."/>
      <w:lvlJc w:val="right"/>
      <w:pPr>
        <w:ind w:left="6180" w:hanging="180"/>
      </w:pPr>
    </w:lvl>
  </w:abstractNum>
  <w:abstractNum w:abstractNumId="2" w15:restartNumberingAfterBreak="0">
    <w:nsid w:val="5C3D4FDC"/>
    <w:multiLevelType w:val="hybridMultilevel"/>
    <w:tmpl w:val="9928FB0A"/>
    <w:lvl w:ilvl="0" w:tplc="381843D4">
      <w:start w:val="1"/>
      <w:numFmt w:val="decimal"/>
      <w:lvlText w:val="%1)"/>
      <w:lvlJc w:val="left"/>
      <w:pPr>
        <w:ind w:left="420" w:hanging="360"/>
      </w:pPr>
      <w:rPr>
        <w:rFonts w:hint="default"/>
      </w:rPr>
    </w:lvl>
    <w:lvl w:ilvl="1" w:tplc="4C090019" w:tentative="1">
      <w:start w:val="1"/>
      <w:numFmt w:val="lowerLetter"/>
      <w:lvlText w:val="%2."/>
      <w:lvlJc w:val="left"/>
      <w:pPr>
        <w:ind w:left="1140" w:hanging="360"/>
      </w:pPr>
    </w:lvl>
    <w:lvl w:ilvl="2" w:tplc="4C09001B" w:tentative="1">
      <w:start w:val="1"/>
      <w:numFmt w:val="lowerRoman"/>
      <w:lvlText w:val="%3."/>
      <w:lvlJc w:val="right"/>
      <w:pPr>
        <w:ind w:left="1860" w:hanging="180"/>
      </w:pPr>
    </w:lvl>
    <w:lvl w:ilvl="3" w:tplc="4C09000F" w:tentative="1">
      <w:start w:val="1"/>
      <w:numFmt w:val="decimal"/>
      <w:lvlText w:val="%4."/>
      <w:lvlJc w:val="left"/>
      <w:pPr>
        <w:ind w:left="2580" w:hanging="360"/>
      </w:pPr>
    </w:lvl>
    <w:lvl w:ilvl="4" w:tplc="4C090019" w:tentative="1">
      <w:start w:val="1"/>
      <w:numFmt w:val="lowerLetter"/>
      <w:lvlText w:val="%5."/>
      <w:lvlJc w:val="left"/>
      <w:pPr>
        <w:ind w:left="3300" w:hanging="360"/>
      </w:pPr>
    </w:lvl>
    <w:lvl w:ilvl="5" w:tplc="4C09001B" w:tentative="1">
      <w:start w:val="1"/>
      <w:numFmt w:val="lowerRoman"/>
      <w:lvlText w:val="%6."/>
      <w:lvlJc w:val="right"/>
      <w:pPr>
        <w:ind w:left="4020" w:hanging="180"/>
      </w:pPr>
    </w:lvl>
    <w:lvl w:ilvl="6" w:tplc="4C09000F" w:tentative="1">
      <w:start w:val="1"/>
      <w:numFmt w:val="decimal"/>
      <w:lvlText w:val="%7."/>
      <w:lvlJc w:val="left"/>
      <w:pPr>
        <w:ind w:left="4740" w:hanging="360"/>
      </w:pPr>
    </w:lvl>
    <w:lvl w:ilvl="7" w:tplc="4C090019" w:tentative="1">
      <w:start w:val="1"/>
      <w:numFmt w:val="lowerLetter"/>
      <w:lvlText w:val="%8."/>
      <w:lvlJc w:val="left"/>
      <w:pPr>
        <w:ind w:left="5460" w:hanging="360"/>
      </w:pPr>
    </w:lvl>
    <w:lvl w:ilvl="8" w:tplc="4C09001B" w:tentative="1">
      <w:start w:val="1"/>
      <w:numFmt w:val="lowerRoman"/>
      <w:lvlText w:val="%9."/>
      <w:lvlJc w:val="right"/>
      <w:pPr>
        <w:ind w:left="6180" w:hanging="180"/>
      </w:pPr>
    </w:lvl>
  </w:abstractNum>
  <w:num w:numId="1" w16cid:durableId="1602761095">
    <w:abstractNumId w:val="1"/>
  </w:num>
  <w:num w:numId="2" w16cid:durableId="974414714">
    <w:abstractNumId w:val="2"/>
  </w:num>
  <w:num w:numId="3" w16cid:durableId="1366100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ina Rustamzoda">
    <w15:presenceInfo w15:providerId="Windows Live" w15:userId="db91a8014535ec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0"/>
    <w:rsid w:val="00051F45"/>
    <w:rsid w:val="00066484"/>
    <w:rsid w:val="001D4D69"/>
    <w:rsid w:val="003E6ABB"/>
    <w:rsid w:val="00400398"/>
    <w:rsid w:val="00457EA8"/>
    <w:rsid w:val="00637238"/>
    <w:rsid w:val="0070043E"/>
    <w:rsid w:val="00791196"/>
    <w:rsid w:val="007F7D6B"/>
    <w:rsid w:val="008424EA"/>
    <w:rsid w:val="008B1448"/>
    <w:rsid w:val="008F7954"/>
    <w:rsid w:val="009460F8"/>
    <w:rsid w:val="0095331E"/>
    <w:rsid w:val="009778A0"/>
    <w:rsid w:val="00B92D37"/>
    <w:rsid w:val="00BA4FF0"/>
    <w:rsid w:val="00C46F3E"/>
    <w:rsid w:val="00E17828"/>
    <w:rsid w:val="00FA687C"/>
    <w:rsid w:val="00FC7598"/>
    <w:rsid w:val="00FE0A85"/>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180F"/>
  <w15:chartTrackingRefBased/>
  <w15:docId w15:val="{E8BB5A14-EF27-4F8A-B225-20AFB18C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7C"/>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87C"/>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FA687C"/>
    <w:pPr>
      <w:ind w:left="720"/>
      <w:contextualSpacing/>
    </w:pPr>
  </w:style>
  <w:style w:type="paragraph" w:styleId="Header">
    <w:name w:val="header"/>
    <w:basedOn w:val="Normal"/>
    <w:link w:val="HeaderChar"/>
    <w:uiPriority w:val="99"/>
    <w:unhideWhenUsed/>
    <w:rsid w:val="00791196"/>
    <w:pPr>
      <w:tabs>
        <w:tab w:val="center" w:pos="4513"/>
        <w:tab w:val="right" w:pos="9026"/>
      </w:tabs>
    </w:pPr>
  </w:style>
  <w:style w:type="character" w:customStyle="1" w:styleId="HeaderChar">
    <w:name w:val="Header Char"/>
    <w:basedOn w:val="DefaultParagraphFont"/>
    <w:link w:val="Header"/>
    <w:uiPriority w:val="99"/>
    <w:rsid w:val="00791196"/>
    <w:rPr>
      <w:rFonts w:ascii="Calibri" w:hAnsi="Calibri" w:cs="Calibri"/>
      <w:kern w:val="0"/>
    </w:rPr>
  </w:style>
  <w:style w:type="paragraph" w:styleId="Footer">
    <w:name w:val="footer"/>
    <w:basedOn w:val="Normal"/>
    <w:link w:val="FooterChar"/>
    <w:uiPriority w:val="99"/>
    <w:unhideWhenUsed/>
    <w:rsid w:val="00791196"/>
    <w:pPr>
      <w:tabs>
        <w:tab w:val="center" w:pos="4513"/>
        <w:tab w:val="right" w:pos="9026"/>
      </w:tabs>
    </w:pPr>
  </w:style>
  <w:style w:type="character" w:customStyle="1" w:styleId="FooterChar">
    <w:name w:val="Footer Char"/>
    <w:basedOn w:val="DefaultParagraphFont"/>
    <w:link w:val="Footer"/>
    <w:uiPriority w:val="99"/>
    <w:rsid w:val="00791196"/>
    <w:rPr>
      <w:rFonts w:ascii="Calibri" w:hAnsi="Calibri" w:cs="Calibri"/>
      <w:kern w:val="0"/>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rPr>
      <w:sz w:val="20"/>
      <w:szCs w:val="20"/>
    </w:rPr>
  </w:style>
  <w:style w:type="character" w:customStyle="1" w:styleId="CommentTextChar">
    <w:name w:val="Comment Text Char"/>
    <w:basedOn w:val="DefaultParagraphFont"/>
    <w:link w:val="CommentText"/>
    <w:uiPriority w:val="99"/>
    <w:rsid w:val="008424EA"/>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Madina Rustamzoda</cp:lastModifiedBy>
  <cp:revision>12</cp:revision>
  <cp:lastPrinted>2024-08-26T11:41:00Z</cp:lastPrinted>
  <dcterms:created xsi:type="dcterms:W3CDTF">2024-08-26T10:54:00Z</dcterms:created>
  <dcterms:modified xsi:type="dcterms:W3CDTF">2025-12-29T09:12:00Z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62f6a30f-93f6-477f-be9d-6433830f5c20</vt:lpwstr>
  </property>
</Properties>
</file>