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EAF0C" w14:textId="73425495" w:rsidR="00B661AB" w:rsidRDefault="00000000">
      <w:pPr>
        <w:spacing w:after="80"/>
        <w:jc w:val="center"/>
      </w:pPr>
      <w:r>
        <w:rPr>
          <w:b/>
          <w:bCs/>
          <w:sz w:val="36"/>
          <w:szCs w:val="36"/>
        </w:rPr>
        <w:t>Service Availability</w:t>
      </w:r>
    </w:p>
    <w:p w14:paraId="7ADE2843" w14:textId="0188C233" w:rsidR="00B661AB" w:rsidRDefault="00000000">
      <w:pPr>
        <w:spacing w:after="240"/>
        <w:jc w:val="center"/>
      </w:pPr>
      <w:r>
        <w:rPr>
          <w:i/>
          <w:iCs/>
          <w:color w:val="555555"/>
        </w:rPr>
        <w:t xml:space="preserve">Last updated: </w:t>
      </w:r>
      <w:r w:rsidR="00675E83">
        <w:rPr>
          <w:i/>
          <w:iCs/>
          <w:color w:val="555555"/>
        </w:rPr>
        <w:t>June 1,</w:t>
      </w:r>
      <w:r>
        <w:rPr>
          <w:i/>
          <w:iCs/>
          <w:color w:val="555555"/>
        </w:rPr>
        <w:t xml:space="preserve"> 2026</w:t>
      </w:r>
    </w:p>
    <w:p w14:paraId="37BB886D" w14:textId="77777777" w:rsidR="00B661AB" w:rsidRDefault="00000000">
      <w:pPr>
        <w:spacing w:before="80" w:after="80"/>
        <w:jc w:val="both"/>
      </w:pPr>
      <w:r>
        <w:t xml:space="preserve">This service level agreement (the </w:t>
      </w:r>
      <w:r>
        <w:rPr>
          <w:b/>
          <w:bCs/>
        </w:rPr>
        <w:t>“SLA”</w:t>
      </w:r>
      <w:r>
        <w:t xml:space="preserve">) sets out the availability commitment that applies to the </w:t>
      </w:r>
      <w:proofErr w:type="spellStart"/>
      <w:r>
        <w:t>Qevlar</w:t>
      </w:r>
      <w:proofErr w:type="spellEnd"/>
      <w:r>
        <w:t xml:space="preserve"> AI Services (the </w:t>
      </w:r>
      <w:r>
        <w:rPr>
          <w:b/>
          <w:bCs/>
        </w:rPr>
        <w:t>“Services”</w:t>
      </w:r>
      <w:r>
        <w:t xml:space="preserve">). In the event of a conflict between this SLA and the </w:t>
      </w:r>
      <w:proofErr w:type="spellStart"/>
      <w:r>
        <w:t>Qevlar</w:t>
      </w:r>
      <w:proofErr w:type="spellEnd"/>
      <w:r>
        <w:t xml:space="preserve"> AI Master Service Agreement or other agreement governing Customer's use of the Services (as applicable, the </w:t>
      </w:r>
      <w:r>
        <w:rPr>
          <w:b/>
          <w:bCs/>
        </w:rPr>
        <w:t>“Agreement”</w:t>
      </w:r>
      <w:r>
        <w:t>), the terms and conditions of this SLA prevail with respect to such conflict. Capitalized terms used herein but not defined herein have the meanings set forth in the Agreement.</w:t>
      </w:r>
    </w:p>
    <w:p w14:paraId="306DA1A1" w14:textId="77777777" w:rsidR="00B661AB" w:rsidRDefault="00000000">
      <w:pPr>
        <w:spacing w:before="80" w:after="80"/>
        <w:jc w:val="both"/>
      </w:pPr>
      <w:r>
        <w:t xml:space="preserve">Technical support response times and incident handling are addressed in </w:t>
      </w:r>
      <w:proofErr w:type="spellStart"/>
      <w:r>
        <w:t>Qevlar</w:t>
      </w:r>
      <w:proofErr w:type="spellEnd"/>
      <w:r>
        <w:t xml:space="preserve"> AI's separate </w:t>
      </w:r>
      <w:r>
        <w:rPr>
          <w:b/>
          <w:bCs/>
        </w:rPr>
        <w:t>Support Policy</w:t>
      </w:r>
      <w:r>
        <w:t>, available at qevlar.com/legal/support-policy.</w:t>
      </w:r>
    </w:p>
    <w:p w14:paraId="78DE63C5" w14:textId="77777777" w:rsidR="00B661AB" w:rsidRDefault="00000000">
      <w:pPr>
        <w:pStyle w:val="Heading1"/>
      </w:pPr>
      <w:r>
        <w:rPr>
          <w:color w:val="000000"/>
        </w:rPr>
        <w:t>Service Availability</w:t>
      </w:r>
    </w:p>
    <w:p w14:paraId="06A664F2" w14:textId="77777777" w:rsidR="00B661AB" w:rsidRDefault="00000000">
      <w:pPr>
        <w:spacing w:before="80" w:after="80"/>
        <w:jc w:val="both"/>
      </w:pPr>
      <w:proofErr w:type="spellStart"/>
      <w:r>
        <w:t>Qevlar</w:t>
      </w:r>
      <w:proofErr w:type="spellEnd"/>
      <w:r>
        <w:t xml:space="preserve"> AI will use commercially reasonable efforts to make the Services available with the Monthly Availability Rate set out in the table below, measured per calendar month during the Subscription Term.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B661AB" w14:paraId="70C15CDB" w14:textId="77777777">
        <w:tblPrEx>
          <w:tblCellMar>
            <w:top w:w="0" w:type="dxa"/>
            <w:bottom w:w="0" w:type="dxa"/>
          </w:tblCellMar>
        </w:tblPrEx>
        <w:trPr>
          <w:tblHeader/>
        </w:trPr>
        <w:tc>
          <w:tcPr>
            <w:tcW w:w="4680" w:type="dxa"/>
            <w:tcBorders>
              <w:top w:val="single" w:sz="4" w:space="0" w:color="D1D5DB"/>
              <w:left w:val="single" w:sz="4" w:space="0" w:color="D1D5DB"/>
              <w:bottom w:val="single" w:sz="4" w:space="0" w:color="D1D5DB"/>
              <w:right w:val="single" w:sz="4" w:space="0" w:color="D1D5DB"/>
            </w:tcBorders>
            <w:shd w:val="clear" w:color="auto" w:fill="1F2937"/>
            <w:tcMar>
              <w:top w:w="100" w:type="dxa"/>
              <w:left w:w="140" w:type="dxa"/>
              <w:bottom w:w="100" w:type="dxa"/>
              <w:right w:w="140" w:type="dxa"/>
            </w:tcMar>
            <w:vAlign w:val="center"/>
          </w:tcPr>
          <w:p w14:paraId="387B4C71" w14:textId="77777777" w:rsidR="00B661AB" w:rsidRDefault="00000000">
            <w:r>
              <w:rPr>
                <w:b/>
                <w:bCs/>
                <w:color w:val="FFFFFF"/>
                <w:sz w:val="20"/>
                <w:szCs w:val="20"/>
              </w:rPr>
              <w:t>Service</w:t>
            </w:r>
          </w:p>
        </w:tc>
        <w:tc>
          <w:tcPr>
            <w:tcW w:w="4680" w:type="dxa"/>
            <w:tcBorders>
              <w:top w:val="single" w:sz="4" w:space="0" w:color="D1D5DB"/>
              <w:left w:val="single" w:sz="4" w:space="0" w:color="D1D5DB"/>
              <w:bottom w:val="single" w:sz="4" w:space="0" w:color="D1D5DB"/>
              <w:right w:val="single" w:sz="4" w:space="0" w:color="D1D5DB"/>
            </w:tcBorders>
            <w:shd w:val="clear" w:color="auto" w:fill="1F2937"/>
            <w:tcMar>
              <w:top w:w="100" w:type="dxa"/>
              <w:left w:w="140" w:type="dxa"/>
              <w:bottom w:w="100" w:type="dxa"/>
              <w:right w:w="140" w:type="dxa"/>
            </w:tcMar>
            <w:vAlign w:val="center"/>
          </w:tcPr>
          <w:p w14:paraId="6D304B30" w14:textId="77777777" w:rsidR="00B661AB" w:rsidRDefault="00000000">
            <w:r>
              <w:rPr>
                <w:b/>
                <w:bCs/>
                <w:color w:val="FFFFFF"/>
                <w:sz w:val="20"/>
                <w:szCs w:val="20"/>
              </w:rPr>
              <w:t>Monthly Availability Rate Target</w:t>
            </w:r>
          </w:p>
        </w:tc>
      </w:tr>
      <w:tr w:rsidR="00B661AB" w14:paraId="38B72309" w14:textId="77777777">
        <w:tblPrEx>
          <w:tblCellMar>
            <w:top w:w="0" w:type="dxa"/>
            <w:bottom w:w="0" w:type="dxa"/>
          </w:tblCellMar>
        </w:tblPrEx>
        <w:tc>
          <w:tcPr>
            <w:tcW w:w="4680"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vAlign w:val="center"/>
          </w:tcPr>
          <w:p w14:paraId="45143778" w14:textId="77777777" w:rsidR="00B661AB" w:rsidRDefault="00000000">
            <w:proofErr w:type="spellStart"/>
            <w:r>
              <w:rPr>
                <w:b/>
                <w:bCs/>
                <w:sz w:val="20"/>
                <w:szCs w:val="20"/>
              </w:rPr>
              <w:t>Qevlar</w:t>
            </w:r>
            <w:proofErr w:type="spellEnd"/>
            <w:r>
              <w:rPr>
                <w:b/>
                <w:bCs/>
                <w:sz w:val="20"/>
                <w:szCs w:val="20"/>
              </w:rPr>
              <w:t xml:space="preserve"> AI Services</w:t>
            </w:r>
          </w:p>
        </w:tc>
        <w:tc>
          <w:tcPr>
            <w:tcW w:w="4680"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vAlign w:val="center"/>
          </w:tcPr>
          <w:p w14:paraId="33A0BE73" w14:textId="77777777" w:rsidR="00B661AB" w:rsidRDefault="00000000">
            <w:r>
              <w:rPr>
                <w:sz w:val="20"/>
                <w:szCs w:val="20"/>
              </w:rPr>
              <w:t>equal to or greater than 99.5%</w:t>
            </w:r>
          </w:p>
        </w:tc>
      </w:tr>
    </w:tbl>
    <w:p w14:paraId="64C7E144" w14:textId="77777777" w:rsidR="00B661AB" w:rsidRDefault="00000000">
      <w:pPr>
        <w:spacing w:before="80" w:after="80"/>
        <w:jc w:val="both"/>
      </w:pPr>
      <w:r>
        <w:t xml:space="preserve">The </w:t>
      </w:r>
      <w:r>
        <w:rPr>
          <w:b/>
          <w:bCs/>
        </w:rPr>
        <w:t>“Monthly Availability Rate”</w:t>
      </w:r>
      <w:r>
        <w:t xml:space="preserve"> is calculated per calendar month using the formula: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3000"/>
      </w:tblGrid>
      <w:tr w:rsidR="00B661AB" w14:paraId="3CE1B639" w14:textId="77777777">
        <w:tblPrEx>
          <w:tblCellMar>
            <w:top w:w="0" w:type="dxa"/>
            <w:bottom w:w="0" w:type="dxa"/>
          </w:tblCellMar>
        </w:tblPrEx>
        <w:tc>
          <w:tcPr>
            <w:tcW w:w="6360"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vAlign w:val="center"/>
          </w:tcPr>
          <w:p w14:paraId="6319D51A" w14:textId="77777777" w:rsidR="00B661AB" w:rsidRDefault="00000000">
            <w:r>
              <w:rPr>
                <w:sz w:val="20"/>
                <w:szCs w:val="20"/>
              </w:rPr>
              <w:t>(total number of minutes in month – total number of Interruption minutes over the month)</w:t>
            </w:r>
          </w:p>
        </w:tc>
        <w:tc>
          <w:tcPr>
            <w:tcW w:w="3000"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vAlign w:val="center"/>
          </w:tcPr>
          <w:p w14:paraId="711139C2" w14:textId="77777777" w:rsidR="00B661AB" w:rsidRDefault="00000000">
            <w:r>
              <w:rPr>
                <w:sz w:val="20"/>
                <w:szCs w:val="20"/>
              </w:rPr>
              <w:t>× 100</w:t>
            </w:r>
          </w:p>
        </w:tc>
      </w:tr>
      <w:tr w:rsidR="00B661AB" w14:paraId="268B12C2" w14:textId="77777777">
        <w:tblPrEx>
          <w:tblCellMar>
            <w:top w:w="0" w:type="dxa"/>
            <w:bottom w:w="0" w:type="dxa"/>
          </w:tblCellMar>
        </w:tblPrEx>
        <w:tc>
          <w:tcPr>
            <w:tcW w:w="6360" w:type="dxa"/>
            <w:tcBorders>
              <w:top w:val="single" w:sz="4" w:space="0" w:color="D1D5DB"/>
              <w:left w:val="single" w:sz="4" w:space="0" w:color="D1D5DB"/>
              <w:bottom w:val="single" w:sz="4" w:space="0" w:color="D1D5DB"/>
              <w:right w:val="single" w:sz="4" w:space="0" w:color="D1D5DB"/>
            </w:tcBorders>
            <w:shd w:val="clear" w:color="auto" w:fill="F9FAFB"/>
            <w:tcMar>
              <w:top w:w="100" w:type="dxa"/>
              <w:left w:w="140" w:type="dxa"/>
              <w:bottom w:w="100" w:type="dxa"/>
              <w:right w:w="140" w:type="dxa"/>
            </w:tcMar>
            <w:vAlign w:val="center"/>
          </w:tcPr>
          <w:p w14:paraId="3A186E04" w14:textId="77777777" w:rsidR="00B661AB" w:rsidRDefault="00000000">
            <w:r>
              <w:rPr>
                <w:sz w:val="20"/>
                <w:szCs w:val="20"/>
              </w:rPr>
              <w:t>total number of minutes in month</w:t>
            </w:r>
          </w:p>
        </w:tc>
        <w:tc>
          <w:tcPr>
            <w:tcW w:w="3000" w:type="dxa"/>
            <w:tcBorders>
              <w:top w:val="single" w:sz="4" w:space="0" w:color="D1D5DB"/>
              <w:left w:val="single" w:sz="4" w:space="0" w:color="D1D5DB"/>
              <w:bottom w:val="single" w:sz="4" w:space="0" w:color="D1D5DB"/>
              <w:right w:val="single" w:sz="4" w:space="0" w:color="D1D5DB"/>
            </w:tcBorders>
            <w:shd w:val="clear" w:color="auto" w:fill="F9FAFB"/>
            <w:tcMar>
              <w:top w:w="100" w:type="dxa"/>
              <w:left w:w="140" w:type="dxa"/>
              <w:bottom w:w="100" w:type="dxa"/>
              <w:right w:w="140" w:type="dxa"/>
            </w:tcMar>
            <w:vAlign w:val="center"/>
          </w:tcPr>
          <w:p w14:paraId="564169F7" w14:textId="77777777" w:rsidR="00B661AB" w:rsidRDefault="00B661AB"/>
        </w:tc>
      </w:tr>
    </w:tbl>
    <w:p w14:paraId="405B50C7" w14:textId="77777777" w:rsidR="00B661AB" w:rsidRDefault="00000000">
      <w:pPr>
        <w:spacing w:before="80" w:after="80"/>
        <w:jc w:val="both"/>
      </w:pPr>
      <w:r>
        <w:t xml:space="preserve">An </w:t>
      </w:r>
      <w:r>
        <w:rPr>
          <w:b/>
          <w:bCs/>
        </w:rPr>
        <w:t>“Interruption”</w:t>
      </w:r>
      <w:r>
        <w:t xml:space="preserve"> means a period during which the Services are not accessible or usable by Customer, as monitored from </w:t>
      </w:r>
      <w:proofErr w:type="spellStart"/>
      <w:r>
        <w:t>Qevlar</w:t>
      </w:r>
      <w:proofErr w:type="spellEnd"/>
      <w:r>
        <w:t xml:space="preserve"> AI's network, other than </w:t>
      </w:r>
      <w:proofErr w:type="gramStart"/>
      <w:r>
        <w:t>as a result of</w:t>
      </w:r>
      <w:proofErr w:type="gramEnd"/>
      <w:r>
        <w:t xml:space="preserve"> any Availability Exclusion.</w:t>
      </w:r>
    </w:p>
    <w:p w14:paraId="0A36B3E5" w14:textId="77777777" w:rsidR="00B661AB" w:rsidRDefault="00000000">
      <w:pPr>
        <w:pStyle w:val="Heading1"/>
      </w:pPr>
      <w:r>
        <w:rPr>
          <w:color w:val="000000"/>
        </w:rPr>
        <w:t>Remedy for Failure</w:t>
      </w:r>
    </w:p>
    <w:p w14:paraId="6FA0043F" w14:textId="77777777" w:rsidR="00B661AB" w:rsidRDefault="00000000">
      <w:pPr>
        <w:spacing w:before="80" w:after="80"/>
        <w:jc w:val="both"/>
      </w:pPr>
      <w:r>
        <w:t xml:space="preserve">Customer's sole and exclusive remedy for </w:t>
      </w:r>
      <w:proofErr w:type="spellStart"/>
      <w:r>
        <w:t>Qevlar</w:t>
      </w:r>
      <w:proofErr w:type="spellEnd"/>
      <w:r>
        <w:t xml:space="preserve"> AI's failure to meet the Monthly Availability Rate is as follows: if </w:t>
      </w:r>
      <w:proofErr w:type="spellStart"/>
      <w:r>
        <w:t>Qevlar</w:t>
      </w:r>
      <w:proofErr w:type="spellEnd"/>
      <w:r>
        <w:t xml:space="preserve"> AI fails to achieve the Monthly Availability Rate for </w:t>
      </w:r>
      <w:r>
        <w:rPr>
          <w:b/>
          <w:bCs/>
        </w:rPr>
        <w:t>three (3) consecutive calendar months</w:t>
      </w:r>
      <w:r>
        <w:t xml:space="preserve">, and Customer has been materially impacted by such failure, Customer may terminate the affected Order Form (and, at Customer's option, the Agreement) for cause upon thirty (30) days' written notice to </w:t>
      </w:r>
      <w:proofErr w:type="spellStart"/>
      <w:r>
        <w:t>Qevlar</w:t>
      </w:r>
      <w:proofErr w:type="spellEnd"/>
      <w:r>
        <w:t xml:space="preserve"> AI, provided that such notice is given within ninety (90) days following the third consecutive month of failure. Upon such termination, </w:t>
      </w:r>
      <w:proofErr w:type="spellStart"/>
      <w:r>
        <w:t>Qevlar</w:t>
      </w:r>
      <w:proofErr w:type="spellEnd"/>
      <w:r>
        <w:t xml:space="preserve"> AI will refund any prepaid but unused Fees for the affected Services, calculated pro rata from the effective date of termination. Failure to achieve the Monthly Availability Rate in fewer than three consecutive months does not</w:t>
      </w:r>
      <w:proofErr w:type="gramStart"/>
      <w:r>
        <w:t>, in itself, give</w:t>
      </w:r>
      <w:proofErr w:type="gramEnd"/>
      <w:r>
        <w:t xml:space="preserve"> rise to a termination right or to any other remedy under this SLA. The termination right in this section is in addition to, and does not waive, any other termination rights set forth in the Agreement.</w:t>
      </w:r>
    </w:p>
    <w:p w14:paraId="68CFDD98" w14:textId="77777777" w:rsidR="00B661AB" w:rsidRDefault="00000000">
      <w:pPr>
        <w:pStyle w:val="Heading1"/>
      </w:pPr>
      <w:r>
        <w:rPr>
          <w:color w:val="000000"/>
        </w:rPr>
        <w:t>Availability Exclusions</w:t>
      </w:r>
    </w:p>
    <w:p w14:paraId="0975020A" w14:textId="77777777" w:rsidR="00B661AB" w:rsidRDefault="00000000">
      <w:pPr>
        <w:spacing w:before="80" w:after="80"/>
        <w:jc w:val="both"/>
      </w:pPr>
      <w:r>
        <w:t xml:space="preserve">Interruption time does not include, and Customer will not be entitled to any remedy under this SLA for, any unavailability or degradation of the Services caused, directly or indirectly, by any of the following (each, an </w:t>
      </w:r>
      <w:r>
        <w:rPr>
          <w:b/>
          <w:bCs/>
        </w:rPr>
        <w:t>“Availability Exclusion”</w:t>
      </w:r>
      <w:r>
        <w:t>):</w:t>
      </w:r>
    </w:p>
    <w:p w14:paraId="68DBE9BC" w14:textId="77777777" w:rsidR="00B661AB" w:rsidRDefault="00000000">
      <w:pPr>
        <w:pStyle w:val="ListParagraph"/>
        <w:numPr>
          <w:ilvl w:val="0"/>
          <w:numId w:val="2"/>
        </w:numPr>
        <w:spacing w:before="40" w:after="40"/>
      </w:pPr>
      <w:r>
        <w:t>Downtime due to scheduled maintenance (including platform upgrades, security patching, and infrastructure changes) or emergency maintenance (including critical security patches, vulnerability remediation, and response to threats or attacks);</w:t>
      </w:r>
    </w:p>
    <w:p w14:paraId="57A2C2AA" w14:textId="77777777" w:rsidR="00B661AB" w:rsidRDefault="00000000">
      <w:pPr>
        <w:pStyle w:val="ListParagraph"/>
        <w:numPr>
          <w:ilvl w:val="0"/>
          <w:numId w:val="2"/>
        </w:numPr>
        <w:spacing w:before="40" w:after="40"/>
      </w:pPr>
      <w:r>
        <w:t xml:space="preserve">Any actions of </w:t>
      </w:r>
      <w:proofErr w:type="spellStart"/>
      <w:r>
        <w:t>Qevlar</w:t>
      </w:r>
      <w:proofErr w:type="spellEnd"/>
      <w:r>
        <w:t xml:space="preserve"> AI when complying with the request or acting under the direction of Customer;</w:t>
      </w:r>
    </w:p>
    <w:p w14:paraId="1A12C6C8" w14:textId="77777777" w:rsidR="00B661AB" w:rsidRDefault="00000000">
      <w:pPr>
        <w:pStyle w:val="ListParagraph"/>
        <w:numPr>
          <w:ilvl w:val="0"/>
          <w:numId w:val="2"/>
        </w:numPr>
        <w:spacing w:before="40" w:after="40"/>
      </w:pPr>
      <w:r>
        <w:lastRenderedPageBreak/>
        <w:t xml:space="preserve">Access or use of the Services by </w:t>
      </w:r>
      <w:proofErr w:type="spellStart"/>
      <w:r>
        <w:t>Authorised</w:t>
      </w:r>
      <w:proofErr w:type="spellEnd"/>
      <w:r>
        <w:t xml:space="preserve"> Users contrary to the Agreement;</w:t>
      </w:r>
    </w:p>
    <w:p w14:paraId="5D60A405" w14:textId="77777777" w:rsidR="00B661AB" w:rsidRDefault="00000000">
      <w:pPr>
        <w:pStyle w:val="ListParagraph"/>
        <w:numPr>
          <w:ilvl w:val="0"/>
          <w:numId w:val="2"/>
        </w:numPr>
        <w:spacing w:before="40" w:after="40"/>
      </w:pPr>
      <w:r>
        <w:t>Customer's breach of the Agreement;</w:t>
      </w:r>
    </w:p>
    <w:p w14:paraId="5F814AF3" w14:textId="77777777" w:rsidR="00B661AB" w:rsidRDefault="00000000">
      <w:pPr>
        <w:pStyle w:val="ListParagraph"/>
        <w:numPr>
          <w:ilvl w:val="0"/>
          <w:numId w:val="2"/>
        </w:numPr>
        <w:spacing w:before="40" w:after="40"/>
      </w:pPr>
      <w:r>
        <w:t xml:space="preserve">Customer's failure to respond to support requests that require Customer's participation (including in the identification or resolution of an Anomaly), as determined by </w:t>
      </w:r>
      <w:proofErr w:type="spellStart"/>
      <w:r>
        <w:t>Qevlar</w:t>
      </w:r>
      <w:proofErr w:type="spellEnd"/>
      <w:r>
        <w:t xml:space="preserve"> AI;</w:t>
      </w:r>
    </w:p>
    <w:p w14:paraId="7E254522" w14:textId="77777777" w:rsidR="00B661AB" w:rsidRDefault="00000000">
      <w:pPr>
        <w:pStyle w:val="ListParagraph"/>
        <w:numPr>
          <w:ilvl w:val="0"/>
          <w:numId w:val="2"/>
        </w:numPr>
        <w:spacing w:before="40" w:after="40"/>
      </w:pPr>
      <w:r>
        <w:t xml:space="preserve">Failures, degradations, or fluctuations in electrical, connectivity, network, or telecommunications equipment or lines, including those caused by Customer's conduct or by circumstances beyond </w:t>
      </w:r>
      <w:proofErr w:type="spellStart"/>
      <w:r>
        <w:t>Qevlar</w:t>
      </w:r>
      <w:proofErr w:type="spellEnd"/>
      <w:r>
        <w:t xml:space="preserve"> AI's control;</w:t>
      </w:r>
    </w:p>
    <w:p w14:paraId="76DA2907" w14:textId="77777777" w:rsidR="00B661AB" w:rsidRDefault="00000000">
      <w:pPr>
        <w:pStyle w:val="ListParagraph"/>
        <w:numPr>
          <w:ilvl w:val="0"/>
          <w:numId w:val="2"/>
        </w:numPr>
        <w:spacing w:before="40" w:after="40"/>
      </w:pPr>
      <w:r>
        <w:t xml:space="preserve">Customer's or a third party's equipment, software, or other technology, including Security Tools, not within the sole and exclusive control of </w:t>
      </w:r>
      <w:proofErr w:type="spellStart"/>
      <w:r>
        <w:t>Qevlar</w:t>
      </w:r>
      <w:proofErr w:type="spellEnd"/>
      <w:r>
        <w:t xml:space="preserve"> AI;</w:t>
      </w:r>
    </w:p>
    <w:p w14:paraId="2A64DF2A" w14:textId="77777777" w:rsidR="00B661AB" w:rsidRDefault="00000000">
      <w:pPr>
        <w:pStyle w:val="ListParagraph"/>
        <w:numPr>
          <w:ilvl w:val="0"/>
          <w:numId w:val="2"/>
        </w:numPr>
        <w:spacing w:before="40" w:after="40"/>
      </w:pPr>
      <w:r>
        <w:t xml:space="preserve">The limitation or suspension of the Services due to circumstances reasonably considered by </w:t>
      </w:r>
      <w:proofErr w:type="spellStart"/>
      <w:r>
        <w:t>Qevlar</w:t>
      </w:r>
      <w:proofErr w:type="spellEnd"/>
      <w:r>
        <w:t xml:space="preserve"> AI as being a threat to the normal operation of the Services, the operating infrastructure, the facility from which the Services are provided, or the integrity of Customer Data (for example, a </w:t>
      </w:r>
      <w:proofErr w:type="spellStart"/>
      <w:r>
        <w:t>cyber attack</w:t>
      </w:r>
      <w:proofErr w:type="spellEnd"/>
      <w:r>
        <w:t xml:space="preserve"> or virus attack);</w:t>
      </w:r>
    </w:p>
    <w:p w14:paraId="7AD21E34" w14:textId="77777777" w:rsidR="00B661AB" w:rsidRDefault="00000000">
      <w:pPr>
        <w:pStyle w:val="ListParagraph"/>
        <w:numPr>
          <w:ilvl w:val="0"/>
          <w:numId w:val="2"/>
        </w:numPr>
        <w:spacing w:before="40" w:after="40"/>
      </w:pPr>
      <w:r>
        <w:t xml:space="preserve">Modifications to the Services not made or </w:t>
      </w:r>
      <w:proofErr w:type="spellStart"/>
      <w:r>
        <w:t>authorised</w:t>
      </w:r>
      <w:proofErr w:type="spellEnd"/>
      <w:r>
        <w:t xml:space="preserve"> by </w:t>
      </w:r>
      <w:proofErr w:type="spellStart"/>
      <w:r>
        <w:t>Qevlar</w:t>
      </w:r>
      <w:proofErr w:type="spellEnd"/>
      <w:r>
        <w:t xml:space="preserve"> AI in writing;</w:t>
      </w:r>
    </w:p>
    <w:p w14:paraId="69DDA9D3" w14:textId="77777777" w:rsidR="00B661AB" w:rsidRDefault="00000000">
      <w:pPr>
        <w:pStyle w:val="ListParagraph"/>
        <w:numPr>
          <w:ilvl w:val="0"/>
          <w:numId w:val="2"/>
        </w:numPr>
        <w:spacing w:before="40" w:after="40"/>
      </w:pPr>
      <w:r>
        <w:t>The unavailability of features released for testing, alpha, beta, preview, “labs”, or evaluation purposes (</w:t>
      </w:r>
      <w:proofErr w:type="gramStart"/>
      <w:r>
        <w:t>whether or not</w:t>
      </w:r>
      <w:proofErr w:type="gramEnd"/>
      <w:r>
        <w:t xml:space="preserve"> expressly identified as such);</w:t>
      </w:r>
    </w:p>
    <w:p w14:paraId="77C8E3EF" w14:textId="77777777" w:rsidR="00B661AB" w:rsidRDefault="00000000">
      <w:pPr>
        <w:pStyle w:val="ListParagraph"/>
        <w:numPr>
          <w:ilvl w:val="0"/>
          <w:numId w:val="2"/>
        </w:numPr>
        <w:spacing w:before="40" w:after="40"/>
      </w:pPr>
      <w:r>
        <w:t xml:space="preserve">Internet-access or related problems beyond </w:t>
      </w:r>
      <w:proofErr w:type="spellStart"/>
      <w:r>
        <w:t>Qevlar</w:t>
      </w:r>
      <w:proofErr w:type="spellEnd"/>
      <w:r>
        <w:t xml:space="preserve"> AI's network;</w:t>
      </w:r>
    </w:p>
    <w:p w14:paraId="70DD3152" w14:textId="77777777" w:rsidR="00B661AB" w:rsidRDefault="00000000">
      <w:pPr>
        <w:pStyle w:val="ListParagraph"/>
        <w:numPr>
          <w:ilvl w:val="0"/>
          <w:numId w:val="2"/>
        </w:numPr>
        <w:spacing w:before="40" w:after="40"/>
      </w:pPr>
      <w:r>
        <w:t>Suspension or termination of Customer's right to use the Services in accordance with the Agreement; or</w:t>
      </w:r>
    </w:p>
    <w:p w14:paraId="70BA0D66" w14:textId="77777777" w:rsidR="00B661AB" w:rsidRDefault="00000000">
      <w:pPr>
        <w:pStyle w:val="ListParagraph"/>
        <w:numPr>
          <w:ilvl w:val="0"/>
          <w:numId w:val="2"/>
        </w:numPr>
        <w:spacing w:before="40" w:after="40"/>
      </w:pPr>
      <w:r>
        <w:t>Force-majeure events, as defined in the Agreement.</w:t>
      </w:r>
    </w:p>
    <w:p w14:paraId="2CA0F093" w14:textId="77777777" w:rsidR="00B661AB" w:rsidRDefault="00000000">
      <w:pPr>
        <w:pStyle w:val="Heading1"/>
      </w:pPr>
      <w:r>
        <w:rPr>
          <w:color w:val="000000"/>
        </w:rPr>
        <w:t>Definitions</w:t>
      </w:r>
    </w:p>
    <w:p w14:paraId="353A0E3F" w14:textId="77777777" w:rsidR="00B661AB" w:rsidRDefault="00000000">
      <w:pPr>
        <w:pStyle w:val="ListParagraph"/>
        <w:numPr>
          <w:ilvl w:val="0"/>
          <w:numId w:val="2"/>
        </w:numPr>
        <w:spacing w:before="40" w:after="40"/>
      </w:pPr>
      <w:r>
        <w:rPr>
          <w:b/>
          <w:bCs/>
        </w:rPr>
        <w:t>“Anomaly”</w:t>
      </w:r>
      <w:r>
        <w:t xml:space="preserve"> has the meaning set out in the Support Policy.</w:t>
      </w:r>
    </w:p>
    <w:p w14:paraId="0F414E5F" w14:textId="77777777" w:rsidR="00B661AB" w:rsidRDefault="00000000">
      <w:pPr>
        <w:pStyle w:val="ListParagraph"/>
        <w:numPr>
          <w:ilvl w:val="0"/>
          <w:numId w:val="2"/>
        </w:numPr>
        <w:spacing w:before="40" w:after="40"/>
      </w:pPr>
      <w:r>
        <w:rPr>
          <w:b/>
          <w:bCs/>
        </w:rPr>
        <w:t>“Availability Exclusion”</w:t>
      </w:r>
      <w:r>
        <w:t xml:space="preserve"> means any event, circumstance, or condition described above that is excluded from the calculation of Interruption.</w:t>
      </w:r>
    </w:p>
    <w:p w14:paraId="576850ED" w14:textId="77777777" w:rsidR="00B661AB" w:rsidRDefault="00000000">
      <w:pPr>
        <w:pStyle w:val="ListParagraph"/>
        <w:numPr>
          <w:ilvl w:val="0"/>
          <w:numId w:val="2"/>
        </w:numPr>
        <w:spacing w:before="40" w:after="40"/>
      </w:pPr>
      <w:r>
        <w:rPr>
          <w:b/>
          <w:bCs/>
        </w:rPr>
        <w:t>“Interruption”</w:t>
      </w:r>
      <w:r>
        <w:t xml:space="preserve"> means a period during which the Services are not accessible or usable by Customer, as monitored from </w:t>
      </w:r>
      <w:proofErr w:type="spellStart"/>
      <w:r>
        <w:t>Qevlar</w:t>
      </w:r>
      <w:proofErr w:type="spellEnd"/>
      <w:r>
        <w:t xml:space="preserve"> AI's network, other than due to an Availability Exclusion.</w:t>
      </w:r>
    </w:p>
    <w:p w14:paraId="57F579B3" w14:textId="77777777" w:rsidR="00B661AB" w:rsidRDefault="00000000">
      <w:pPr>
        <w:pStyle w:val="ListParagraph"/>
        <w:numPr>
          <w:ilvl w:val="0"/>
          <w:numId w:val="2"/>
        </w:numPr>
        <w:spacing w:before="40" w:after="40"/>
      </w:pPr>
      <w:r>
        <w:rPr>
          <w:b/>
          <w:bCs/>
        </w:rPr>
        <w:t>“Monthly Availability Rate”</w:t>
      </w:r>
      <w:r>
        <w:t xml:space="preserve"> means the percentage of time during a calendar month that the Services are available, calculated as set out in the Service Availability section above.</w:t>
      </w:r>
    </w:p>
    <w:sectPr w:rsidR="00B661AB">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991C" w14:textId="77777777" w:rsidR="00BF7541" w:rsidRDefault="00BF7541">
      <w:r>
        <w:separator/>
      </w:r>
    </w:p>
  </w:endnote>
  <w:endnote w:type="continuationSeparator" w:id="0">
    <w:p w14:paraId="04A57C55" w14:textId="77777777" w:rsidR="00BF7541" w:rsidRDefault="00BF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45BA" w14:textId="77777777" w:rsidR="00B661AB" w:rsidRDefault="00000000">
    <w:pPr>
      <w:jc w:val="center"/>
    </w:pPr>
    <w:r>
      <w:rPr>
        <w:color w:val="555555"/>
        <w:sz w:val="18"/>
        <w:szCs w:val="18"/>
      </w:rPr>
      <w:t xml:space="preserve">Effective 29 May 2026 · Page </w:t>
    </w:r>
    <w:r>
      <w:rPr>
        <w:color w:val="555555"/>
        <w:sz w:val="18"/>
        <w:szCs w:val="18"/>
      </w:rPr>
      <w:fldChar w:fldCharType="begin"/>
    </w:r>
    <w:r>
      <w:rPr>
        <w:color w:val="555555"/>
        <w:sz w:val="18"/>
        <w:szCs w:val="18"/>
      </w:rPr>
      <w:instrText>PAGE</w:instrText>
    </w:r>
    <w:r>
      <w:rPr>
        <w:color w:val="555555"/>
        <w:sz w:val="18"/>
        <w:szCs w:val="18"/>
      </w:rPr>
      <w:fldChar w:fldCharType="separate"/>
    </w:r>
    <w:r w:rsidR="00675E83">
      <w:rPr>
        <w:noProof/>
        <w:color w:val="555555"/>
        <w:sz w:val="18"/>
        <w:szCs w:val="18"/>
      </w:rPr>
      <w:t>1</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6F99" w14:textId="77777777" w:rsidR="00BF7541" w:rsidRDefault="00BF7541">
      <w:r>
        <w:separator/>
      </w:r>
    </w:p>
  </w:footnote>
  <w:footnote w:type="continuationSeparator" w:id="0">
    <w:p w14:paraId="6035F458" w14:textId="77777777" w:rsidR="00BF7541" w:rsidRDefault="00BF7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8865" w14:textId="77777777" w:rsidR="00B661AB" w:rsidRDefault="00000000">
    <w:pPr>
      <w:jc w:val="right"/>
    </w:pPr>
    <w:proofErr w:type="spellStart"/>
    <w:r>
      <w:rPr>
        <w:i/>
        <w:iCs/>
        <w:color w:val="555555"/>
        <w:sz w:val="18"/>
        <w:szCs w:val="18"/>
      </w:rPr>
      <w:t>Qevlar</w:t>
    </w:r>
    <w:proofErr w:type="spellEnd"/>
    <w:r>
      <w:rPr>
        <w:i/>
        <w:iCs/>
        <w:color w:val="555555"/>
        <w:sz w:val="18"/>
        <w:szCs w:val="18"/>
      </w:rPr>
      <w:t xml:space="preserve"> AI — Service Availability (SLA)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6BC"/>
    <w:multiLevelType w:val="hybridMultilevel"/>
    <w:tmpl w:val="D0D4098E"/>
    <w:lvl w:ilvl="0" w:tplc="E702B3D4">
      <w:start w:val="1"/>
      <w:numFmt w:val="bullet"/>
      <w:lvlText w:val="●"/>
      <w:lvlJc w:val="left"/>
      <w:pPr>
        <w:ind w:left="720" w:hanging="360"/>
      </w:pPr>
    </w:lvl>
    <w:lvl w:ilvl="1" w:tplc="7F9C196C">
      <w:start w:val="1"/>
      <w:numFmt w:val="bullet"/>
      <w:lvlText w:val="○"/>
      <w:lvlJc w:val="left"/>
      <w:pPr>
        <w:ind w:left="1440" w:hanging="360"/>
      </w:pPr>
    </w:lvl>
    <w:lvl w:ilvl="2" w:tplc="913AD650">
      <w:start w:val="1"/>
      <w:numFmt w:val="bullet"/>
      <w:lvlText w:val="■"/>
      <w:lvlJc w:val="left"/>
      <w:pPr>
        <w:ind w:left="2160" w:hanging="360"/>
      </w:pPr>
    </w:lvl>
    <w:lvl w:ilvl="3" w:tplc="4DE26390">
      <w:start w:val="1"/>
      <w:numFmt w:val="bullet"/>
      <w:lvlText w:val="●"/>
      <w:lvlJc w:val="left"/>
      <w:pPr>
        <w:ind w:left="2880" w:hanging="360"/>
      </w:pPr>
    </w:lvl>
    <w:lvl w:ilvl="4" w:tplc="EC38A2FA">
      <w:start w:val="1"/>
      <w:numFmt w:val="bullet"/>
      <w:lvlText w:val="○"/>
      <w:lvlJc w:val="left"/>
      <w:pPr>
        <w:ind w:left="3600" w:hanging="360"/>
      </w:pPr>
    </w:lvl>
    <w:lvl w:ilvl="5" w:tplc="E9B6AA96">
      <w:start w:val="1"/>
      <w:numFmt w:val="bullet"/>
      <w:lvlText w:val="■"/>
      <w:lvlJc w:val="left"/>
      <w:pPr>
        <w:ind w:left="4320" w:hanging="360"/>
      </w:pPr>
    </w:lvl>
    <w:lvl w:ilvl="6" w:tplc="C40ECE56">
      <w:start w:val="1"/>
      <w:numFmt w:val="bullet"/>
      <w:lvlText w:val="●"/>
      <w:lvlJc w:val="left"/>
      <w:pPr>
        <w:ind w:left="5040" w:hanging="360"/>
      </w:pPr>
    </w:lvl>
    <w:lvl w:ilvl="7" w:tplc="600C23F2">
      <w:start w:val="1"/>
      <w:numFmt w:val="bullet"/>
      <w:lvlText w:val="●"/>
      <w:lvlJc w:val="left"/>
      <w:pPr>
        <w:ind w:left="5760" w:hanging="360"/>
      </w:pPr>
    </w:lvl>
    <w:lvl w:ilvl="8" w:tplc="3EEC5D84">
      <w:start w:val="1"/>
      <w:numFmt w:val="bullet"/>
      <w:lvlText w:val="●"/>
      <w:lvlJc w:val="left"/>
      <w:pPr>
        <w:ind w:left="6480" w:hanging="360"/>
      </w:pPr>
    </w:lvl>
  </w:abstractNum>
  <w:abstractNum w:abstractNumId="1" w15:restartNumberingAfterBreak="0">
    <w:nsid w:val="4E8C1DDF"/>
    <w:multiLevelType w:val="hybridMultilevel"/>
    <w:tmpl w:val="7730E5FC"/>
    <w:lvl w:ilvl="0" w:tplc="80E079C4">
      <w:start w:val="1"/>
      <w:numFmt w:val="decimal"/>
      <w:lvlText w:val="%1."/>
      <w:lvlJc w:val="left"/>
      <w:pPr>
        <w:ind w:left="540" w:hanging="360"/>
      </w:pPr>
    </w:lvl>
    <w:lvl w:ilvl="1" w:tplc="C7629120">
      <w:numFmt w:val="decimal"/>
      <w:lvlText w:val=""/>
      <w:lvlJc w:val="left"/>
    </w:lvl>
    <w:lvl w:ilvl="2" w:tplc="20D4D964">
      <w:numFmt w:val="decimal"/>
      <w:lvlText w:val=""/>
      <w:lvlJc w:val="left"/>
    </w:lvl>
    <w:lvl w:ilvl="3" w:tplc="87F4FCEC">
      <w:numFmt w:val="decimal"/>
      <w:lvlText w:val=""/>
      <w:lvlJc w:val="left"/>
    </w:lvl>
    <w:lvl w:ilvl="4" w:tplc="9FC23E22">
      <w:numFmt w:val="decimal"/>
      <w:lvlText w:val=""/>
      <w:lvlJc w:val="left"/>
    </w:lvl>
    <w:lvl w:ilvl="5" w:tplc="2CECD93E">
      <w:numFmt w:val="decimal"/>
      <w:lvlText w:val=""/>
      <w:lvlJc w:val="left"/>
    </w:lvl>
    <w:lvl w:ilvl="6" w:tplc="D564F622">
      <w:numFmt w:val="decimal"/>
      <w:lvlText w:val=""/>
      <w:lvlJc w:val="left"/>
    </w:lvl>
    <w:lvl w:ilvl="7" w:tplc="00144912">
      <w:numFmt w:val="decimal"/>
      <w:lvlText w:val=""/>
      <w:lvlJc w:val="left"/>
    </w:lvl>
    <w:lvl w:ilvl="8" w:tplc="9348CB6E">
      <w:numFmt w:val="decimal"/>
      <w:lvlText w:val=""/>
      <w:lvlJc w:val="left"/>
    </w:lvl>
  </w:abstractNum>
  <w:num w:numId="1" w16cid:durableId="1367676318">
    <w:abstractNumId w:val="0"/>
    <w:lvlOverride w:ilvl="0">
      <w:startOverride w:val="1"/>
    </w:lvlOverride>
  </w:num>
  <w:num w:numId="2" w16cid:durableId="61853200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1AB"/>
    <w:rsid w:val="004F44C4"/>
    <w:rsid w:val="00675E83"/>
    <w:rsid w:val="00B661AB"/>
    <w:rsid w:val="00BF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33F615"/>
  <w15:docId w15:val="{70DAB522-1087-BD43-A3A8-DA36A77E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0B1220"/>
      <w:sz w:val="30"/>
      <w:szCs w:val="3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Qevlar AI Service Availability — SLA</dc:title>
  <dc:creator>Qevlar AI Legal</dc:creator>
  <cp:lastModifiedBy>Morane Bensoussan</cp:lastModifiedBy>
  <cp:revision>2</cp:revision>
  <dcterms:created xsi:type="dcterms:W3CDTF">2026-06-01T13:01:00Z</dcterms:created>
  <dcterms:modified xsi:type="dcterms:W3CDTF">2026-06-01T13:01:00Z</dcterms:modified>
</cp:coreProperties>
</file>