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Sub-processors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i w:val="1"/>
          <w:iCs w:val="1"/>
          <w:color w:val="555555"/>
          <w:rtl w:val="0"/>
        </w:rPr>
        <w:t xml:space="preserve">Last updated: June 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To provide the Qevlar AI cybersecurity software-as-a-service (the “Services”), Qevlar engages certain third-party suppliers, infrastructure providers, and affiliates (each, a “Sub-processor”). On Qevlar's instructions, these Sub-processors may process customer personal data on behalf of Qevlar's customers to facilitate delivery of the Services.</w:t>
      </w:r>
    </w:p>
    <w:p w:rsidR="00000000" w:rsidDel="00000000" w:rsidP="00000000" w:rsidRDefault="00000000" w:rsidRPr="00000000" w14:paraId="00000004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Qevlar's current Sub-processors for the Services are listed below. This document is provided for transparency and does not grant any party additional rights or remedies, and should not be construed as a binding agreement. The terms of engagement between Qevlar and each Sub-processor (including data-protection obligations) are governed by the relevant customer agreement and the Qevlar Data Processing Agreement (DPA).</w:t>
      </w:r>
    </w:p>
    <w:p w:rsidR="00000000" w:rsidDel="00000000" w:rsidP="00000000" w:rsidRDefault="00000000" w:rsidRPr="00000000" w14:paraId="00000005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For Bring Your Own Cloud (BYOC) deployments, the cloud provider designated by Customer (currently Google Cloud Platform) is the cloud-infrastructure provider of Customer and is not a Sub-processor of Qevlar. Internal-only tooling that does not process customer personal data on Qevlar's behalf (such as Qevlar's internal compliance-evidence, internal project-management, internal business-intelligence, and API-development tooling) is not a Sub-processor and is not included in this list.</w:t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color w:val="000000"/>
          <w:rtl w:val="0"/>
        </w:rPr>
        <w:t xml:space="preserve">1. Qevlar Affiliates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The following Qevlar group entities may provide support, professional, or other service functions for the Services: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2400"/>
        <w:gridCol w:w="3960"/>
        <w:tblGridChange w:id="0">
          <w:tblGrid>
            <w:gridCol w:w="3000"/>
            <w:gridCol w:w="2400"/>
            <w:gridCol w:w="39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Qevlar AI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(Delaware)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Contracting entity for US and rest-of-world customers; product development, sales, support, and finance.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Qevlar AI (SAS)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France (Issy-les-Moulineaux)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Contracting entity for EEA, UK, and Swiss customers; product development, security operations, customer success, and EU customer support.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color w:val="000000"/>
          <w:rtl w:val="0"/>
        </w:rPr>
        <w:t xml:space="preserve">2. Infrastructure Providers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Qevlar engages the following third-party infrastructure providers in connection with the hosted portions of the Services. These providers may process personal data that customers store in the Services: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Amazon Web Services, Inc. (AWS)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Cloud hosting and infrastructure services for the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(HQ); processing in EU regions unless requested otherwise.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Google LLC (Google Cloud Platform)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Cloud hosting and infrastructure services for the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(HQ); processing in EU regions unless requested otherwise.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Microsoft Corporation (Microsoft Azure)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Cloud hosting and infrastructure services for the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(HQ); processing in EU regions unless requested otherwise.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rPr/>
      </w:pPr>
      <w:r w:rsidDel="00000000" w:rsidR="00000000" w:rsidRPr="00000000">
        <w:rPr>
          <w:color w:val="000000"/>
          <w:rtl w:val="0"/>
        </w:rPr>
        <w:t xml:space="preserve">3. Other Third-Party Sub-processors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The following third-party providers support the development, delivery, and operation of the Services and may process personal data on behalf of Qevlar. Engagement of each Sub-processor is subject to a written agreement imposing data-protection obligations no less protective than those set out in the Qevlar DPA. Sub-processors are organised below by service category.</w:t>
      </w:r>
    </w:p>
    <w:p w:rsidR="00000000" w:rsidDel="00000000" w:rsidP="00000000" w:rsidRDefault="00000000" w:rsidRPr="00000000" w14:paraId="00000021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AI / LLM-Inference Providers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Microsoft Azure OpenAI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Hosted large language model inference on Customer Data on Qevlar's behalf.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(HQ); EU regions for hosted inference.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Identity &amp; Authentication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Auth0 (Okta, Inc.)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Identity, authentication, and single-sign-on for Authorised User access to the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(Bellevue, WA);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Application Monitoring &amp; Observability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Langfuse GmbH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LLM observability, tracing, and prompt-quality monitoring for the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Germany (Berlin)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Literal AI (Chainlit 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LLM observability, evaluation, and prompt-quality monitoring for the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France (Paris)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Sentry (Functional Software, Inc.)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Application error tracking, performance monitoring, and crash reporting.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(San Francisco, CA);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Customer Communication &amp; Support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Slack (Salesforce, Inc.)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Internal and customer-facing collaboration; may receive Customer Data shared in support channels.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(San Francisco, CA)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Zendesk,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 support ticketing and knowledge-base platform.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(San Francisco, CA)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CRM, Marketing &amp; Sales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HubSpot,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Customer-relationship management; marketing and sales contact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(Cambridge, MA); EU operations in Dublin, Ireland.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Knowledge Management &amp; Documentation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Notion Labs,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Internal documentation and customer-facing knowledge content; may receive customer-related notes.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(San Francisco, CA)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Electronic Signature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YouSign 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Electronic-signature platform for execution of customer agreements and related documents.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France (Caen)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80" w:before="220" w:lineRule="auto"/>
        <w:rPr/>
      </w:pPr>
      <w:r w:rsidDel="00000000" w:rsidR="00000000" w:rsidRPr="00000000">
        <w:rPr>
          <w:b w:val="1"/>
          <w:bCs w:val="1"/>
          <w:color w:val="0b1220"/>
          <w:rtl w:val="0"/>
        </w:rPr>
        <w:t xml:space="preserve">Product Analytics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600"/>
        <w:gridCol w:w="2760"/>
        <w:tblGridChange w:id="0">
          <w:tblGrid>
            <w:gridCol w:w="3000"/>
            <w:gridCol w:w="3600"/>
            <w:gridCol w:w="27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Entity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f2937" w:val="clear"/>
            <w:tcMar>
              <w:top w:w="100.0" w:type="dxa"/>
              <w:left w:w="140.0" w:type="dxa"/>
              <w:bottom w:w="10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Headquarter / Processing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Mixpanel,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 analytics; Service-usage telemetry (de-identified where feasible).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(San Francisco, CA);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PostHog Inc.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 analytics; event capture and user-behaviour telemetry (de-identified where feasible).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9fa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United States (San Francisco, CA); EU regions for processing.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80" w:before="32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Get notified of Sub-processor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Under the Qevlar DPA, Qevlar will notify customers of any new Sub-processor at least fifteen (15) days before authorising it to process customer personal data. To receive these notifications by email, subscribe at support@qevlar.com with the subject line “Subscribe — Sub-processor updates.”</w:t>
      </w:r>
    </w:p>
    <w:sectPr>
      <w:headerReference r:id="rId7" w:type="default"/>
      <w:footerReference r:id="rId8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center"/>
      <w:rPr/>
    </w:pPr>
    <w:r w:rsidDel="00000000" w:rsidR="00000000" w:rsidRPr="00000000">
      <w:rPr>
        <w:color w:val="555555"/>
        <w:sz w:val="18"/>
        <w:szCs w:val="18"/>
        <w:rtl w:val="0"/>
      </w:rPr>
      <w:t xml:space="preserve">Effective 29 May 2026 · Page </w:t>
    </w:r>
    <w:r w:rsidDel="00000000" w:rsidR="00000000" w:rsidRPr="00000000">
      <w:rPr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right"/>
      <w:rPr/>
    </w:pPr>
    <w:r w:rsidDel="00000000" w:rsidR="00000000" w:rsidRPr="00000000">
      <w:rPr>
        <w:i w:val="1"/>
        <w:iCs w:val="1"/>
        <w:color w:val="555555"/>
        <w:sz w:val="18"/>
        <w:szCs w:val="18"/>
        <w:rtl w:val="0"/>
      </w:rPr>
      <w:t xml:space="preserve">Qevlar AI — Sub-processors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b122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YUFM9XOsOg+2uirTXfaXC1ItA==">CgMxLjA4AHIhMTVGbUQzQTdQVFVCUWwwU2dqalRQdlp2enFNcUoyc2Ry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