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Wirksamkeitsprüfung Gefährdungsbeurteilung</w:t>
      </w:r>
    </w:p>
    <w:p>
      <w:r>
        <w:rPr>
          <w:color w:val="333333"/>
          <w:sz w:val="20"/>
        </w:rPr>
        <w:t>Nach §3 Abs. 1 ArbSchG sind Maßnahmen auf ihre Wirksamkeit zu überprüfen.</w:t>
      </w:r>
    </w:p>
    <w:p>
      <w:r>
        <w:rPr>
          <w:b/>
          <w:color w:val="1E3A2B"/>
          <w:sz w:val="20"/>
        </w:rPr>
        <w:t xml:space="preserve">Bezug zur GBU (Datum, Bereich): </w:t>
      </w:r>
    </w:p>
    <w:p>
      <w:r>
        <w:t>___________________________________________________________________________________________________________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Maßnahme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Ziel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Indikator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Stand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Wirksam ja/nein</w:t>
            </w:r>
          </w:p>
        </w:tc>
        <w:tc>
          <w:tcPr>
            <w:tcW w:type="dxa" w:w="1624"/>
            <w:shd w:fill="1E3A2B"/>
          </w:tcPr>
          <w:p>
            <w:r>
              <w:rPr>
                <w:b/>
                <w:color w:val="FFFFFF"/>
                <w:sz w:val="20"/>
              </w:rPr>
              <w:t>Anpassungsbedarf</w:t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  <w:tc>
          <w:tcPr>
            <w:tcW w:type="dxa" w:w="1624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Datum / Unterschrift: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