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Verbandbuch nach §24 DGUV V1</w:t>
      </w:r>
    </w:p>
    <w:p>
      <w:r>
        <w:rPr>
          <w:color w:val="333333"/>
          <w:sz w:val="20"/>
        </w:rPr>
        <w:t>Eintragung aller Erste-Hilfe-Leistungen, Aufbewahrung mindestens 5 Jahre.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392"/>
        <w:gridCol w:w="1392"/>
        <w:gridCol w:w="1392"/>
        <w:gridCol w:w="1392"/>
        <w:gridCol w:w="1392"/>
        <w:gridCol w:w="1392"/>
        <w:gridCol w:w="1392"/>
      </w:tblGrid>
      <w:tr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Datum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Verletzte/r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Uhrzeit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Hergang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Art der Verletzung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Erste-Hilfe-Maßnahme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Ersthelfer</w:t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