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Begehungsprotokoll Arbeitsschutz</w:t>
      </w:r>
    </w:p>
    <w:p>
      <w:r>
        <w:rPr>
          <w:b/>
          <w:color w:val="1E3A2B"/>
          <w:sz w:val="20"/>
        </w:rPr>
        <w:t xml:space="preserve">Datum / Ort: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Teilnehmer (Arbeitgeber, Sifa, Betriebsarzt, BR): </w:t>
      </w:r>
    </w:p>
    <w:p>
      <w:r>
        <w:t>___________________________________________________________________________________________________________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Bereich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Festgestellter Mangel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Empfohlene Maßnahme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Priorität (1-3)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Termin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Verantwortlich</w:t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Unterschriften: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