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Hautschutzplan nach TRGS 401</w:t>
      </w:r>
    </w:p>
    <w:p>
      <w:r>
        <w:rPr>
          <w:color w:val="333333"/>
          <w:sz w:val="20"/>
        </w:rPr>
        <w:t>Verbindlich bei Feuchtarbeit über zwei Stunden täglich oder Hautkontakt mit Gefahrstoffen.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Tätigkeit / Bereich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Hautschutz vor Arbeitsbeginn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Hautreinigung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Hautpflege nach Arbeitsende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Bemerkung</w:t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Verantwortlich: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 nächste Revision: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