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0A477" w14:textId="77777777" w:rsidR="00356E15" w:rsidRDefault="00356E15" w:rsidP="00356E15">
      <w:pPr>
        <w:rPr>
          <w:b/>
          <w:bCs/>
          <w:i/>
          <w:iCs/>
        </w:rPr>
      </w:pPr>
      <w:r w:rsidRPr="00AC2857">
        <w:rPr>
          <w:b/>
          <w:bCs/>
          <w:i/>
          <w:iCs/>
          <w:highlight w:val="yellow"/>
        </w:rPr>
        <w:t>[</w:t>
      </w:r>
      <w:r w:rsidRPr="00F45A44">
        <w:rPr>
          <w:b/>
          <w:bCs/>
          <w:i/>
          <w:iCs/>
          <w:highlight w:val="yellow"/>
        </w:rPr>
        <w:t>Note: This is a template policy for community housing organisations</w:t>
      </w:r>
      <w:r>
        <w:rPr>
          <w:b/>
          <w:bCs/>
          <w:i/>
          <w:iCs/>
          <w:highlight w:val="yellow"/>
        </w:rPr>
        <w:t xml:space="preserve"> and</w:t>
      </w:r>
      <w:r w:rsidRPr="00F45A44">
        <w:rPr>
          <w:b/>
          <w:bCs/>
          <w:i/>
          <w:iCs/>
          <w:highlight w:val="yellow"/>
        </w:rPr>
        <w:t xml:space="preserve"> should be tailored to the specific needs of the organisation and linked to appropriate policies</w:t>
      </w:r>
      <w:r>
        <w:rPr>
          <w:b/>
          <w:bCs/>
          <w:i/>
          <w:iCs/>
          <w:highlight w:val="yellow"/>
        </w:rPr>
        <w:t xml:space="preserve"> and procedures</w:t>
      </w:r>
      <w:r w:rsidRPr="00F45A44">
        <w:rPr>
          <w:b/>
          <w:bCs/>
          <w:i/>
          <w:iCs/>
          <w:highlight w:val="yellow"/>
        </w:rPr>
        <w:t>.</w:t>
      </w:r>
      <w:r w:rsidRPr="00AC2857">
        <w:rPr>
          <w:b/>
          <w:bCs/>
          <w:i/>
          <w:iCs/>
          <w:highlight w:val="yellow"/>
        </w:rPr>
        <w:t>]</w:t>
      </w:r>
    </w:p>
    <w:p w14:paraId="4F33BA83" w14:textId="28ABE9A0" w:rsidR="004F4954" w:rsidRDefault="00EA37BE" w:rsidP="00356E15">
      <w:pPr>
        <w:pStyle w:val="Heading1"/>
      </w:pPr>
      <w:r>
        <w:t>Transitional Housing Management (THM)</w:t>
      </w:r>
      <w:r w:rsidR="00356E15">
        <w:t xml:space="preserve"> Policy</w:t>
      </w:r>
    </w:p>
    <w:tbl>
      <w:tblPr>
        <w:tblStyle w:val="TableGrid"/>
        <w:tblW w:w="0" w:type="auto"/>
        <w:tblLook w:val="04A0" w:firstRow="1" w:lastRow="0" w:firstColumn="1" w:lastColumn="0" w:noHBand="0" w:noVBand="1"/>
      </w:tblPr>
      <w:tblGrid>
        <w:gridCol w:w="2068"/>
        <w:gridCol w:w="6948"/>
      </w:tblGrid>
      <w:tr w:rsidR="009928C5" w14:paraId="702131A8" w14:textId="77777777" w:rsidTr="00AC2857">
        <w:tc>
          <w:tcPr>
            <w:tcW w:w="2093" w:type="dxa"/>
          </w:tcPr>
          <w:p w14:paraId="67FE8BA9" w14:textId="77777777" w:rsidR="009928C5" w:rsidRPr="00AC2857" w:rsidRDefault="009928C5" w:rsidP="00AC2857">
            <w:pPr>
              <w:rPr>
                <w:b/>
                <w:bCs/>
              </w:rPr>
            </w:pPr>
            <w:r w:rsidRPr="00AC2857">
              <w:rPr>
                <w:b/>
                <w:bCs/>
              </w:rPr>
              <w:t>Date created</w:t>
            </w:r>
          </w:p>
        </w:tc>
        <w:tc>
          <w:tcPr>
            <w:tcW w:w="7143" w:type="dxa"/>
          </w:tcPr>
          <w:p w14:paraId="2B40CDBA" w14:textId="77777777" w:rsidR="009928C5" w:rsidRPr="00AC2857" w:rsidRDefault="009928C5" w:rsidP="00AC2857">
            <w:pPr>
              <w:rPr>
                <w:highlight w:val="yellow"/>
              </w:rPr>
            </w:pPr>
          </w:p>
        </w:tc>
      </w:tr>
      <w:tr w:rsidR="009928C5" w14:paraId="4DC51D9F" w14:textId="77777777" w:rsidTr="00AC2857">
        <w:tc>
          <w:tcPr>
            <w:tcW w:w="2093" w:type="dxa"/>
          </w:tcPr>
          <w:p w14:paraId="447AF91C" w14:textId="77777777" w:rsidR="009928C5" w:rsidRPr="00AC2857" w:rsidRDefault="009928C5" w:rsidP="00AC2857">
            <w:pPr>
              <w:rPr>
                <w:b/>
                <w:bCs/>
              </w:rPr>
            </w:pPr>
            <w:r w:rsidRPr="00AC2857">
              <w:rPr>
                <w:b/>
                <w:bCs/>
              </w:rPr>
              <w:t>Review date</w:t>
            </w:r>
          </w:p>
        </w:tc>
        <w:tc>
          <w:tcPr>
            <w:tcW w:w="7143" w:type="dxa"/>
          </w:tcPr>
          <w:p w14:paraId="3CB38369" w14:textId="77777777" w:rsidR="009928C5" w:rsidRPr="00AC2857" w:rsidRDefault="009928C5" w:rsidP="00AC2857">
            <w:pPr>
              <w:rPr>
                <w:highlight w:val="yellow"/>
              </w:rPr>
            </w:pPr>
          </w:p>
        </w:tc>
      </w:tr>
      <w:tr w:rsidR="009928C5" w14:paraId="25C3C2F5" w14:textId="77777777" w:rsidTr="00AC2857">
        <w:tc>
          <w:tcPr>
            <w:tcW w:w="2093" w:type="dxa"/>
          </w:tcPr>
          <w:p w14:paraId="1E0E4BBC" w14:textId="77777777" w:rsidR="009928C5" w:rsidRPr="00AC2857" w:rsidRDefault="009928C5" w:rsidP="00AC2857">
            <w:pPr>
              <w:rPr>
                <w:b/>
                <w:bCs/>
              </w:rPr>
            </w:pPr>
            <w:r w:rsidRPr="00AC2857">
              <w:rPr>
                <w:b/>
                <w:bCs/>
              </w:rPr>
              <w:t>Reviewed by</w:t>
            </w:r>
          </w:p>
        </w:tc>
        <w:tc>
          <w:tcPr>
            <w:tcW w:w="7143" w:type="dxa"/>
          </w:tcPr>
          <w:p w14:paraId="257C1F26" w14:textId="77777777" w:rsidR="009928C5" w:rsidRPr="00AC2857" w:rsidRDefault="009928C5" w:rsidP="00AC2857">
            <w:pPr>
              <w:rPr>
                <w:highlight w:val="yellow"/>
              </w:rPr>
            </w:pPr>
          </w:p>
        </w:tc>
      </w:tr>
    </w:tbl>
    <w:p w14:paraId="132B961E" w14:textId="28F2B874" w:rsidR="009928C5" w:rsidRDefault="009928C5" w:rsidP="00F60542">
      <w:pPr>
        <w:pStyle w:val="Heading1"/>
      </w:pPr>
      <w:r>
        <w:t>Purpose</w:t>
      </w:r>
    </w:p>
    <w:p w14:paraId="73E9E77B" w14:textId="6B18CC54" w:rsidR="00012413" w:rsidRPr="00012413" w:rsidRDefault="00012413" w:rsidP="00012413">
      <w:r>
        <w:t xml:space="preserve">The purpose of this policy is to detail the management of </w:t>
      </w:r>
      <w:r w:rsidRPr="00012413">
        <w:rPr>
          <w:highlight w:val="yellow"/>
        </w:rPr>
        <w:t>[CHOs]</w:t>
      </w:r>
      <w:r>
        <w:t xml:space="preserve"> transitional housing program.</w:t>
      </w:r>
    </w:p>
    <w:p w14:paraId="42C54665" w14:textId="69033DE4" w:rsidR="009928C5" w:rsidRDefault="009928C5" w:rsidP="001B0ACB">
      <w:pPr>
        <w:pStyle w:val="Heading1"/>
      </w:pPr>
      <w:r>
        <w:t>Scope</w:t>
      </w:r>
    </w:p>
    <w:p w14:paraId="6FBBC37A" w14:textId="795FA557" w:rsidR="00D94057" w:rsidRDefault="00D94057" w:rsidP="00613A90">
      <w:r>
        <w:t xml:space="preserve">This policy applies to all Transitional Housing properties managed on behalf of DFFH by </w:t>
      </w:r>
      <w:r w:rsidRPr="00D94057">
        <w:rPr>
          <w:highlight w:val="yellow"/>
        </w:rPr>
        <w:t>[CHO]</w:t>
      </w:r>
      <w:r>
        <w:t>.</w:t>
      </w:r>
    </w:p>
    <w:p w14:paraId="23A6CF63" w14:textId="5E6C50FB" w:rsidR="00EA3CF3" w:rsidRDefault="00EA3CF3" w:rsidP="00613A90">
      <w:r>
        <w:t xml:space="preserve">This policy does not apply to the following housing programs </w:t>
      </w:r>
      <w:r w:rsidR="003F7B10">
        <w:t>run</w:t>
      </w:r>
      <w:r>
        <w:t xml:space="preserve"> by </w:t>
      </w:r>
      <w:r w:rsidRPr="00AC2857">
        <w:rPr>
          <w:highlight w:val="yellow"/>
        </w:rPr>
        <w:t>[CHO]</w:t>
      </w:r>
      <w:r w:rsidRPr="0042098D">
        <w:t xml:space="preserve"> </w:t>
      </w:r>
      <w:r w:rsidRPr="00AC2857">
        <w:rPr>
          <w:highlight w:val="yellow"/>
        </w:rPr>
        <w:t>[</w:t>
      </w:r>
      <w:r>
        <w:rPr>
          <w:highlight w:val="yellow"/>
        </w:rPr>
        <w:t>delete or add</w:t>
      </w:r>
      <w:r w:rsidRPr="00022E97">
        <w:rPr>
          <w:highlight w:val="yellow"/>
        </w:rPr>
        <w:t xml:space="preserve"> as appropriate</w:t>
      </w:r>
      <w:r w:rsidRPr="00AC2857">
        <w:rPr>
          <w:highlight w:val="yellow"/>
        </w:rPr>
        <w:t>]</w:t>
      </w:r>
      <w:r>
        <w:t>:</w:t>
      </w:r>
    </w:p>
    <w:p w14:paraId="12DD58D0" w14:textId="1D90A81E" w:rsidR="002701BD" w:rsidRPr="00EA1639" w:rsidRDefault="004B2D54" w:rsidP="009E602B">
      <w:pPr>
        <w:pStyle w:val="ListParagraph"/>
        <w:numPr>
          <w:ilvl w:val="0"/>
          <w:numId w:val="4"/>
        </w:numPr>
      </w:pPr>
      <w:r>
        <w:t>P</w:t>
      </w:r>
      <w:r w:rsidR="002701BD" w:rsidRPr="00EA1639">
        <w:t xml:space="preserve">roperties managed by </w:t>
      </w:r>
      <w:r w:rsidR="002701BD" w:rsidRPr="00613A90">
        <w:rPr>
          <w:highlight w:val="yellow"/>
        </w:rPr>
        <w:t>[CHO]</w:t>
      </w:r>
      <w:r w:rsidR="002701BD" w:rsidRPr="00EA1639">
        <w:t xml:space="preserve"> under the long-term housing program;</w:t>
      </w:r>
    </w:p>
    <w:p w14:paraId="50A4F16A" w14:textId="5834489D" w:rsidR="002701BD" w:rsidRPr="00EA1639" w:rsidRDefault="004B2D54" w:rsidP="009E602B">
      <w:pPr>
        <w:pStyle w:val="ListParagraph"/>
        <w:numPr>
          <w:ilvl w:val="0"/>
          <w:numId w:val="4"/>
        </w:numPr>
      </w:pPr>
      <w:r>
        <w:t>P</w:t>
      </w:r>
      <w:r w:rsidR="002701BD" w:rsidRPr="00EA1639">
        <w:t xml:space="preserve">roperties managed by </w:t>
      </w:r>
      <w:r w:rsidR="002701BD" w:rsidRPr="00613A90">
        <w:rPr>
          <w:highlight w:val="yellow"/>
        </w:rPr>
        <w:t>[CHO]</w:t>
      </w:r>
      <w:r w:rsidR="002701BD" w:rsidRPr="00EA1639">
        <w:t xml:space="preserve"> on behalf of other property owners where the owner retains responsibility for allocation of housing; and</w:t>
      </w:r>
    </w:p>
    <w:p w14:paraId="62CE3EC8" w14:textId="73EA5C3A" w:rsidR="002701BD" w:rsidRPr="00EA1639" w:rsidRDefault="004B2D54" w:rsidP="009E602B">
      <w:pPr>
        <w:pStyle w:val="ListParagraph"/>
        <w:numPr>
          <w:ilvl w:val="0"/>
          <w:numId w:val="4"/>
        </w:numPr>
      </w:pPr>
      <w:r>
        <w:t>C</w:t>
      </w:r>
      <w:r w:rsidR="002701BD" w:rsidRPr="00EA1639">
        <w:t>risis accommodation</w:t>
      </w:r>
      <w:r w:rsidR="002701BD">
        <w:t xml:space="preserve"> where the tenure is 6 weeks or less</w:t>
      </w:r>
      <w:r w:rsidR="002701BD" w:rsidRPr="00EA1639">
        <w:t>.</w:t>
      </w:r>
    </w:p>
    <w:p w14:paraId="05F2D4AE" w14:textId="4815795C" w:rsidR="009928C5" w:rsidRDefault="009928C5" w:rsidP="004F7747">
      <w:pPr>
        <w:pStyle w:val="Heading1"/>
      </w:pPr>
      <w:r>
        <w:t>Guiding principles</w:t>
      </w:r>
    </w:p>
    <w:p w14:paraId="23942397" w14:textId="2BB702E4" w:rsidR="009928C5" w:rsidRDefault="004F7747" w:rsidP="00CE68D9">
      <w:r>
        <w:t xml:space="preserve">In applying this policy </w:t>
      </w:r>
      <w:r w:rsidRPr="008B53CD">
        <w:rPr>
          <w:highlight w:val="yellow"/>
        </w:rPr>
        <w:t>[CHO]</w:t>
      </w:r>
      <w:r>
        <w:t xml:space="preserve"> will ensure:</w:t>
      </w:r>
    </w:p>
    <w:p w14:paraId="5AA53512" w14:textId="781773FD" w:rsidR="001837F9" w:rsidRDefault="001837F9" w:rsidP="009E602B">
      <w:pPr>
        <w:pStyle w:val="ListParagraph"/>
        <w:numPr>
          <w:ilvl w:val="0"/>
          <w:numId w:val="5"/>
        </w:numPr>
      </w:pPr>
      <w:r>
        <w:t>H</w:t>
      </w:r>
      <w:r>
        <w:t xml:space="preserve">ouseholds in immediate need of housing assistance are appropriately prioritised; </w:t>
      </w:r>
    </w:p>
    <w:p w14:paraId="0EF1D82C" w14:textId="722F3C32" w:rsidR="001837F9" w:rsidRDefault="001837F9" w:rsidP="009E602B">
      <w:pPr>
        <w:pStyle w:val="ListParagraph"/>
        <w:numPr>
          <w:ilvl w:val="0"/>
          <w:numId w:val="5"/>
        </w:numPr>
      </w:pPr>
      <w:r>
        <w:t>C</w:t>
      </w:r>
      <w:r>
        <w:t>onsideration</w:t>
      </w:r>
      <w:r w:rsidRPr="00317B9E">
        <w:t xml:space="preserve"> </w:t>
      </w:r>
      <w:r>
        <w:t>is given to the health, safety and support needs of applicants;</w:t>
      </w:r>
    </w:p>
    <w:p w14:paraId="6EFEC149" w14:textId="4255DB5A" w:rsidR="001837F9" w:rsidRDefault="001837F9" w:rsidP="009E602B">
      <w:pPr>
        <w:pStyle w:val="ListParagraph"/>
        <w:numPr>
          <w:ilvl w:val="0"/>
          <w:numId w:val="5"/>
        </w:numPr>
      </w:pPr>
      <w:r>
        <w:t>V</w:t>
      </w:r>
      <w:r>
        <w:t>acant properties are matched with individuals housing needs;</w:t>
      </w:r>
    </w:p>
    <w:p w14:paraId="5A6A34D1" w14:textId="03A67BEC" w:rsidR="005E4B8D" w:rsidRDefault="00F23772" w:rsidP="009E602B">
      <w:pPr>
        <w:pStyle w:val="ListParagraph"/>
        <w:numPr>
          <w:ilvl w:val="0"/>
          <w:numId w:val="5"/>
        </w:numPr>
      </w:pPr>
      <w:r>
        <w:t>C</w:t>
      </w:r>
      <w:r w:rsidR="005E4B8D">
        <w:t xml:space="preserve">onsistent, fair, and accountable processes are followed, and renters </w:t>
      </w:r>
      <w:r w:rsidR="00C35C7D">
        <w:t>are</w:t>
      </w:r>
      <w:r w:rsidR="005E4B8D">
        <w:t xml:space="preserve"> provided with information about processes that impact their tenanc</w:t>
      </w:r>
      <w:r w:rsidR="00C35C7D">
        <w:t>y</w:t>
      </w:r>
      <w:r w:rsidR="005E4B8D">
        <w:t>;</w:t>
      </w:r>
    </w:p>
    <w:p w14:paraId="64BC3D8A" w14:textId="113995E8" w:rsidR="00617355" w:rsidRDefault="00617355" w:rsidP="009E602B">
      <w:pPr>
        <w:pStyle w:val="ListParagraph"/>
        <w:numPr>
          <w:ilvl w:val="0"/>
          <w:numId w:val="5"/>
        </w:numPr>
      </w:pPr>
      <w:r w:rsidRPr="2AD6B806">
        <w:t>Proper consideration is given to the human rights of renters unde</w:t>
      </w:r>
      <w:r w:rsidRPr="007445BB">
        <w:t>r the Charter of Human Rights and Responsibilities Act 2006 (Vic) (Charter)</w:t>
      </w:r>
      <w:r w:rsidR="007445BB">
        <w:t>;</w:t>
      </w:r>
    </w:p>
    <w:p w14:paraId="2FA34D31" w14:textId="77777777" w:rsidR="00C3717E" w:rsidRDefault="00C3717E" w:rsidP="009E602B">
      <w:pPr>
        <w:pStyle w:val="ListParagraph"/>
        <w:numPr>
          <w:ilvl w:val="0"/>
          <w:numId w:val="5"/>
        </w:numPr>
      </w:pPr>
      <w:r>
        <w:t>A</w:t>
      </w:r>
      <w:r w:rsidRPr="00762BAF">
        <w:t>ll</w:t>
      </w:r>
      <w:r>
        <w:t xml:space="preserve"> contractual, legal and</w:t>
      </w:r>
      <w:r w:rsidRPr="00762BAF">
        <w:t xml:space="preserve"> regulatory duties are met</w:t>
      </w:r>
      <w:r>
        <w:t>.</w:t>
      </w:r>
    </w:p>
    <w:p w14:paraId="67AA8FBE" w14:textId="77777777" w:rsidR="00116155" w:rsidRDefault="00116155" w:rsidP="00116155">
      <w:pPr>
        <w:pStyle w:val="Heading1"/>
      </w:pPr>
      <w:r>
        <w:lastRenderedPageBreak/>
        <w:t>Aim of the THM program</w:t>
      </w:r>
    </w:p>
    <w:p w14:paraId="2530BFA7" w14:textId="352D789A" w:rsidR="00531E83" w:rsidRDefault="00116155" w:rsidP="003010F3">
      <w:r w:rsidRPr="00EA1639">
        <w:t>The transitional housing program is subject to guidelines as established by the Department of Families Fairness and Housing (DFFH)</w:t>
      </w:r>
      <w:r w:rsidR="007812A4">
        <w:t xml:space="preserve"> </w:t>
      </w:r>
      <w:hyperlink r:id="rId10" w:history="1">
        <w:r w:rsidR="007812A4">
          <w:rPr>
            <w:rStyle w:val="Hyperlink"/>
          </w:rPr>
          <w:t>Homelessness Services guidelines and Conditions of Funding</w:t>
        </w:r>
      </w:hyperlink>
      <w:r w:rsidR="007812A4">
        <w:t>.</w:t>
      </w:r>
    </w:p>
    <w:p w14:paraId="155950A8" w14:textId="6190CEBC" w:rsidR="00116155" w:rsidRDefault="00116155" w:rsidP="003010F3">
      <w:r w:rsidRPr="00EA1639">
        <w:t>Transitional housing provides short term, subsidised housing to individuals and families during which time renters must engage with their support provider to secure long term housing options.</w:t>
      </w:r>
    </w:p>
    <w:p w14:paraId="1E77EE56" w14:textId="26A00278" w:rsidR="00116155" w:rsidRPr="00596E39" w:rsidRDefault="00116155" w:rsidP="003010F3">
      <w:r w:rsidRPr="00596E39">
        <w:t>The broad aim of the THM program from a housing provision perspective is to:</w:t>
      </w:r>
    </w:p>
    <w:p w14:paraId="79FF20A5" w14:textId="6B290A30" w:rsidR="00116155" w:rsidRPr="00596E39" w:rsidRDefault="00430857" w:rsidP="009E602B">
      <w:pPr>
        <w:pStyle w:val="ListParagraph"/>
        <w:numPr>
          <w:ilvl w:val="0"/>
          <w:numId w:val="6"/>
        </w:numPr>
      </w:pPr>
      <w:r>
        <w:t>P</w:t>
      </w:r>
      <w:r w:rsidR="00116155" w:rsidRPr="00596E39">
        <w:t xml:space="preserve">rovide housing assistance to individuals and families in crisis because of homelessness or impending homelessness;   </w:t>
      </w:r>
    </w:p>
    <w:p w14:paraId="4B945E1D" w14:textId="5678CB08" w:rsidR="00116155" w:rsidRPr="00596E39" w:rsidRDefault="00430857" w:rsidP="009E602B">
      <w:pPr>
        <w:pStyle w:val="ListParagraph"/>
        <w:numPr>
          <w:ilvl w:val="0"/>
          <w:numId w:val="6"/>
        </w:numPr>
      </w:pPr>
      <w:r>
        <w:t>A</w:t>
      </w:r>
      <w:r w:rsidR="00116155" w:rsidRPr="00596E39">
        <w:t>ssist individuals and families in housing crisis to establish and/or maintain appropriate, secure, and sustainable housing through the provision of transitional housing, initial assessment and planning, and support</w:t>
      </w:r>
      <w:r w:rsidR="006E3348">
        <w:t>;</w:t>
      </w:r>
      <w:r w:rsidR="00116155" w:rsidRPr="00596E39">
        <w:t xml:space="preserve">  </w:t>
      </w:r>
    </w:p>
    <w:p w14:paraId="15EB6843" w14:textId="20D9CB9A" w:rsidR="00116155" w:rsidRPr="00596E39" w:rsidRDefault="00430857" w:rsidP="009E602B">
      <w:pPr>
        <w:pStyle w:val="ListParagraph"/>
        <w:numPr>
          <w:ilvl w:val="0"/>
          <w:numId w:val="6"/>
        </w:numPr>
      </w:pPr>
      <w:r>
        <w:t>P</w:t>
      </w:r>
      <w:r w:rsidR="00116155" w:rsidRPr="00596E39">
        <w:t xml:space="preserve">rovide general transitional housing and Joined-Up Initiative housing in accordance with formalised allocation referral pathways, and through collaboration with Local Area Service Networks via the Resource Register process.  </w:t>
      </w:r>
    </w:p>
    <w:p w14:paraId="030B9122" w14:textId="77777777" w:rsidR="00116155" w:rsidRDefault="00116155" w:rsidP="00116155">
      <w:pPr>
        <w:pStyle w:val="Heading1"/>
      </w:pPr>
      <w:r>
        <w:t>Eligibility for THM</w:t>
      </w:r>
    </w:p>
    <w:p w14:paraId="6DCB8111" w14:textId="77777777" w:rsidR="00116155" w:rsidRPr="002854DF" w:rsidRDefault="00116155" w:rsidP="006E3348">
      <w:r w:rsidRPr="002854DF">
        <w:t xml:space="preserve">Any household wishing to access transitional housing will have first received an assessment from a homelessness access point service or family violence entry point service in order to be placed on the prioritisation list for access to transitional housing. </w:t>
      </w:r>
    </w:p>
    <w:p w14:paraId="33236077" w14:textId="0F7CA236" w:rsidR="00116155" w:rsidRPr="002854DF" w:rsidRDefault="00116155" w:rsidP="006E3348">
      <w:r w:rsidRPr="002854DF">
        <w:t xml:space="preserve"> The assessment takes into consideration a range of circumstances</w:t>
      </w:r>
      <w:r w:rsidR="00B4691F">
        <w:t>,</w:t>
      </w:r>
      <w:r w:rsidRPr="002854DF">
        <w:t xml:space="preserve"> including:</w:t>
      </w:r>
    </w:p>
    <w:p w14:paraId="6F388660" w14:textId="7311CF6A" w:rsidR="00116155" w:rsidRPr="006E3348" w:rsidRDefault="006E3348" w:rsidP="009E602B">
      <w:pPr>
        <w:pStyle w:val="ListParagraph"/>
        <w:numPr>
          <w:ilvl w:val="0"/>
          <w:numId w:val="7"/>
        </w:numPr>
        <w:rPr>
          <w:rFonts w:eastAsiaTheme="minorEastAsia"/>
        </w:rPr>
      </w:pPr>
      <w:r>
        <w:t>C</w:t>
      </w:r>
      <w:r w:rsidR="00116155" w:rsidRPr="002854DF">
        <w:t>urrent accommodation</w:t>
      </w:r>
      <w:r>
        <w:t>;</w:t>
      </w:r>
    </w:p>
    <w:p w14:paraId="66880636" w14:textId="0D4F09BA" w:rsidR="00116155" w:rsidRPr="006E3348" w:rsidRDefault="006E3348" w:rsidP="009E602B">
      <w:pPr>
        <w:pStyle w:val="ListParagraph"/>
        <w:numPr>
          <w:ilvl w:val="0"/>
          <w:numId w:val="7"/>
        </w:numPr>
        <w:rPr>
          <w:rFonts w:eastAsiaTheme="minorEastAsia"/>
        </w:rPr>
      </w:pPr>
      <w:r>
        <w:t>O</w:t>
      </w:r>
      <w:r w:rsidR="00116155" w:rsidRPr="002854DF">
        <w:t>ther housing options available</w:t>
      </w:r>
      <w:r>
        <w:t>;</w:t>
      </w:r>
    </w:p>
    <w:p w14:paraId="0B6330D8" w14:textId="5026F773" w:rsidR="00116155" w:rsidRPr="006E3348" w:rsidRDefault="006E3348" w:rsidP="009E602B">
      <w:pPr>
        <w:pStyle w:val="ListParagraph"/>
        <w:numPr>
          <w:ilvl w:val="0"/>
          <w:numId w:val="7"/>
        </w:numPr>
        <w:rPr>
          <w:rFonts w:eastAsiaTheme="minorEastAsia"/>
        </w:rPr>
      </w:pPr>
      <w:r>
        <w:t>S</w:t>
      </w:r>
      <w:r w:rsidR="00116155" w:rsidRPr="002854DF">
        <w:t>tated and/or observed support needs</w:t>
      </w:r>
      <w:r>
        <w:t>;</w:t>
      </w:r>
    </w:p>
    <w:p w14:paraId="77557F2B" w14:textId="2D45219B" w:rsidR="00116155" w:rsidRPr="006E3348" w:rsidRDefault="006E3348" w:rsidP="009E602B">
      <w:pPr>
        <w:pStyle w:val="ListParagraph"/>
        <w:numPr>
          <w:ilvl w:val="0"/>
          <w:numId w:val="7"/>
        </w:numPr>
        <w:rPr>
          <w:rFonts w:eastAsiaTheme="minorEastAsia"/>
        </w:rPr>
      </w:pPr>
      <w:r>
        <w:t>P</w:t>
      </w:r>
      <w:r w:rsidR="00116155" w:rsidRPr="002854DF">
        <w:t>rofessional support available</w:t>
      </w:r>
      <w:r>
        <w:t>;</w:t>
      </w:r>
    </w:p>
    <w:p w14:paraId="25FC975F" w14:textId="70009827" w:rsidR="00116155" w:rsidRPr="006E3348" w:rsidRDefault="006E3348" w:rsidP="009E602B">
      <w:pPr>
        <w:pStyle w:val="ListParagraph"/>
        <w:numPr>
          <w:ilvl w:val="0"/>
          <w:numId w:val="7"/>
        </w:numPr>
        <w:rPr>
          <w:rFonts w:eastAsiaTheme="minorEastAsia"/>
        </w:rPr>
      </w:pPr>
      <w:r>
        <w:t>A</w:t>
      </w:r>
      <w:r w:rsidR="00116155" w:rsidRPr="002854DF">
        <w:t>ssessment of an individual’s situation and level of vulnerability</w:t>
      </w:r>
      <w:r>
        <w:t>.</w:t>
      </w:r>
    </w:p>
    <w:p w14:paraId="6647F000" w14:textId="471BD546" w:rsidR="00116155" w:rsidRDefault="00116155" w:rsidP="00116155">
      <w:pPr>
        <w:pStyle w:val="Heading1"/>
      </w:pPr>
      <w:bookmarkStart w:id="0" w:name="_Hlk121916940"/>
      <w:r>
        <w:t>Allocation</w:t>
      </w:r>
      <w:bookmarkEnd w:id="0"/>
      <w:r>
        <w:t>s</w:t>
      </w:r>
      <w:r>
        <w:t xml:space="preserve"> </w:t>
      </w:r>
    </w:p>
    <w:p w14:paraId="70CF1DB1" w14:textId="252FF6CD" w:rsidR="00116155" w:rsidRPr="002854DF" w:rsidRDefault="00116155" w:rsidP="00B4691F">
      <w:r w:rsidRPr="002854DF">
        <w:t>Transitional Housing Management is not long-term housing</w:t>
      </w:r>
      <w:r>
        <w:t xml:space="preserve"> and </w:t>
      </w:r>
      <w:r w:rsidRPr="002854DF">
        <w:t xml:space="preserve">allocations are not made from the </w:t>
      </w:r>
      <w:r>
        <w:t>Victorian Housing Register (</w:t>
      </w:r>
      <w:r w:rsidRPr="002854DF">
        <w:t>VHR</w:t>
      </w:r>
      <w:r>
        <w:t>)</w:t>
      </w:r>
      <w:r w:rsidRPr="002854DF">
        <w:t>.</w:t>
      </w:r>
      <w:r>
        <w:t xml:space="preserve"> Allocation of Transitional housing is coordinated through the Local Area Service Networks (LASN’s) meaning clients cannot self-refer into a </w:t>
      </w:r>
      <w:r w:rsidR="004A2948">
        <w:t>t</w:t>
      </w:r>
      <w:r>
        <w:t xml:space="preserve">ransitional </w:t>
      </w:r>
      <w:r w:rsidR="004A2948">
        <w:t>h</w:t>
      </w:r>
      <w:r>
        <w:t xml:space="preserve">ousing vacancy. </w:t>
      </w:r>
      <w:r w:rsidRPr="002854DF">
        <w:t xml:space="preserve">There is no wait list for THM access and allocation occurs generally by way or nomination </w:t>
      </w:r>
      <w:r w:rsidR="004A2948">
        <w:t>rights</w:t>
      </w:r>
      <w:r w:rsidRPr="002854DF">
        <w:t>, joined up initiatives or advertised vacancies.</w:t>
      </w:r>
    </w:p>
    <w:p w14:paraId="54B30C81" w14:textId="53E9A573" w:rsidR="00116155" w:rsidRPr="0047231D" w:rsidRDefault="00116155" w:rsidP="00B4691F">
      <w:r w:rsidRPr="00615819">
        <w:rPr>
          <w:highlight w:val="yellow"/>
        </w:rPr>
        <w:t>[CHO]</w:t>
      </w:r>
      <w:r>
        <w:t xml:space="preserve"> has formal partnership</w:t>
      </w:r>
      <w:r w:rsidRPr="002854DF">
        <w:t xml:space="preserve"> agreements in place with nomination </w:t>
      </w:r>
      <w:r w:rsidRPr="00FE323A">
        <w:t xml:space="preserve">agencies who support renters throughout their tenancy. </w:t>
      </w:r>
      <w:r w:rsidR="00D45E5F">
        <w:t>S</w:t>
      </w:r>
      <w:r w:rsidRPr="00FE323A">
        <w:t>upport include</w:t>
      </w:r>
      <w:r>
        <w:t>s</w:t>
      </w:r>
      <w:r w:rsidRPr="00FE323A">
        <w:t xml:space="preserve"> development of case plans and regular reviews to achieve a long-term housing outcome.</w:t>
      </w:r>
      <w:r w:rsidRPr="002854DF">
        <w:t xml:space="preserve"> </w:t>
      </w:r>
    </w:p>
    <w:p w14:paraId="172FD02F" w14:textId="77777777" w:rsidR="008C427D" w:rsidRDefault="00116155" w:rsidP="008C427D">
      <w:pPr>
        <w:pStyle w:val="Heading3"/>
      </w:pPr>
      <w:r w:rsidRPr="002854DF">
        <w:rPr>
          <w:rFonts w:eastAsia="Calibri"/>
        </w:rPr>
        <w:lastRenderedPageBreak/>
        <w:t xml:space="preserve">Nomination </w:t>
      </w:r>
      <w:r w:rsidR="00D45E5F">
        <w:t>rights</w:t>
      </w:r>
    </w:p>
    <w:p w14:paraId="73F39EC8" w14:textId="061CBA9D" w:rsidR="00116155" w:rsidRPr="002854DF" w:rsidRDefault="00116155" w:rsidP="00D45E5F">
      <w:r w:rsidRPr="002854DF">
        <w:t xml:space="preserve">Support agencies in each region hold nomination </w:t>
      </w:r>
      <w:r w:rsidR="00D45E5F">
        <w:t>rights</w:t>
      </w:r>
      <w:r w:rsidRPr="002854DF">
        <w:t xml:space="preserve"> to specific properties. When a property becomes available, the nominating agency is notified and asked to nominate renter/s into that property.</w:t>
      </w:r>
    </w:p>
    <w:p w14:paraId="227DC55D" w14:textId="77777777" w:rsidR="008C427D" w:rsidRDefault="00116155" w:rsidP="008C427D">
      <w:pPr>
        <w:pStyle w:val="Heading3"/>
      </w:pPr>
      <w:r w:rsidRPr="002854DF">
        <w:rPr>
          <w:rFonts w:eastAsia="Calibri"/>
        </w:rPr>
        <w:t>Joined Up Initiatives/Housing Pathways</w:t>
      </w:r>
    </w:p>
    <w:p w14:paraId="641F4A67" w14:textId="528063B4" w:rsidR="00116155" w:rsidRPr="002854DF" w:rsidRDefault="00116155" w:rsidP="00D45E5F">
      <w:r w:rsidRPr="002854DF">
        <w:t xml:space="preserve">The Department has also made properties available to other Departments within government including but not limited to, youth justice, mental health, corrections, drug, and alcohol etc.; these are called “Joined Up Initiatives” (JUI). These Departments and/or their partnering support agency have nomination access to specific properties with the THM portfolio. </w:t>
      </w:r>
    </w:p>
    <w:p w14:paraId="6825F8FC" w14:textId="13CDD169" w:rsidR="008C427D" w:rsidRDefault="00116155" w:rsidP="008C427D">
      <w:pPr>
        <w:pStyle w:val="Heading3"/>
      </w:pPr>
      <w:r w:rsidRPr="002854DF">
        <w:rPr>
          <w:rFonts w:eastAsia="Calibri"/>
        </w:rPr>
        <w:t>Advertised vacancie</w:t>
      </w:r>
      <w:r w:rsidR="008C427D">
        <w:t>s</w:t>
      </w:r>
    </w:p>
    <w:p w14:paraId="1F76330D" w14:textId="2F94524C" w:rsidR="00116155" w:rsidRPr="002854DF" w:rsidRDefault="00116155" w:rsidP="00D45E5F">
      <w:r w:rsidRPr="002854DF">
        <w:t xml:space="preserve">In each THM portfolio there are properties that are not allocated to a JUI or Support Agency. When these properties become tenantable, they are advertised on the government website or resource register. This allows agencies from the region to nominate into the property. </w:t>
      </w:r>
    </w:p>
    <w:p w14:paraId="14914734" w14:textId="77777777" w:rsidR="00116155" w:rsidRPr="002854DF" w:rsidRDefault="00116155" w:rsidP="00890D1C">
      <w:r w:rsidRPr="002854DF">
        <w:t>There are several considerations when allocating an advertised property to a resident that include but are not limited to:</w:t>
      </w:r>
    </w:p>
    <w:p w14:paraId="24654253" w14:textId="6BC01F4C" w:rsidR="00116155" w:rsidRPr="00890D1C" w:rsidRDefault="00116155" w:rsidP="009E602B">
      <w:pPr>
        <w:pStyle w:val="ListParagraph"/>
        <w:numPr>
          <w:ilvl w:val="0"/>
          <w:numId w:val="8"/>
        </w:numPr>
        <w:rPr>
          <w:rFonts w:eastAsiaTheme="minorEastAsia"/>
        </w:rPr>
      </w:pPr>
      <w:r w:rsidRPr="002854DF">
        <w:t>Allocation policies for the region;</w:t>
      </w:r>
    </w:p>
    <w:p w14:paraId="5BAE38FA" w14:textId="2D11103A" w:rsidR="00116155" w:rsidRPr="00890D1C" w:rsidRDefault="00116155" w:rsidP="009E602B">
      <w:pPr>
        <w:pStyle w:val="ListParagraph"/>
        <w:numPr>
          <w:ilvl w:val="0"/>
          <w:numId w:val="8"/>
        </w:numPr>
        <w:rPr>
          <w:rFonts w:eastAsiaTheme="minorEastAsia"/>
        </w:rPr>
      </w:pPr>
      <w:r w:rsidRPr="002854DF">
        <w:t>Initial Assessment for individuals and families;</w:t>
      </w:r>
    </w:p>
    <w:p w14:paraId="45CCABF5" w14:textId="1F2B77C4" w:rsidR="00116155" w:rsidRPr="00890D1C" w:rsidRDefault="00116155" w:rsidP="009E602B">
      <w:pPr>
        <w:pStyle w:val="ListParagraph"/>
        <w:numPr>
          <w:ilvl w:val="0"/>
          <w:numId w:val="8"/>
        </w:numPr>
        <w:rPr>
          <w:rFonts w:eastAsiaTheme="minorEastAsia"/>
        </w:rPr>
      </w:pPr>
      <w:r w:rsidRPr="002854DF">
        <w:t>Target groups assigned to properties;</w:t>
      </w:r>
    </w:p>
    <w:p w14:paraId="57EDA760" w14:textId="77777777" w:rsidR="00116155" w:rsidRPr="00890D1C" w:rsidRDefault="00116155" w:rsidP="009E602B">
      <w:pPr>
        <w:pStyle w:val="ListParagraph"/>
        <w:numPr>
          <w:ilvl w:val="0"/>
          <w:numId w:val="8"/>
        </w:numPr>
        <w:rPr>
          <w:rFonts w:eastAsiaTheme="minorEastAsia"/>
        </w:rPr>
      </w:pPr>
      <w:r w:rsidRPr="002854DF">
        <w:t>Age/Gender room ratios.</w:t>
      </w:r>
      <w:r w:rsidRPr="00890D1C">
        <w:rPr>
          <w:b/>
          <w:bCs/>
        </w:rPr>
        <w:t xml:space="preserve"> </w:t>
      </w:r>
    </w:p>
    <w:p w14:paraId="175957D3" w14:textId="349920BD" w:rsidR="00116155" w:rsidRPr="00D45E5F" w:rsidRDefault="00116155" w:rsidP="00D45E5F">
      <w:r w:rsidRPr="002854DF">
        <w:t xml:space="preserve">Each THM comes with a target group </w:t>
      </w:r>
      <w:r w:rsidR="008C427D">
        <w:t xml:space="preserve">as </w:t>
      </w:r>
      <w:r w:rsidRPr="002854DF">
        <w:t xml:space="preserve">set by the Department. Targets include but are not limited to family violence, youth, Aboriginal housing, CALD (multicultural), DOA, mental health, Youth Justice, AoD, Corrections Victoria etc. There are also general targets with no specific group. </w:t>
      </w:r>
    </w:p>
    <w:p w14:paraId="598B03E8" w14:textId="32266977" w:rsidR="00116155" w:rsidRPr="002854DF" w:rsidRDefault="00116155" w:rsidP="008C427D">
      <w:pPr>
        <w:pStyle w:val="Heading3"/>
        <w:rPr>
          <w:rFonts w:eastAsia="Calibri"/>
        </w:rPr>
      </w:pPr>
      <w:r w:rsidRPr="002854DF">
        <w:rPr>
          <w:rFonts w:eastAsia="Calibri"/>
        </w:rPr>
        <w:t>Allocation of non-</w:t>
      </w:r>
      <w:r w:rsidR="008C427D">
        <w:rPr>
          <w:rFonts w:eastAsia="Calibri"/>
        </w:rPr>
        <w:t>n</w:t>
      </w:r>
      <w:r w:rsidRPr="002854DF">
        <w:rPr>
          <w:rFonts w:eastAsia="Calibri"/>
        </w:rPr>
        <w:t xml:space="preserve">ominated THM </w:t>
      </w:r>
      <w:r w:rsidR="008C427D">
        <w:rPr>
          <w:rFonts w:eastAsia="Calibri"/>
        </w:rPr>
        <w:t>p</w:t>
      </w:r>
      <w:r w:rsidRPr="002854DF">
        <w:rPr>
          <w:rFonts w:eastAsia="Calibri"/>
        </w:rPr>
        <w:t>roperties</w:t>
      </w:r>
    </w:p>
    <w:p w14:paraId="4521B558" w14:textId="77777777" w:rsidR="00116155" w:rsidRPr="002854DF" w:rsidRDefault="00116155" w:rsidP="008C427D">
      <w:r>
        <w:t xml:space="preserve">Where a property does not have nomination access, </w:t>
      </w:r>
      <w:r w:rsidRPr="008E71EB">
        <w:rPr>
          <w:highlight w:val="yellow"/>
        </w:rPr>
        <w:t>[CHO]</w:t>
      </w:r>
      <w:r w:rsidRPr="002854DF">
        <w:t xml:space="preserve"> </w:t>
      </w:r>
      <w:r>
        <w:t xml:space="preserve">will advertise the property </w:t>
      </w:r>
      <w:r w:rsidRPr="002854DF">
        <w:t xml:space="preserve">on a government resource register with a closing time/date. Homelessness Services send through referrals in the form of initial assessments for consideration.  </w:t>
      </w:r>
    </w:p>
    <w:p w14:paraId="3936D78C" w14:textId="77777777" w:rsidR="00116155" w:rsidRPr="002854DF" w:rsidRDefault="00116155" w:rsidP="008C427D">
      <w:r w:rsidRPr="002854DF">
        <w:t>Applications are assessed based on the best match between the applicant/s circumstances, property target, room ratio and the considerations outlined above. All applicants are notified of the outcome via their referring agency. A time is arranged to sign up the successful applicant to the property and the supported tenancy commences.</w:t>
      </w:r>
    </w:p>
    <w:p w14:paraId="07F7E2E4" w14:textId="7CD64901" w:rsidR="00116155" w:rsidRPr="006C6AF4" w:rsidRDefault="00116155" w:rsidP="00A26B4E">
      <w:pPr>
        <w:pStyle w:val="Heading3"/>
      </w:pPr>
      <w:r w:rsidRPr="006C6AF4">
        <w:t xml:space="preserve">Process </w:t>
      </w:r>
      <w:r w:rsidR="00A26B4E">
        <w:t>m</w:t>
      </w:r>
      <w:r w:rsidRPr="006C6AF4">
        <w:t xml:space="preserve">ap for THM </w:t>
      </w:r>
      <w:r w:rsidR="00A26B4E">
        <w:t>a</w:t>
      </w:r>
      <w:r w:rsidRPr="006C6AF4">
        <w:t xml:space="preserve">llocation </w:t>
      </w:r>
      <w:r w:rsidR="00A26B4E">
        <w:t>p</w:t>
      </w:r>
      <w:r w:rsidRPr="006C6AF4">
        <w:t>rocess</w:t>
      </w:r>
    </w:p>
    <w:p w14:paraId="4BC7EDD0" w14:textId="76F4A2DC" w:rsidR="00116155" w:rsidRDefault="00116155" w:rsidP="00116155">
      <w:pPr>
        <w:spacing w:before="60" w:after="180" w:line="254" w:lineRule="auto"/>
      </w:pPr>
      <w:r w:rsidRPr="006C6AF4">
        <w:t>The following chart outlines the process and considerations in THM allocations.  These keys steps are consistent across different types of allocations, however, as outlined above, there may be some additional steps or variation.</w:t>
      </w:r>
    </w:p>
    <w:p w14:paraId="4FFB2C1D" w14:textId="77777777" w:rsidR="00116155" w:rsidRDefault="00116155" w:rsidP="00116155">
      <w:r>
        <w:rPr>
          <w:noProof/>
        </w:rPr>
        <w:lastRenderedPageBreak/>
        <w:drawing>
          <wp:inline distT="0" distB="0" distL="0" distR="0" wp14:anchorId="498323EB" wp14:editId="40D76F0B">
            <wp:extent cx="5581650" cy="1971675"/>
            <wp:effectExtent l="0" t="0" r="19050" b="95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1D82F6C" w14:textId="3616EAF2" w:rsidR="00116155" w:rsidRDefault="00116155" w:rsidP="00116155">
      <w:pPr>
        <w:pStyle w:val="Heading1"/>
      </w:pPr>
      <w:r>
        <w:t xml:space="preserve">Rent </w:t>
      </w:r>
      <w:r>
        <w:t>c</w:t>
      </w:r>
      <w:r>
        <w:t>alculation</w:t>
      </w:r>
    </w:p>
    <w:p w14:paraId="0DA028BD" w14:textId="77777777" w:rsidR="00116155" w:rsidRPr="009F08D4" w:rsidRDefault="00116155" w:rsidP="008454F5">
      <w:r w:rsidRPr="009F08D4">
        <w:t>Rent is calculated as per the following table:</w:t>
      </w:r>
    </w:p>
    <w:tbl>
      <w:tblPr>
        <w:tblStyle w:val="TableGrid"/>
        <w:tblW w:w="0" w:type="auto"/>
        <w:tblLook w:val="04A0" w:firstRow="1" w:lastRow="0" w:firstColumn="1" w:lastColumn="0" w:noHBand="0" w:noVBand="1"/>
      </w:tblPr>
      <w:tblGrid>
        <w:gridCol w:w="4505"/>
        <w:gridCol w:w="4505"/>
      </w:tblGrid>
      <w:tr w:rsidR="00116155" w:rsidRPr="009F08D4" w14:paraId="5F650C91" w14:textId="77777777" w:rsidTr="0037190C">
        <w:tc>
          <w:tcPr>
            <w:tcW w:w="4505" w:type="dxa"/>
          </w:tcPr>
          <w:p w14:paraId="5447A0B8" w14:textId="77777777" w:rsidR="00116155" w:rsidRPr="009F08D4" w:rsidRDefault="00116155" w:rsidP="00885D45">
            <w:r w:rsidRPr="009F08D4">
              <w:t>Renters aged 18 years and over</w:t>
            </w:r>
          </w:p>
        </w:tc>
        <w:tc>
          <w:tcPr>
            <w:tcW w:w="4505" w:type="dxa"/>
          </w:tcPr>
          <w:p w14:paraId="5AED8650" w14:textId="77777777" w:rsidR="00116155" w:rsidRPr="009F08D4" w:rsidRDefault="00116155" w:rsidP="00885D45">
            <w:r w:rsidRPr="009F08D4">
              <w:t>25% of total household income plus</w:t>
            </w:r>
          </w:p>
          <w:p w14:paraId="6546923D" w14:textId="77777777" w:rsidR="00116155" w:rsidRPr="009F08D4" w:rsidRDefault="00116155" w:rsidP="00885D45">
            <w:r w:rsidRPr="009F08D4">
              <w:t xml:space="preserve">15% of Family Tax Benefit Payments and/or child support payments </w:t>
            </w:r>
          </w:p>
        </w:tc>
      </w:tr>
      <w:tr w:rsidR="00116155" w:rsidRPr="009F08D4" w14:paraId="3C5B2835" w14:textId="77777777" w:rsidTr="0037190C">
        <w:tc>
          <w:tcPr>
            <w:tcW w:w="4505" w:type="dxa"/>
          </w:tcPr>
          <w:p w14:paraId="42A011C8" w14:textId="77777777" w:rsidR="00116155" w:rsidRPr="009F08D4" w:rsidRDefault="00116155" w:rsidP="00885D45">
            <w:r w:rsidRPr="009F08D4">
              <w:t xml:space="preserve">Renters 15-17 years </w:t>
            </w:r>
          </w:p>
          <w:p w14:paraId="11D71035" w14:textId="77777777" w:rsidR="00116155" w:rsidRPr="009F08D4" w:rsidRDefault="00116155" w:rsidP="00885D45">
            <w:r w:rsidRPr="009F08D4">
              <w:t>independent rate of Centrelink</w:t>
            </w:r>
          </w:p>
        </w:tc>
        <w:tc>
          <w:tcPr>
            <w:tcW w:w="4505" w:type="dxa"/>
          </w:tcPr>
          <w:p w14:paraId="02957FF9" w14:textId="77777777" w:rsidR="00116155" w:rsidRPr="009F08D4" w:rsidRDefault="00116155" w:rsidP="00885D45">
            <w:r w:rsidRPr="009F08D4">
              <w:t xml:space="preserve">$15 per week </w:t>
            </w:r>
          </w:p>
        </w:tc>
      </w:tr>
      <w:tr w:rsidR="00116155" w:rsidRPr="009F08D4" w14:paraId="7FE88A86" w14:textId="77777777" w:rsidTr="0037190C">
        <w:tc>
          <w:tcPr>
            <w:tcW w:w="4505" w:type="dxa"/>
          </w:tcPr>
          <w:p w14:paraId="10224E4E" w14:textId="77777777" w:rsidR="00116155" w:rsidRPr="009F08D4" w:rsidRDefault="00116155" w:rsidP="00885D45">
            <w:r w:rsidRPr="009F08D4">
              <w:t xml:space="preserve">Renters 15-17 years </w:t>
            </w:r>
          </w:p>
          <w:p w14:paraId="0F22B0AC" w14:textId="77777777" w:rsidR="00116155" w:rsidRPr="009F08D4" w:rsidRDefault="00116155" w:rsidP="00885D45">
            <w:r w:rsidRPr="009F08D4">
              <w:t>dependent rate of Centrelink</w:t>
            </w:r>
          </w:p>
        </w:tc>
        <w:tc>
          <w:tcPr>
            <w:tcW w:w="4505" w:type="dxa"/>
          </w:tcPr>
          <w:p w14:paraId="40E08203" w14:textId="77777777" w:rsidR="00116155" w:rsidRPr="009F08D4" w:rsidRDefault="00116155" w:rsidP="00885D45">
            <w:r w:rsidRPr="009F08D4">
              <w:t xml:space="preserve">$7 per week </w:t>
            </w:r>
          </w:p>
        </w:tc>
      </w:tr>
    </w:tbl>
    <w:p w14:paraId="171723EE" w14:textId="6E5351AC" w:rsidR="00116155" w:rsidRPr="009F08D4" w:rsidRDefault="00116155" w:rsidP="009E602B">
      <w:pPr>
        <w:pStyle w:val="ListParagraph"/>
        <w:numPr>
          <w:ilvl w:val="0"/>
          <w:numId w:val="9"/>
        </w:numPr>
      </w:pPr>
      <w:r w:rsidRPr="009F08D4">
        <w:t>Renters aged 15-17 years who receive part benefits due to wages from part time work, or those with dependents, are assessed as per the criteria for non-youth households</w:t>
      </w:r>
      <w:r w:rsidR="001F18B7">
        <w:t>;</w:t>
      </w:r>
    </w:p>
    <w:p w14:paraId="6DCA0EA4" w14:textId="498E277B" w:rsidR="00116155" w:rsidRDefault="00116155" w:rsidP="009E602B">
      <w:pPr>
        <w:pStyle w:val="ListParagraph"/>
        <w:numPr>
          <w:ilvl w:val="0"/>
          <w:numId w:val="9"/>
        </w:numPr>
      </w:pPr>
      <w:r w:rsidRPr="009F08D4">
        <w:t>Working renters are charged based on the calculation of the 12 most recent consecutive pay slips (gross wages)</w:t>
      </w:r>
      <w:r w:rsidR="001F18B7">
        <w:t>;</w:t>
      </w:r>
    </w:p>
    <w:p w14:paraId="7BA097B8" w14:textId="1DCB33FD" w:rsidR="00116155" w:rsidRPr="009F08D4" w:rsidRDefault="00116155" w:rsidP="009E602B">
      <w:pPr>
        <w:pStyle w:val="ListParagraph"/>
        <w:numPr>
          <w:ilvl w:val="0"/>
          <w:numId w:val="9"/>
        </w:numPr>
      </w:pPr>
      <w:r>
        <w:t>Renters in transitional housing are NOT eligible for Commonwealth Rent Assistance (CRA)</w:t>
      </w:r>
      <w:r w:rsidR="00885D45">
        <w:t>.</w:t>
      </w:r>
    </w:p>
    <w:p w14:paraId="5AE96EA5" w14:textId="77777777" w:rsidR="00116155" w:rsidRPr="004B06BD" w:rsidRDefault="00116155" w:rsidP="00116155">
      <w:pPr>
        <w:pStyle w:val="Heading1"/>
      </w:pPr>
      <w:r>
        <w:t xml:space="preserve">Period of </w:t>
      </w:r>
      <w:r w:rsidRPr="000321F6">
        <w:t>tenure</w:t>
      </w:r>
      <w:r>
        <w:t xml:space="preserve"> </w:t>
      </w:r>
    </w:p>
    <w:p w14:paraId="48469312" w14:textId="6BDC6A2D" w:rsidR="00116155" w:rsidRDefault="00116155" w:rsidP="00D00511">
      <w:r>
        <w:t xml:space="preserve">Transitional Housing is not permanent housing. THM is classified as shorter-term housing, generally with a fixed term rental agreement of </w:t>
      </w:r>
      <w:r w:rsidRPr="002E24CB">
        <w:rPr>
          <w:highlight w:val="yellow"/>
        </w:rPr>
        <w:t>[12/18]</w:t>
      </w:r>
      <w:r>
        <w:t xml:space="preserve"> months. Some transitional housing properties are reserved for shorter tenures of between </w:t>
      </w:r>
      <w:r w:rsidR="00D00511" w:rsidRPr="00D00511">
        <w:rPr>
          <w:highlight w:val="yellow"/>
        </w:rPr>
        <w:t>[</w:t>
      </w:r>
      <w:r w:rsidRPr="00D00511">
        <w:rPr>
          <w:highlight w:val="yellow"/>
        </w:rPr>
        <w:t>6 weeks to 6 months</w:t>
      </w:r>
      <w:r w:rsidR="00D00511" w:rsidRPr="00D00511">
        <w:rPr>
          <w:highlight w:val="yellow"/>
        </w:rPr>
        <w:t>]</w:t>
      </w:r>
      <w:r>
        <w:t xml:space="preserve">; </w:t>
      </w:r>
      <w:r w:rsidR="00571206">
        <w:t>which</w:t>
      </w:r>
      <w:r>
        <w:t xml:space="preserve"> will be communicated during the allocation process. </w:t>
      </w:r>
    </w:p>
    <w:p w14:paraId="5684FF4A" w14:textId="5AD6EC64" w:rsidR="00116155" w:rsidRDefault="00116155" w:rsidP="00D00511">
      <w:r>
        <w:t>All renters must sign a Residential Rental Agreement and are expected to be working with a Housing Support Worker on their long-term housing goals throughout the</w:t>
      </w:r>
      <w:r w:rsidR="00571206">
        <w:t>ir</w:t>
      </w:r>
      <w:r>
        <w:t xml:space="preserve"> tenancy. </w:t>
      </w:r>
    </w:p>
    <w:p w14:paraId="4742AD59" w14:textId="36326E89" w:rsidR="00116155" w:rsidRPr="00064E43" w:rsidRDefault="00116155" w:rsidP="00116155">
      <w:pPr>
        <w:pStyle w:val="Heading1"/>
      </w:pPr>
      <w:r>
        <w:lastRenderedPageBreak/>
        <w:t xml:space="preserve">Housing </w:t>
      </w:r>
      <w:r>
        <w:t>e</w:t>
      </w:r>
      <w:r>
        <w:t xml:space="preserve">xit </w:t>
      </w:r>
      <w:r>
        <w:t>p</w:t>
      </w:r>
      <w:r>
        <w:t xml:space="preserve">lans </w:t>
      </w:r>
    </w:p>
    <w:p w14:paraId="640105A6" w14:textId="77777777" w:rsidR="00116155" w:rsidRDefault="00116155" w:rsidP="00571206">
      <w:r w:rsidRPr="52C12BAA">
        <w:t xml:space="preserve">The housing exit plan describes the renters’ long term housing goals and the various steps that will be taken to achieve them. Exit plans are an integral part of a renter’s successful transition to long term housing. </w:t>
      </w:r>
    </w:p>
    <w:p w14:paraId="164294BD" w14:textId="6E077BFD" w:rsidR="00116155" w:rsidRDefault="00116155" w:rsidP="00571206">
      <w:pPr>
        <w:rPr>
          <w:rFonts w:cstheme="minorHAnsi"/>
        </w:rPr>
      </w:pPr>
      <w:r>
        <w:rPr>
          <w:rFonts w:cstheme="minorHAnsi"/>
        </w:rPr>
        <w:t xml:space="preserve">The renters support worker is expected to provide </w:t>
      </w:r>
      <w:r w:rsidRPr="00223CC8">
        <w:rPr>
          <w:rFonts w:cstheme="minorHAnsi"/>
          <w:highlight w:val="yellow"/>
        </w:rPr>
        <w:t>[CHO]</w:t>
      </w:r>
      <w:r>
        <w:rPr>
          <w:rFonts w:cstheme="minorHAnsi"/>
        </w:rPr>
        <w:t xml:space="preserve"> with a completed </w:t>
      </w:r>
      <w:r w:rsidR="00CA7F65" w:rsidRPr="00CA7F65">
        <w:rPr>
          <w:rFonts w:cstheme="minorHAnsi"/>
          <w:highlight w:val="yellow"/>
        </w:rPr>
        <w:t>[</w:t>
      </w:r>
      <w:r w:rsidRPr="00CA7F65">
        <w:rPr>
          <w:rFonts w:cstheme="minorHAnsi"/>
          <w:highlight w:val="yellow"/>
        </w:rPr>
        <w:t xml:space="preserve">Tenancy </w:t>
      </w:r>
      <w:r w:rsidR="00CA7F65" w:rsidRPr="00CA7F65">
        <w:rPr>
          <w:rFonts w:cstheme="minorHAnsi"/>
          <w:highlight w:val="yellow"/>
        </w:rPr>
        <w:t>R</w:t>
      </w:r>
      <w:r w:rsidRPr="00CA7F65">
        <w:rPr>
          <w:rFonts w:cstheme="minorHAnsi"/>
          <w:highlight w:val="yellow"/>
        </w:rPr>
        <w:t xml:space="preserve">eview </w:t>
      </w:r>
      <w:r w:rsidR="00CA7F65" w:rsidRPr="00CA7F65">
        <w:rPr>
          <w:rFonts w:cstheme="minorHAnsi"/>
          <w:highlight w:val="yellow"/>
        </w:rPr>
        <w:t>Form]</w:t>
      </w:r>
      <w:r>
        <w:rPr>
          <w:rFonts w:cstheme="minorHAnsi"/>
        </w:rPr>
        <w:t xml:space="preserve"> and </w:t>
      </w:r>
      <w:r w:rsidR="00CA7F65">
        <w:rPr>
          <w:rFonts w:cstheme="minorHAnsi"/>
        </w:rPr>
        <w:t>E</w:t>
      </w:r>
      <w:r>
        <w:rPr>
          <w:rFonts w:cstheme="minorHAnsi"/>
        </w:rPr>
        <w:t xml:space="preserve">xit </w:t>
      </w:r>
      <w:r w:rsidR="00CA7F65">
        <w:rPr>
          <w:rFonts w:cstheme="minorHAnsi"/>
        </w:rPr>
        <w:t>P</w:t>
      </w:r>
      <w:r>
        <w:rPr>
          <w:rFonts w:cstheme="minorHAnsi"/>
        </w:rPr>
        <w:t xml:space="preserve">lan within </w:t>
      </w:r>
      <w:r w:rsidR="00CA7F65" w:rsidRPr="00CA7F65">
        <w:rPr>
          <w:rFonts w:cstheme="minorHAnsi"/>
          <w:highlight w:val="yellow"/>
        </w:rPr>
        <w:t>[</w:t>
      </w:r>
      <w:r w:rsidRPr="00CA7F65">
        <w:rPr>
          <w:rFonts w:cstheme="minorHAnsi"/>
          <w:highlight w:val="yellow"/>
        </w:rPr>
        <w:t>1 month</w:t>
      </w:r>
      <w:r w:rsidR="00CA7F65" w:rsidRPr="00CA7F65">
        <w:rPr>
          <w:rFonts w:cstheme="minorHAnsi"/>
          <w:highlight w:val="yellow"/>
        </w:rPr>
        <w:t>]</w:t>
      </w:r>
      <w:r>
        <w:rPr>
          <w:rFonts w:cstheme="minorHAnsi"/>
        </w:rPr>
        <w:t xml:space="preserve"> </w:t>
      </w:r>
      <w:r w:rsidR="00CA7F65">
        <w:rPr>
          <w:rFonts w:cstheme="minorHAnsi"/>
        </w:rPr>
        <w:t>of commencement of</w:t>
      </w:r>
      <w:r>
        <w:rPr>
          <w:rFonts w:cstheme="minorHAnsi"/>
        </w:rPr>
        <w:t xml:space="preserve"> tenancy. Thereafter </w:t>
      </w:r>
      <w:r w:rsidR="00235942">
        <w:rPr>
          <w:rFonts w:cstheme="minorHAnsi"/>
        </w:rPr>
        <w:t xml:space="preserve">reviews will be completed at </w:t>
      </w:r>
      <w:r>
        <w:rPr>
          <w:rFonts w:cstheme="minorHAnsi"/>
        </w:rPr>
        <w:t xml:space="preserve">6 monthly intervals. This exit plan also forms the basis of ongoing housing reviews. </w:t>
      </w:r>
    </w:p>
    <w:p w14:paraId="1350CB90" w14:textId="4630C511" w:rsidR="00116155" w:rsidRDefault="00116155" w:rsidP="00116155">
      <w:pPr>
        <w:pStyle w:val="Heading1"/>
      </w:pPr>
      <w:r>
        <w:t xml:space="preserve">Housing </w:t>
      </w:r>
      <w:r>
        <w:t>r</w:t>
      </w:r>
      <w:r>
        <w:t>eviews</w:t>
      </w:r>
    </w:p>
    <w:p w14:paraId="54F7EB4A" w14:textId="77777777" w:rsidR="00235942" w:rsidRDefault="00116155" w:rsidP="00235942">
      <w:r w:rsidRPr="00F070C3">
        <w:t xml:space="preserve">Housing reviews (including </w:t>
      </w:r>
      <w:r w:rsidR="00235942">
        <w:t>r</w:t>
      </w:r>
      <w:r w:rsidRPr="00F070C3">
        <w:t xml:space="preserve">outine </w:t>
      </w:r>
      <w:r w:rsidR="00235942">
        <w:t>p</w:t>
      </w:r>
      <w:r w:rsidRPr="00F070C3">
        <w:t xml:space="preserve">roperty </w:t>
      </w:r>
      <w:r w:rsidR="00235942">
        <w:t>i</w:t>
      </w:r>
      <w:r w:rsidRPr="00F070C3">
        <w:t>nspections) and exit plan</w:t>
      </w:r>
      <w:r w:rsidR="00235942">
        <w:t>s</w:t>
      </w:r>
      <w:r w:rsidRPr="00F070C3">
        <w:t xml:space="preserve"> are undertaken regularly to discuss the current tenancy and plan</w:t>
      </w:r>
      <w:r w:rsidR="00235942">
        <w:t>s</w:t>
      </w:r>
      <w:r w:rsidRPr="00F070C3">
        <w:t xml:space="preserve"> toward securing long term housing. </w:t>
      </w:r>
    </w:p>
    <w:p w14:paraId="2C42E659" w14:textId="77777777" w:rsidR="00235942" w:rsidRDefault="00116155" w:rsidP="00235942">
      <w:r w:rsidRPr="00F070C3">
        <w:t>Housing reviews provide renters with an opportunity to raise any concerns they have in relation to their tenancy and to discuss their progress towards achieving their anticipated long term housing outcome.</w:t>
      </w:r>
    </w:p>
    <w:p w14:paraId="1D9E0FEF" w14:textId="1D8BB1CF" w:rsidR="00116155" w:rsidRDefault="00116155" w:rsidP="00235942">
      <w:r w:rsidRPr="00F070C3">
        <w:t>Housing reviews also provide Tenancy &amp; Property Managers and the renter with an opportunity to discuss the tenancy to date, reinforce conditions of the tenancy and highlight any tenancy issues</w:t>
      </w:r>
      <w:r>
        <w:t>.</w:t>
      </w:r>
    </w:p>
    <w:p w14:paraId="53D5F547" w14:textId="77777777" w:rsidR="00116155" w:rsidRPr="00411B10" w:rsidRDefault="00116155" w:rsidP="00235942">
      <w:r w:rsidRPr="00411B10">
        <w:t>Generally, a housing review will cover:</w:t>
      </w:r>
    </w:p>
    <w:p w14:paraId="522F7A23" w14:textId="5F651976" w:rsidR="00116155" w:rsidRPr="00411B10" w:rsidRDefault="00235942" w:rsidP="009E602B">
      <w:pPr>
        <w:pStyle w:val="ListParagraph"/>
        <w:numPr>
          <w:ilvl w:val="0"/>
          <w:numId w:val="10"/>
        </w:numPr>
        <w:rPr>
          <w:lang w:eastAsia="en-AU"/>
        </w:rPr>
      </w:pPr>
      <w:r>
        <w:rPr>
          <w:lang w:eastAsia="en-AU"/>
        </w:rPr>
        <w:t>A</w:t>
      </w:r>
      <w:r w:rsidR="00116155" w:rsidRPr="00411B10">
        <w:rPr>
          <w:lang w:eastAsia="en-AU"/>
        </w:rPr>
        <w:t>ny changes in household circumstances</w:t>
      </w:r>
      <w:r w:rsidR="00116155">
        <w:rPr>
          <w:lang w:eastAsia="en-AU"/>
        </w:rPr>
        <w:t>;</w:t>
      </w:r>
    </w:p>
    <w:p w14:paraId="026D6649" w14:textId="2EC374BD" w:rsidR="00116155" w:rsidRPr="00411B10" w:rsidRDefault="00235942" w:rsidP="009E602B">
      <w:pPr>
        <w:pStyle w:val="ListParagraph"/>
        <w:numPr>
          <w:ilvl w:val="0"/>
          <w:numId w:val="10"/>
        </w:numPr>
        <w:rPr>
          <w:lang w:eastAsia="en-AU"/>
        </w:rPr>
      </w:pPr>
      <w:r>
        <w:rPr>
          <w:lang w:eastAsia="en-AU"/>
        </w:rPr>
        <w:t>E</w:t>
      </w:r>
      <w:r w:rsidR="00116155" w:rsidRPr="00411B10">
        <w:rPr>
          <w:lang w:eastAsia="en-AU"/>
        </w:rPr>
        <w:t>ngagement with support</w:t>
      </w:r>
      <w:r w:rsidR="00116155">
        <w:rPr>
          <w:lang w:eastAsia="en-AU"/>
        </w:rPr>
        <w:t>;</w:t>
      </w:r>
    </w:p>
    <w:p w14:paraId="39F9C2A1" w14:textId="2178810F" w:rsidR="00116155" w:rsidRDefault="00235942" w:rsidP="009E602B">
      <w:pPr>
        <w:pStyle w:val="ListParagraph"/>
        <w:numPr>
          <w:ilvl w:val="0"/>
          <w:numId w:val="10"/>
        </w:numPr>
        <w:rPr>
          <w:lang w:eastAsia="en-AU"/>
        </w:rPr>
      </w:pPr>
      <w:r>
        <w:rPr>
          <w:lang w:eastAsia="en-AU"/>
        </w:rPr>
        <w:t>E</w:t>
      </w:r>
      <w:r w:rsidR="00116155" w:rsidRPr="00411B10">
        <w:rPr>
          <w:lang w:eastAsia="en-AU"/>
        </w:rPr>
        <w:t>xit options - private rental etc</w:t>
      </w:r>
      <w:r w:rsidR="00116155">
        <w:rPr>
          <w:lang w:eastAsia="en-AU"/>
        </w:rPr>
        <w:t>;</w:t>
      </w:r>
    </w:p>
    <w:p w14:paraId="3DAC789A" w14:textId="28CE6175" w:rsidR="00116155" w:rsidRPr="00411B10" w:rsidRDefault="00235942" w:rsidP="009E602B">
      <w:pPr>
        <w:pStyle w:val="ListParagraph"/>
        <w:numPr>
          <w:ilvl w:val="0"/>
          <w:numId w:val="10"/>
        </w:numPr>
        <w:rPr>
          <w:lang w:eastAsia="en-AU"/>
        </w:rPr>
      </w:pPr>
      <w:r>
        <w:rPr>
          <w:lang w:eastAsia="en-AU"/>
        </w:rPr>
        <w:t>R</w:t>
      </w:r>
      <w:r w:rsidR="00116155" w:rsidRPr="00411B10">
        <w:rPr>
          <w:lang w:eastAsia="en-AU"/>
        </w:rPr>
        <w:t>outine inspections &amp; maintenance</w:t>
      </w:r>
      <w:r w:rsidR="00116155">
        <w:rPr>
          <w:lang w:eastAsia="en-AU"/>
        </w:rPr>
        <w:t>;</w:t>
      </w:r>
    </w:p>
    <w:p w14:paraId="1C9B7BD2" w14:textId="3A7FB0DF" w:rsidR="00116155" w:rsidRPr="00411B10" w:rsidRDefault="00235942" w:rsidP="009E602B">
      <w:pPr>
        <w:pStyle w:val="ListParagraph"/>
        <w:numPr>
          <w:ilvl w:val="0"/>
          <w:numId w:val="10"/>
        </w:numPr>
        <w:rPr>
          <w:lang w:eastAsia="en-AU"/>
        </w:rPr>
      </w:pPr>
      <w:r>
        <w:rPr>
          <w:lang w:eastAsia="en-AU"/>
        </w:rPr>
        <w:t>R</w:t>
      </w:r>
      <w:r w:rsidR="00116155" w:rsidRPr="00411B10">
        <w:rPr>
          <w:lang w:eastAsia="en-AU"/>
        </w:rPr>
        <w:t>efusal of housing offers</w:t>
      </w:r>
      <w:r w:rsidR="00116155">
        <w:rPr>
          <w:lang w:eastAsia="en-AU"/>
        </w:rPr>
        <w:t>;</w:t>
      </w:r>
    </w:p>
    <w:p w14:paraId="13E9F2E5" w14:textId="5AB2F2F9" w:rsidR="00116155" w:rsidRDefault="00235942" w:rsidP="009E602B">
      <w:pPr>
        <w:pStyle w:val="ListParagraph"/>
        <w:numPr>
          <w:ilvl w:val="0"/>
          <w:numId w:val="10"/>
        </w:numPr>
        <w:rPr>
          <w:lang w:eastAsia="en-AU"/>
        </w:rPr>
      </w:pPr>
      <w:r>
        <w:rPr>
          <w:lang w:eastAsia="en-AU"/>
        </w:rPr>
        <w:t>R</w:t>
      </w:r>
      <w:r w:rsidR="00116155" w:rsidRPr="00411B10">
        <w:rPr>
          <w:lang w:eastAsia="en-AU"/>
        </w:rPr>
        <w:t>ent payments</w:t>
      </w:r>
      <w:r w:rsidR="00116155">
        <w:rPr>
          <w:lang w:eastAsia="en-AU"/>
        </w:rPr>
        <w:t>,</w:t>
      </w:r>
      <w:r w:rsidR="00116155" w:rsidRPr="00411B10">
        <w:rPr>
          <w:lang w:eastAsia="en-AU"/>
        </w:rPr>
        <w:t xml:space="preserve"> rent review</w:t>
      </w:r>
      <w:r w:rsidR="00116155">
        <w:rPr>
          <w:lang w:eastAsia="en-AU"/>
        </w:rPr>
        <w:t xml:space="preserve"> and/or rent arrears;</w:t>
      </w:r>
    </w:p>
    <w:p w14:paraId="1117F93C" w14:textId="4FDFB778" w:rsidR="00116155" w:rsidRPr="00411B10" w:rsidRDefault="00235942" w:rsidP="009E602B">
      <w:pPr>
        <w:pStyle w:val="ListParagraph"/>
        <w:numPr>
          <w:ilvl w:val="0"/>
          <w:numId w:val="10"/>
        </w:numPr>
        <w:rPr>
          <w:lang w:eastAsia="en-AU"/>
        </w:rPr>
      </w:pPr>
      <w:r>
        <w:rPr>
          <w:lang w:eastAsia="en-AU"/>
        </w:rPr>
        <w:t>C</w:t>
      </w:r>
      <w:r w:rsidR="00116155">
        <w:rPr>
          <w:lang w:eastAsia="en-AU"/>
        </w:rPr>
        <w:t>omplaints and feedback (if applicable);</w:t>
      </w:r>
    </w:p>
    <w:p w14:paraId="5FC1358E" w14:textId="757963EC" w:rsidR="00116155" w:rsidRPr="00411B10" w:rsidRDefault="00235942" w:rsidP="009E602B">
      <w:pPr>
        <w:pStyle w:val="ListParagraph"/>
        <w:numPr>
          <w:ilvl w:val="0"/>
          <w:numId w:val="10"/>
        </w:numPr>
        <w:rPr>
          <w:lang w:eastAsia="en-AU"/>
        </w:rPr>
      </w:pPr>
      <w:r>
        <w:rPr>
          <w:lang w:eastAsia="en-AU"/>
        </w:rPr>
        <w:t>I</w:t>
      </w:r>
      <w:r w:rsidR="00116155" w:rsidRPr="00411B10">
        <w:rPr>
          <w:lang w:eastAsia="en-AU"/>
        </w:rPr>
        <w:t>ssue of a Notice to Vacate for end of fixed term tenancy</w:t>
      </w:r>
      <w:r w:rsidR="00116155">
        <w:rPr>
          <w:lang w:eastAsia="en-AU"/>
        </w:rPr>
        <w:t>.</w:t>
      </w:r>
    </w:p>
    <w:p w14:paraId="123082B9" w14:textId="77777777" w:rsidR="00116155" w:rsidRDefault="00116155" w:rsidP="00235942">
      <w:r>
        <w:t>Housing r</w:t>
      </w:r>
      <w:r w:rsidRPr="009C4DFE">
        <w:t xml:space="preserve">eviews </w:t>
      </w:r>
      <w:r>
        <w:t>will also</w:t>
      </w:r>
      <w:r w:rsidRPr="009C4DFE">
        <w:t xml:space="preserve"> take into account relevant factors, such as:  </w:t>
      </w:r>
    </w:p>
    <w:p w14:paraId="6A13A987" w14:textId="637C24AB" w:rsidR="00116155" w:rsidRPr="001E34CB" w:rsidRDefault="00235942" w:rsidP="009E602B">
      <w:pPr>
        <w:pStyle w:val="ListParagraph"/>
        <w:numPr>
          <w:ilvl w:val="0"/>
          <w:numId w:val="11"/>
        </w:numPr>
      </w:pPr>
      <w:r>
        <w:t>W</w:t>
      </w:r>
      <w:r w:rsidR="00116155" w:rsidRPr="001E34CB">
        <w:t xml:space="preserve">hether there is a critical ongoing need for transitional housing;  </w:t>
      </w:r>
    </w:p>
    <w:p w14:paraId="0F5B9456" w14:textId="5104FBCF" w:rsidR="00116155" w:rsidRPr="001E34CB" w:rsidRDefault="00235942" w:rsidP="009E602B">
      <w:pPr>
        <w:pStyle w:val="ListParagraph"/>
        <w:numPr>
          <w:ilvl w:val="0"/>
          <w:numId w:val="11"/>
        </w:numPr>
      </w:pPr>
      <w:r>
        <w:t>W</w:t>
      </w:r>
      <w:r w:rsidR="00116155" w:rsidRPr="001E34CB">
        <w:t xml:space="preserve">hether exit from transitional housing is </w:t>
      </w:r>
      <w:r w:rsidR="00116155">
        <w:t>impacted due to no</w:t>
      </w:r>
      <w:r w:rsidR="00116155" w:rsidRPr="001E34CB">
        <w:t xml:space="preserve"> suitable alternative options available; and/or  </w:t>
      </w:r>
    </w:p>
    <w:p w14:paraId="4756571F" w14:textId="0DC056C1" w:rsidR="00116155" w:rsidRPr="001E34CB" w:rsidRDefault="00235942" w:rsidP="009E602B">
      <w:pPr>
        <w:pStyle w:val="ListParagraph"/>
        <w:numPr>
          <w:ilvl w:val="0"/>
          <w:numId w:val="11"/>
        </w:numPr>
      </w:pPr>
      <w:r>
        <w:t>S</w:t>
      </w:r>
      <w:r w:rsidR="00116155" w:rsidRPr="001E34CB">
        <w:t xml:space="preserve">tatus of any </w:t>
      </w:r>
      <w:r w:rsidR="00116155">
        <w:t xml:space="preserve">VHR </w:t>
      </w:r>
      <w:r w:rsidR="00116155" w:rsidRPr="001E34CB">
        <w:t>application for priority access to public housing.</w:t>
      </w:r>
    </w:p>
    <w:p w14:paraId="56591CB9" w14:textId="522BDEA0" w:rsidR="00116155" w:rsidRDefault="00116155" w:rsidP="00116155">
      <w:pPr>
        <w:pStyle w:val="Heading1"/>
      </w:pPr>
      <w:r>
        <w:lastRenderedPageBreak/>
        <w:t xml:space="preserve">End of a THM </w:t>
      </w:r>
      <w:r>
        <w:t>t</w:t>
      </w:r>
      <w:r>
        <w:t>enancy</w:t>
      </w:r>
    </w:p>
    <w:p w14:paraId="33AFC498" w14:textId="51EEA0BD" w:rsidR="00116155" w:rsidRPr="00100A70" w:rsidRDefault="00116155" w:rsidP="007D77E6">
      <w:r w:rsidRPr="00100A70">
        <w:rPr>
          <w:highlight w:val="yellow"/>
        </w:rPr>
        <w:t>[CHO]</w:t>
      </w:r>
      <w:r w:rsidRPr="00100A70">
        <w:t xml:space="preserve"> has an obligation to ensure that transitional housing is being appropriately utilised to enable the most effective response to homelessness. The documented housing review and exit plan discussions will be considered at each decision-making point the along with:</w:t>
      </w:r>
    </w:p>
    <w:p w14:paraId="7915B775" w14:textId="77777777" w:rsidR="00116155" w:rsidRPr="00100A70" w:rsidRDefault="00116155" w:rsidP="009E602B">
      <w:pPr>
        <w:pStyle w:val="ListParagraph"/>
        <w:numPr>
          <w:ilvl w:val="0"/>
          <w:numId w:val="12"/>
        </w:numPr>
        <w:rPr>
          <w:lang w:eastAsia="en-AU"/>
        </w:rPr>
      </w:pPr>
      <w:r w:rsidRPr="00100A70">
        <w:rPr>
          <w:lang w:eastAsia="en-AU"/>
        </w:rPr>
        <w:t>THM program guidelines</w:t>
      </w:r>
      <w:r>
        <w:rPr>
          <w:lang w:eastAsia="en-AU"/>
        </w:rPr>
        <w:t>; and</w:t>
      </w:r>
    </w:p>
    <w:p w14:paraId="512C0534" w14:textId="20E8FA52" w:rsidR="00116155" w:rsidRPr="00100A70" w:rsidRDefault="007D77E6" w:rsidP="009E602B">
      <w:pPr>
        <w:pStyle w:val="ListParagraph"/>
        <w:numPr>
          <w:ilvl w:val="0"/>
          <w:numId w:val="12"/>
        </w:numPr>
        <w:rPr>
          <w:lang w:eastAsia="en-AU"/>
        </w:rPr>
      </w:pPr>
      <w:r>
        <w:rPr>
          <w:lang w:eastAsia="en-AU"/>
        </w:rPr>
        <w:t>A</w:t>
      </w:r>
      <w:r w:rsidR="00116155" w:rsidRPr="00100A70">
        <w:rPr>
          <w:lang w:eastAsia="en-AU"/>
        </w:rPr>
        <w:t>ny exceptional circumstances</w:t>
      </w:r>
      <w:r>
        <w:rPr>
          <w:lang w:eastAsia="en-AU"/>
        </w:rPr>
        <w:t>.</w:t>
      </w:r>
    </w:p>
    <w:p w14:paraId="20D085EB" w14:textId="1471325D" w:rsidR="00116155" w:rsidRPr="00100A70" w:rsidRDefault="00116155" w:rsidP="007D77E6">
      <w:pPr>
        <w:rPr>
          <w:lang w:eastAsia="en-AU"/>
        </w:rPr>
      </w:pPr>
      <w:r w:rsidRPr="00100A70">
        <w:rPr>
          <w:lang w:eastAsia="en-AU"/>
        </w:rPr>
        <w:t>Any decision to issue a notice to vacate</w:t>
      </w:r>
      <w:r>
        <w:rPr>
          <w:lang w:eastAsia="en-AU"/>
        </w:rPr>
        <w:t xml:space="preserve"> for the end of fixed term rental agreement</w:t>
      </w:r>
      <w:r w:rsidRPr="00100A70">
        <w:rPr>
          <w:lang w:eastAsia="en-AU"/>
        </w:rPr>
        <w:t xml:space="preserve"> will be discussed with the renter and </w:t>
      </w:r>
      <w:r w:rsidR="007D77E6">
        <w:rPr>
          <w:lang w:eastAsia="en-AU"/>
        </w:rPr>
        <w:t xml:space="preserve">their </w:t>
      </w:r>
      <w:r w:rsidRPr="00100A70">
        <w:rPr>
          <w:lang w:eastAsia="en-AU"/>
        </w:rPr>
        <w:t>support</w:t>
      </w:r>
      <w:r w:rsidR="007D77E6">
        <w:rPr>
          <w:lang w:eastAsia="en-AU"/>
        </w:rPr>
        <w:t>s</w:t>
      </w:r>
      <w:r>
        <w:rPr>
          <w:lang w:eastAsia="en-AU"/>
        </w:rPr>
        <w:t xml:space="preserve">. </w:t>
      </w:r>
      <w:r w:rsidRPr="001C3A74">
        <w:t>Eviction will only be considered after all other avenues to resolve tenancy issues have been exhausted, and only after consultation with support workers.</w:t>
      </w:r>
    </w:p>
    <w:p w14:paraId="7AAE3CAB" w14:textId="77777777" w:rsidR="00116155" w:rsidRPr="0065393E" w:rsidRDefault="00116155" w:rsidP="007D77E6">
      <w:pPr>
        <w:pStyle w:val="Heading3"/>
      </w:pPr>
      <w:r w:rsidRPr="0065393E">
        <w:t>Refusal of a long-term housing offer</w:t>
      </w:r>
    </w:p>
    <w:p w14:paraId="095A6416" w14:textId="375CDCA3" w:rsidR="00116155" w:rsidRDefault="00116155" w:rsidP="006831E0">
      <w:r w:rsidRPr="001C3A74">
        <w:t xml:space="preserve">THM renters who refuse offers of </w:t>
      </w:r>
      <w:r>
        <w:t xml:space="preserve">long-term </w:t>
      </w:r>
      <w:r w:rsidRPr="001C3A74">
        <w:t>public</w:t>
      </w:r>
      <w:r>
        <w:t xml:space="preserve"> or community</w:t>
      </w:r>
      <w:r w:rsidRPr="001C3A74">
        <w:t xml:space="preserve"> housing</w:t>
      </w:r>
      <w:r>
        <w:t xml:space="preserve"> that meets their needs </w:t>
      </w:r>
      <w:r w:rsidRPr="001C3A74">
        <w:t xml:space="preserve">and </w:t>
      </w:r>
      <w:r>
        <w:t xml:space="preserve">where </w:t>
      </w:r>
      <w:r w:rsidRPr="001C3A74">
        <w:t xml:space="preserve">there are no extenuating circumstances for the </w:t>
      </w:r>
      <w:r>
        <w:t>renter</w:t>
      </w:r>
      <w:r w:rsidRPr="001C3A74">
        <w:t xml:space="preserve"> in relation to the offer</w:t>
      </w:r>
      <w:r>
        <w:t>,</w:t>
      </w:r>
      <w:r w:rsidRPr="001C3A74">
        <w:t xml:space="preserve"> </w:t>
      </w:r>
      <w:r>
        <w:t xml:space="preserve">will be expected to enter into an </w:t>
      </w:r>
      <w:r w:rsidRPr="001C3A74">
        <w:t>alternative agreed exit plan</w:t>
      </w:r>
      <w:r>
        <w:t xml:space="preserve">; this may also result in a renter’s tenancy becoming at risk or the current rental agreement coming to an end at the end of the initial fixed term. </w:t>
      </w:r>
    </w:p>
    <w:p w14:paraId="6BBE4C1F" w14:textId="4F447C19" w:rsidR="00116155" w:rsidRDefault="00116155" w:rsidP="00116155">
      <w:pPr>
        <w:pStyle w:val="Heading1"/>
      </w:pPr>
      <w:r w:rsidRPr="00245449">
        <w:t xml:space="preserve">THM </w:t>
      </w:r>
      <w:r>
        <w:t>j</w:t>
      </w:r>
      <w:r w:rsidRPr="00245449">
        <w:t xml:space="preserve">ourney </w:t>
      </w:r>
      <w:r>
        <w:t>m</w:t>
      </w:r>
      <w:r w:rsidRPr="00245449">
        <w:t>ap</w:t>
      </w:r>
    </w:p>
    <w:p w14:paraId="62BD767E" w14:textId="77777777" w:rsidR="006831E0" w:rsidRDefault="00116155" w:rsidP="006831E0">
      <w:r w:rsidRPr="006C6AF4">
        <w:t xml:space="preserve">The following chart outlines </w:t>
      </w:r>
      <w:r>
        <w:t>a</w:t>
      </w:r>
      <w:r w:rsidRPr="006C6AF4">
        <w:t xml:space="preserve"> </w:t>
      </w:r>
      <w:r>
        <w:t>THM journey</w:t>
      </w:r>
      <w:r w:rsidRPr="006C6AF4">
        <w:t xml:space="preserve">. These key steps are consistent across </w:t>
      </w:r>
      <w:r>
        <w:t>all THM properties</w:t>
      </w:r>
      <w:r w:rsidRPr="006C6AF4">
        <w:t>, however, as outlined above, there may be some additional steps or</w:t>
      </w:r>
      <w:r>
        <w:t xml:space="preserve"> consideration of exceptional circumstances</w:t>
      </w:r>
      <w:r w:rsidRPr="006C6AF4">
        <w:t>.</w:t>
      </w:r>
    </w:p>
    <w:p w14:paraId="597724CE" w14:textId="278CFEFB" w:rsidR="00116155" w:rsidRDefault="006831E0" w:rsidP="006831E0">
      <w:pPr>
        <w:rPr>
          <w:sz w:val="32"/>
          <w:szCs w:val="32"/>
        </w:rPr>
      </w:pPr>
      <w:r>
        <w:rPr>
          <w:noProof/>
          <w:sz w:val="32"/>
          <w:szCs w:val="32"/>
        </w:rPr>
        <mc:AlternateContent>
          <mc:Choice Requires="wps">
            <w:drawing>
              <wp:anchor distT="0" distB="0" distL="114300" distR="114300" simplePos="0" relativeHeight="251661312" behindDoc="0" locked="0" layoutInCell="1" allowOverlap="1" wp14:anchorId="544906F0" wp14:editId="4072B2B0">
                <wp:simplePos x="0" y="0"/>
                <wp:positionH relativeFrom="column">
                  <wp:posOffset>4781550</wp:posOffset>
                </wp:positionH>
                <wp:positionV relativeFrom="paragraph">
                  <wp:posOffset>2064385</wp:posOffset>
                </wp:positionV>
                <wp:extent cx="1223645" cy="828675"/>
                <wp:effectExtent l="0" t="0" r="14605" b="28575"/>
                <wp:wrapNone/>
                <wp:docPr id="5" name="Text Box 5"/>
                <wp:cNvGraphicFramePr/>
                <a:graphic xmlns:a="http://schemas.openxmlformats.org/drawingml/2006/main">
                  <a:graphicData uri="http://schemas.microsoft.com/office/word/2010/wordprocessingShape">
                    <wps:wsp>
                      <wps:cNvSpPr txBox="1"/>
                      <wps:spPr>
                        <a:xfrm>
                          <a:off x="0" y="0"/>
                          <a:ext cx="1223645" cy="828675"/>
                        </a:xfrm>
                        <a:prstGeom prst="roundRect">
                          <a:avLst/>
                        </a:prstGeom>
                        <a:solidFill>
                          <a:schemeClr val="accent6">
                            <a:lumMod val="20000"/>
                            <a:lumOff val="80000"/>
                          </a:schemeClr>
                        </a:solidFill>
                        <a:ln w="6350">
                          <a:solidFill>
                            <a:schemeClr val="accent6"/>
                          </a:solidFill>
                        </a:ln>
                      </wps:spPr>
                      <wps:txbx>
                        <w:txbxContent>
                          <w:p w14:paraId="2A1F9745" w14:textId="77777777" w:rsidR="00116155" w:rsidRDefault="00116155" w:rsidP="00116155">
                            <w:pPr>
                              <w:jc w:val="center"/>
                              <w:rPr>
                                <w:sz w:val="18"/>
                                <w:szCs w:val="18"/>
                              </w:rPr>
                            </w:pPr>
                            <w:r w:rsidRPr="008C7506">
                              <w:rPr>
                                <w:sz w:val="18"/>
                                <w:szCs w:val="18"/>
                              </w:rPr>
                              <w:t xml:space="preserve">DECISION POINT </w:t>
                            </w:r>
                            <w:r>
                              <w:rPr>
                                <w:sz w:val="18"/>
                                <w:szCs w:val="18"/>
                              </w:rPr>
                              <w:t>3</w:t>
                            </w:r>
                          </w:p>
                          <w:p w14:paraId="18FB0251" w14:textId="77777777" w:rsidR="00116155" w:rsidRPr="008C7506" w:rsidRDefault="00116155" w:rsidP="00116155">
                            <w:pPr>
                              <w:jc w:val="center"/>
                              <w:rPr>
                                <w:sz w:val="18"/>
                                <w:szCs w:val="18"/>
                              </w:rPr>
                            </w:pPr>
                            <w:r>
                              <w:rPr>
                                <w:sz w:val="18"/>
                                <w:szCs w:val="18"/>
                              </w:rPr>
                              <w:t>Application for eviction or periodical rent agreement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4906F0" id="Text Box 5" o:spid="_x0000_s1026" style="position:absolute;margin-left:376.5pt;margin-top:162.55pt;width:96.35pt;height:6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" fillcolor="#d9f2d0 [665]" strokecolor="#4ea72e [3209]" strokeweight=".5pt">
                <v:textbox inset="1mm,0,1mm,0">
                  <w:txbxContent>
                    <w:p w14:paraId="2A1F9745" w14:textId="77777777" w:rsidR="00116155" w:rsidRDefault="00116155" w:rsidP="00116155">
                      <w:pPr>
                        <w:jc w:val="center"/>
                        <w:rPr>
                          <w:sz w:val="18"/>
                          <w:szCs w:val="18"/>
                        </w:rPr>
                      </w:pPr>
                      <w:r w:rsidRPr="008C7506">
                        <w:rPr>
                          <w:sz w:val="18"/>
                          <w:szCs w:val="18"/>
                        </w:rPr>
                        <w:t xml:space="preserve">DECISION POINT </w:t>
                      </w:r>
                      <w:r>
                        <w:rPr>
                          <w:sz w:val="18"/>
                          <w:szCs w:val="18"/>
                        </w:rPr>
                        <w:t>3</w:t>
                      </w:r>
                    </w:p>
                    <w:p w14:paraId="18FB0251" w14:textId="77777777" w:rsidR="00116155" w:rsidRPr="008C7506" w:rsidRDefault="00116155" w:rsidP="00116155">
                      <w:pPr>
                        <w:jc w:val="center"/>
                        <w:rPr>
                          <w:sz w:val="18"/>
                          <w:szCs w:val="18"/>
                        </w:rPr>
                      </w:pPr>
                      <w:r>
                        <w:rPr>
                          <w:sz w:val="18"/>
                          <w:szCs w:val="18"/>
                        </w:rPr>
                        <w:t>Application for eviction or periodical rent agreement</w:t>
                      </w:r>
                    </w:p>
                  </w:txbxContent>
                </v:textbox>
              </v:roundrect>
            </w:pict>
          </mc:Fallback>
        </mc:AlternateContent>
      </w:r>
      <w:r>
        <w:rPr>
          <w:noProof/>
          <w:sz w:val="32"/>
          <w:szCs w:val="32"/>
        </w:rPr>
        <mc:AlternateContent>
          <mc:Choice Requires="wps">
            <w:drawing>
              <wp:anchor distT="0" distB="0" distL="114300" distR="114300" simplePos="0" relativeHeight="251660288" behindDoc="0" locked="0" layoutInCell="1" allowOverlap="1" wp14:anchorId="323463E0" wp14:editId="409E9B8C">
                <wp:simplePos x="0" y="0"/>
                <wp:positionH relativeFrom="column">
                  <wp:posOffset>4781550</wp:posOffset>
                </wp:positionH>
                <wp:positionV relativeFrom="paragraph">
                  <wp:posOffset>1140460</wp:posOffset>
                </wp:positionV>
                <wp:extent cx="1223645" cy="771525"/>
                <wp:effectExtent l="0" t="0" r="14605" b="28575"/>
                <wp:wrapNone/>
                <wp:docPr id="4" name="Text Box 4"/>
                <wp:cNvGraphicFramePr/>
                <a:graphic xmlns:a="http://schemas.openxmlformats.org/drawingml/2006/main">
                  <a:graphicData uri="http://schemas.microsoft.com/office/word/2010/wordprocessingShape">
                    <wps:wsp>
                      <wps:cNvSpPr txBox="1"/>
                      <wps:spPr>
                        <a:xfrm>
                          <a:off x="0" y="0"/>
                          <a:ext cx="1223645" cy="771525"/>
                        </a:xfrm>
                        <a:prstGeom prst="roundRect">
                          <a:avLst/>
                        </a:prstGeom>
                        <a:solidFill>
                          <a:schemeClr val="accent6">
                            <a:lumMod val="20000"/>
                            <a:lumOff val="80000"/>
                          </a:schemeClr>
                        </a:solidFill>
                        <a:ln w="6350">
                          <a:solidFill>
                            <a:schemeClr val="accent6"/>
                          </a:solidFill>
                        </a:ln>
                      </wps:spPr>
                      <wps:txbx>
                        <w:txbxContent>
                          <w:p w14:paraId="057D0900" w14:textId="77777777" w:rsidR="00116155" w:rsidRDefault="00116155" w:rsidP="00116155">
                            <w:pPr>
                              <w:jc w:val="center"/>
                              <w:rPr>
                                <w:sz w:val="18"/>
                                <w:szCs w:val="18"/>
                              </w:rPr>
                            </w:pPr>
                            <w:r w:rsidRPr="008C7506">
                              <w:rPr>
                                <w:sz w:val="18"/>
                                <w:szCs w:val="18"/>
                              </w:rPr>
                              <w:t xml:space="preserve">DECISION POINT </w:t>
                            </w:r>
                            <w:r>
                              <w:rPr>
                                <w:sz w:val="18"/>
                                <w:szCs w:val="18"/>
                              </w:rPr>
                              <w:t>2</w:t>
                            </w:r>
                          </w:p>
                          <w:p w14:paraId="28CEF136" w14:textId="77777777" w:rsidR="00116155" w:rsidRPr="008C7506" w:rsidRDefault="00116155" w:rsidP="00116155">
                            <w:pPr>
                              <w:jc w:val="center"/>
                              <w:rPr>
                                <w:sz w:val="18"/>
                                <w:szCs w:val="18"/>
                              </w:rPr>
                            </w:pPr>
                            <w:r>
                              <w:rPr>
                                <w:sz w:val="18"/>
                                <w:szCs w:val="18"/>
                              </w:rPr>
                              <w:t>Order of Possession Application (VCAT)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3463E0" id="Text Box 4" o:spid="_x0000_s1027" style="position:absolute;margin-left:376.5pt;margin-top:89.8pt;width:96.35pt;height:6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" fillcolor="#d9f2d0 [665]" strokecolor="#4ea72e [3209]" strokeweight=".5pt">
                <v:textbox inset="1mm,0,1mm,0">
                  <w:txbxContent>
                    <w:p w14:paraId="057D0900" w14:textId="77777777" w:rsidR="00116155" w:rsidRDefault="00116155" w:rsidP="00116155">
                      <w:pPr>
                        <w:jc w:val="center"/>
                        <w:rPr>
                          <w:sz w:val="18"/>
                          <w:szCs w:val="18"/>
                        </w:rPr>
                      </w:pPr>
                      <w:r w:rsidRPr="008C7506">
                        <w:rPr>
                          <w:sz w:val="18"/>
                          <w:szCs w:val="18"/>
                        </w:rPr>
                        <w:t xml:space="preserve">DECISION POINT </w:t>
                      </w:r>
                      <w:r>
                        <w:rPr>
                          <w:sz w:val="18"/>
                          <w:szCs w:val="18"/>
                        </w:rPr>
                        <w:t>2</w:t>
                      </w:r>
                    </w:p>
                    <w:p w14:paraId="28CEF136" w14:textId="77777777" w:rsidR="00116155" w:rsidRPr="008C7506" w:rsidRDefault="00116155" w:rsidP="00116155">
                      <w:pPr>
                        <w:jc w:val="center"/>
                        <w:rPr>
                          <w:sz w:val="18"/>
                          <w:szCs w:val="18"/>
                        </w:rPr>
                      </w:pPr>
                      <w:r>
                        <w:rPr>
                          <w:sz w:val="18"/>
                          <w:szCs w:val="18"/>
                        </w:rPr>
                        <w:t>Order of Possession Application (VCAT)</w:t>
                      </w:r>
                    </w:p>
                  </w:txbxContent>
                </v:textbox>
              </v:roundrect>
            </w:pict>
          </mc:Fallback>
        </mc:AlternateContent>
      </w:r>
      <w:r>
        <w:rPr>
          <w:noProof/>
          <w:sz w:val="32"/>
          <w:szCs w:val="32"/>
        </w:rPr>
        <mc:AlternateContent>
          <mc:Choice Requires="wps">
            <w:drawing>
              <wp:anchor distT="0" distB="0" distL="114300" distR="114300" simplePos="0" relativeHeight="251659264" behindDoc="0" locked="0" layoutInCell="1" allowOverlap="1" wp14:anchorId="4A09B2EF" wp14:editId="65F64776">
                <wp:simplePos x="0" y="0"/>
                <wp:positionH relativeFrom="column">
                  <wp:posOffset>4772025</wp:posOffset>
                </wp:positionH>
                <wp:positionV relativeFrom="paragraph">
                  <wp:posOffset>226060</wp:posOffset>
                </wp:positionV>
                <wp:extent cx="1223645" cy="781050"/>
                <wp:effectExtent l="0" t="0" r="14605" b="19050"/>
                <wp:wrapNone/>
                <wp:docPr id="3" name="Text Box 3"/>
                <wp:cNvGraphicFramePr/>
                <a:graphic xmlns:a="http://schemas.openxmlformats.org/drawingml/2006/main">
                  <a:graphicData uri="http://schemas.microsoft.com/office/word/2010/wordprocessingShape">
                    <wps:wsp>
                      <wps:cNvSpPr txBox="1"/>
                      <wps:spPr>
                        <a:xfrm>
                          <a:off x="0" y="0"/>
                          <a:ext cx="1223645" cy="781050"/>
                        </a:xfrm>
                        <a:prstGeom prst="flowChartAlternateProcess">
                          <a:avLst/>
                        </a:prstGeom>
                        <a:solidFill>
                          <a:schemeClr val="accent6">
                            <a:lumMod val="20000"/>
                            <a:lumOff val="80000"/>
                          </a:schemeClr>
                        </a:solidFill>
                        <a:ln w="6350">
                          <a:solidFill>
                            <a:schemeClr val="accent6"/>
                          </a:solidFill>
                        </a:ln>
                      </wps:spPr>
                      <wps:txbx>
                        <w:txbxContent>
                          <w:p w14:paraId="6115D26D" w14:textId="77777777" w:rsidR="006831E0" w:rsidRDefault="00116155" w:rsidP="00116155">
                            <w:pPr>
                              <w:jc w:val="center"/>
                              <w:rPr>
                                <w:sz w:val="18"/>
                                <w:szCs w:val="18"/>
                              </w:rPr>
                            </w:pPr>
                            <w:r w:rsidRPr="008C7506">
                              <w:rPr>
                                <w:sz w:val="18"/>
                                <w:szCs w:val="18"/>
                              </w:rPr>
                              <w:t xml:space="preserve">DECISION POINT 1 </w:t>
                            </w:r>
                          </w:p>
                          <w:p w14:paraId="119E3C07" w14:textId="0B3DE8BA" w:rsidR="00116155" w:rsidRPr="008C7506" w:rsidRDefault="00116155" w:rsidP="00116155">
                            <w:pPr>
                              <w:jc w:val="center"/>
                              <w:rPr>
                                <w:sz w:val="18"/>
                                <w:szCs w:val="18"/>
                              </w:rPr>
                            </w:pPr>
                            <w:r w:rsidRPr="008C7506">
                              <w:rPr>
                                <w:sz w:val="18"/>
                                <w:szCs w:val="18"/>
                              </w:rPr>
                              <w:t>NTV End of Fixed Term Agreement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09B2E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Text Box 3" o:spid="_x0000_s1028" type="#_x0000_t176" style="position:absolute;margin-left:375.75pt;margin-top:17.8pt;width:96.35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" fillcolor="#d9f2d0 [665]" strokecolor="#4ea72e [3209]" strokeweight=".5pt">
                <v:textbox inset="1mm,0,1mm,0">
                  <w:txbxContent>
                    <w:p w14:paraId="6115D26D" w14:textId="77777777" w:rsidR="006831E0" w:rsidRDefault="00116155" w:rsidP="00116155">
                      <w:pPr>
                        <w:jc w:val="center"/>
                        <w:rPr>
                          <w:sz w:val="18"/>
                          <w:szCs w:val="18"/>
                        </w:rPr>
                      </w:pPr>
                      <w:r w:rsidRPr="008C7506">
                        <w:rPr>
                          <w:sz w:val="18"/>
                          <w:szCs w:val="18"/>
                        </w:rPr>
                        <w:t xml:space="preserve">DECISION POINT 1 </w:t>
                      </w:r>
                    </w:p>
                    <w:p w14:paraId="119E3C07" w14:textId="0B3DE8BA" w:rsidR="00116155" w:rsidRPr="008C7506" w:rsidRDefault="00116155" w:rsidP="00116155">
                      <w:pPr>
                        <w:jc w:val="center"/>
                        <w:rPr>
                          <w:sz w:val="18"/>
                          <w:szCs w:val="18"/>
                        </w:rPr>
                      </w:pPr>
                      <w:r w:rsidRPr="008C7506">
                        <w:rPr>
                          <w:sz w:val="18"/>
                          <w:szCs w:val="18"/>
                        </w:rPr>
                        <w:t>NTV End of Fixed Term Agreement</w:t>
                      </w:r>
                    </w:p>
                  </w:txbxContent>
                </v:textbox>
              </v:shape>
            </w:pict>
          </mc:Fallback>
        </mc:AlternateContent>
      </w:r>
      <w:r w:rsidR="00116155" w:rsidRPr="006831E0">
        <w:t xml:space="preserve"> </w:t>
      </w:r>
      <w:r w:rsidR="00116155" w:rsidRPr="006831E0">
        <w:rPr>
          <w:b/>
          <w:bCs/>
          <w:highlight w:val="yellow"/>
        </w:rPr>
        <w:t>[</w:t>
      </w:r>
      <w:r w:rsidR="00D43408">
        <w:rPr>
          <w:b/>
          <w:bCs/>
          <w:highlight w:val="yellow"/>
        </w:rPr>
        <w:t>Update</w:t>
      </w:r>
      <w:r w:rsidR="00116155" w:rsidRPr="006831E0">
        <w:rPr>
          <w:b/>
          <w:bCs/>
          <w:highlight w:val="yellow"/>
        </w:rPr>
        <w:t xml:space="preserve"> timeline if </w:t>
      </w:r>
      <w:r>
        <w:rPr>
          <w:b/>
          <w:bCs/>
          <w:highlight w:val="yellow"/>
        </w:rPr>
        <w:t xml:space="preserve">a </w:t>
      </w:r>
      <w:r w:rsidR="00116155" w:rsidRPr="006831E0">
        <w:rPr>
          <w:b/>
          <w:bCs/>
          <w:highlight w:val="yellow"/>
        </w:rPr>
        <w:t>12-month agreement is offered instead of 18</w:t>
      </w:r>
      <w:r>
        <w:rPr>
          <w:b/>
          <w:bCs/>
          <w:highlight w:val="yellow"/>
        </w:rPr>
        <w:t>-months</w:t>
      </w:r>
      <w:r w:rsidR="00116155" w:rsidRPr="006831E0">
        <w:rPr>
          <w:b/>
          <w:bCs/>
          <w:highlight w:val="yellow"/>
        </w:rPr>
        <w:t>]</w:t>
      </w:r>
      <w:r w:rsidR="00116155">
        <w:rPr>
          <w:noProof/>
        </w:rPr>
        <mc:AlternateContent>
          <mc:Choice Requires="wps">
            <w:drawing>
              <wp:anchor distT="0" distB="0" distL="114300" distR="114300" simplePos="0" relativeHeight="251663360" behindDoc="0" locked="0" layoutInCell="1" allowOverlap="1" wp14:anchorId="41CDA916" wp14:editId="09DC8165">
                <wp:simplePos x="0" y="0"/>
                <wp:positionH relativeFrom="column">
                  <wp:posOffset>4676775</wp:posOffset>
                </wp:positionH>
                <wp:positionV relativeFrom="paragraph">
                  <wp:posOffset>1430020</wp:posOffset>
                </wp:positionV>
                <wp:extent cx="97155" cy="125730"/>
                <wp:effectExtent l="19050" t="38100" r="17145" b="64770"/>
                <wp:wrapNone/>
                <wp:docPr id="8" name="Arrow: Left 8"/>
                <wp:cNvGraphicFramePr/>
                <a:graphic xmlns:a="http://schemas.openxmlformats.org/drawingml/2006/main">
                  <a:graphicData uri="http://schemas.microsoft.com/office/word/2010/wordprocessingShape">
                    <wps:wsp>
                      <wps:cNvSpPr/>
                      <wps:spPr>
                        <a:xfrm>
                          <a:off x="0" y="0"/>
                          <a:ext cx="97155" cy="125730"/>
                        </a:xfrm>
                        <a:prstGeom prst="leftArrow">
                          <a:avLst/>
                        </a:prstGeom>
                        <a:solidFill>
                          <a:schemeClr val="accent6"/>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07AB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8" o:spid="_x0000_s1026" type="#_x0000_t66" style="position:absolute;margin-left:368.25pt;margin-top:112.6pt;width:7.65pt;height: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" adj="10800" fillcolor="#4ea72e [3209]" strokecolor="#4ea72e [3209]" strokeweight="1pt"/>
            </w:pict>
          </mc:Fallback>
        </mc:AlternateContent>
      </w:r>
      <w:r w:rsidR="00116155">
        <w:rPr>
          <w:noProof/>
        </w:rPr>
        <mc:AlternateContent>
          <mc:Choice Requires="wps">
            <w:drawing>
              <wp:anchor distT="0" distB="0" distL="114300" distR="114300" simplePos="0" relativeHeight="251662336" behindDoc="0" locked="0" layoutInCell="1" allowOverlap="1" wp14:anchorId="6B5CAF58" wp14:editId="5DBFB0E3">
                <wp:simplePos x="0" y="0"/>
                <wp:positionH relativeFrom="column">
                  <wp:posOffset>4666615</wp:posOffset>
                </wp:positionH>
                <wp:positionV relativeFrom="paragraph">
                  <wp:posOffset>448945</wp:posOffset>
                </wp:positionV>
                <wp:extent cx="97155" cy="125730"/>
                <wp:effectExtent l="19050" t="38100" r="17145" b="64770"/>
                <wp:wrapNone/>
                <wp:docPr id="7" name="Arrow: Left 7"/>
                <wp:cNvGraphicFramePr/>
                <a:graphic xmlns:a="http://schemas.openxmlformats.org/drawingml/2006/main">
                  <a:graphicData uri="http://schemas.microsoft.com/office/word/2010/wordprocessingShape">
                    <wps:wsp>
                      <wps:cNvSpPr/>
                      <wps:spPr>
                        <a:xfrm>
                          <a:off x="0" y="0"/>
                          <a:ext cx="97155" cy="125730"/>
                        </a:xfrm>
                        <a:prstGeom prst="leftArrow">
                          <a:avLst/>
                        </a:prstGeom>
                        <a:solidFill>
                          <a:schemeClr val="accent6"/>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35D48" id="Arrow: Left 7" o:spid="_x0000_s1026" type="#_x0000_t66" style="position:absolute;margin-left:367.45pt;margin-top:35.35pt;width:7.65pt;height: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" adj="10800" fillcolor="#4ea72e [3209]" strokecolor="#4ea72e [3209]" strokeweight="1pt"/>
            </w:pict>
          </mc:Fallback>
        </mc:AlternateContent>
      </w:r>
      <w:r w:rsidR="00116155">
        <w:rPr>
          <w:noProof/>
        </w:rPr>
        <mc:AlternateContent>
          <mc:Choice Requires="wps">
            <w:drawing>
              <wp:anchor distT="0" distB="0" distL="114300" distR="114300" simplePos="0" relativeHeight="251664384" behindDoc="0" locked="0" layoutInCell="1" allowOverlap="1" wp14:anchorId="1DF1E04A" wp14:editId="395DDC30">
                <wp:simplePos x="0" y="0"/>
                <wp:positionH relativeFrom="column">
                  <wp:posOffset>4674870</wp:posOffset>
                </wp:positionH>
                <wp:positionV relativeFrom="paragraph">
                  <wp:posOffset>2380615</wp:posOffset>
                </wp:positionV>
                <wp:extent cx="97200" cy="126000"/>
                <wp:effectExtent l="19050" t="38100" r="17145" b="64770"/>
                <wp:wrapNone/>
                <wp:docPr id="9" name="Arrow: Left 9"/>
                <wp:cNvGraphicFramePr/>
                <a:graphic xmlns:a="http://schemas.openxmlformats.org/drawingml/2006/main">
                  <a:graphicData uri="http://schemas.microsoft.com/office/word/2010/wordprocessingShape">
                    <wps:wsp>
                      <wps:cNvSpPr/>
                      <wps:spPr>
                        <a:xfrm>
                          <a:off x="0" y="0"/>
                          <a:ext cx="97200" cy="126000"/>
                        </a:xfrm>
                        <a:prstGeom prst="leftArrow">
                          <a:avLst/>
                        </a:prstGeom>
                        <a:solidFill>
                          <a:schemeClr val="accent6"/>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E5F52" id="Arrow: Left 9" o:spid="_x0000_s1026" type="#_x0000_t66" style="position:absolute;margin-left:368.1pt;margin-top:187.45pt;width:7.65pt;height: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" adj="10800" fillcolor="#4ea72e [3209]" strokecolor="#4ea72e [3209]" strokeweight="1pt"/>
            </w:pict>
          </mc:Fallback>
        </mc:AlternateContent>
      </w:r>
      <w:r w:rsidR="00116155">
        <w:rPr>
          <w:noProof/>
          <w:sz w:val="32"/>
          <w:szCs w:val="32"/>
        </w:rPr>
        <w:drawing>
          <wp:inline distT="0" distB="0" distL="0" distR="0" wp14:anchorId="4B64C2F5" wp14:editId="17ACA4C5">
            <wp:extent cx="4733925" cy="2667000"/>
            <wp:effectExtent l="0" t="0" r="9525"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4ACBE926" w14:textId="3B497934" w:rsidR="00116155" w:rsidRDefault="00116155" w:rsidP="00116155">
      <w:pPr>
        <w:pStyle w:val="Heading1"/>
      </w:pPr>
      <w:r>
        <w:lastRenderedPageBreak/>
        <w:t xml:space="preserve">Moving </w:t>
      </w:r>
      <w:r>
        <w:t>o</w:t>
      </w:r>
      <w:r>
        <w:t xml:space="preserve">ut of the </w:t>
      </w:r>
      <w:r>
        <w:t>t</w:t>
      </w:r>
      <w:r>
        <w:t xml:space="preserve">ransitional </w:t>
      </w:r>
      <w:r>
        <w:t>p</w:t>
      </w:r>
      <w:r>
        <w:t>roperty</w:t>
      </w:r>
    </w:p>
    <w:p w14:paraId="0BBC2961" w14:textId="77777777" w:rsidR="00116155" w:rsidRDefault="00116155" w:rsidP="00D43408">
      <w:r>
        <w:t>Where a renter receives an offer of long-term housing or is planning on moving out of the THM, they</w:t>
      </w:r>
      <w:r w:rsidRPr="009F08D4">
        <w:t xml:space="preserve"> are required to advise </w:t>
      </w:r>
      <w:r w:rsidRPr="000739AB">
        <w:rPr>
          <w:highlight w:val="yellow"/>
        </w:rPr>
        <w:t>[CHO]</w:t>
      </w:r>
      <w:r w:rsidRPr="009F08D4">
        <w:t xml:space="preserve"> </w:t>
      </w:r>
      <w:r>
        <w:t>of the planned moving date</w:t>
      </w:r>
      <w:r w:rsidRPr="009F08D4">
        <w:t>. Renters should leave the property in a clean condition, free of personal belongings. It is expected all furniture supplied will remain in the property</w:t>
      </w:r>
      <w:r>
        <w:t>.</w:t>
      </w:r>
      <w:r w:rsidRPr="009F08D4">
        <w:t xml:space="preserve"> </w:t>
      </w:r>
    </w:p>
    <w:p w14:paraId="4C8C2828" w14:textId="3DFEEE5D" w:rsidR="00116155" w:rsidRPr="00D1552F" w:rsidRDefault="00116155" w:rsidP="00116155">
      <w:pPr>
        <w:pStyle w:val="Heading1"/>
      </w:pPr>
      <w:r>
        <w:t xml:space="preserve">THM </w:t>
      </w:r>
      <w:r w:rsidR="003010F3">
        <w:t>f</w:t>
      </w:r>
      <w:r>
        <w:t xml:space="preserve">urniture </w:t>
      </w:r>
      <w:r w:rsidR="003010F3">
        <w:t>&amp;</w:t>
      </w:r>
      <w:r>
        <w:t xml:space="preserve"> </w:t>
      </w:r>
      <w:r w:rsidR="003010F3">
        <w:t>a</w:t>
      </w:r>
      <w:r>
        <w:t>ppliances</w:t>
      </w:r>
    </w:p>
    <w:p w14:paraId="37ED7008" w14:textId="77777777" w:rsidR="00116155" w:rsidRDefault="00116155" w:rsidP="00901A4B">
      <w:pPr>
        <w:rPr>
          <w:highlight w:val="green"/>
        </w:rPr>
      </w:pPr>
      <w:r w:rsidRPr="005B5295">
        <w:rPr>
          <w:highlight w:val="yellow"/>
        </w:rPr>
        <w:t>[CHO]</w:t>
      </w:r>
      <w:r>
        <w:t xml:space="preserve"> transitional properties are provided with basic furniture and appliances. These should remain in the property at the end of the tenancy. In addition, </w:t>
      </w:r>
      <w:r w:rsidRPr="00D1552F">
        <w:rPr>
          <w:highlight w:val="yellow"/>
        </w:rPr>
        <w:t>[CHO]</w:t>
      </w:r>
      <w:r>
        <w:t xml:space="preserve"> supplies a welcome pack of kitchen goods to all renters.</w:t>
      </w:r>
    </w:p>
    <w:p w14:paraId="2AEFB328" w14:textId="28EA6FE4" w:rsidR="00116155" w:rsidRDefault="00116155" w:rsidP="00116155">
      <w:pPr>
        <w:pStyle w:val="Heading1"/>
      </w:pPr>
      <w:r w:rsidRPr="00D77AD7">
        <w:t xml:space="preserve">Repairs &amp; </w:t>
      </w:r>
      <w:r w:rsidR="003010F3">
        <w:t>m</w:t>
      </w:r>
      <w:r w:rsidRPr="00D77AD7">
        <w:t>aintenance</w:t>
      </w:r>
    </w:p>
    <w:p w14:paraId="48B8CD9D" w14:textId="77777777" w:rsidR="00116155" w:rsidRDefault="00116155" w:rsidP="00901A4B">
      <w:r w:rsidRPr="000B51CC">
        <w:rPr>
          <w:highlight w:val="yellow"/>
        </w:rPr>
        <w:t>[CHO]</w:t>
      </w:r>
      <w:r>
        <w:t xml:space="preserve"> will respond to urgent and non-urgent repairs in line with the Residential Tenancies Act. </w:t>
      </w:r>
    </w:p>
    <w:p w14:paraId="74B4CFD5" w14:textId="006EDE5C" w:rsidR="00116155" w:rsidRDefault="00901A4B" w:rsidP="00901A4B">
      <w:r>
        <w:t>In most cases,</w:t>
      </w:r>
      <w:r w:rsidR="00116155">
        <w:t xml:space="preserve"> repairs </w:t>
      </w:r>
      <w:r>
        <w:t>and</w:t>
      </w:r>
      <w:r w:rsidR="00116155">
        <w:t xml:space="preserve"> maintenance are the responsibility of Homes Vic</w:t>
      </w:r>
      <w:r>
        <w:t>toria</w:t>
      </w:r>
      <w:r w:rsidR="00116155">
        <w:t xml:space="preserve"> as they are generally the owner of the property</w:t>
      </w:r>
      <w:r>
        <w:t xml:space="preserve">. </w:t>
      </w:r>
      <w:r w:rsidR="00A50215">
        <w:t>Therefore,</w:t>
      </w:r>
      <w:r w:rsidR="00116155">
        <w:t xml:space="preserve"> </w:t>
      </w:r>
      <w:r w:rsidR="00116155" w:rsidRPr="001D469A">
        <w:rPr>
          <w:highlight w:val="yellow"/>
        </w:rPr>
        <w:t>[CHO]</w:t>
      </w:r>
      <w:r w:rsidR="00116155">
        <w:t xml:space="preserve"> has limited control over maintenance works and timeframes</w:t>
      </w:r>
      <w:r w:rsidR="00A50215">
        <w:t>,</w:t>
      </w:r>
      <w:r w:rsidR="00116155">
        <w:t xml:space="preserve"> </w:t>
      </w:r>
      <w:r w:rsidR="00BF37C8">
        <w:t>however,</w:t>
      </w:r>
      <w:r w:rsidR="00116155">
        <w:t xml:space="preserve"> will continue to follow up with Homes Vic</w:t>
      </w:r>
      <w:r w:rsidR="00A50215">
        <w:t>toria</w:t>
      </w:r>
      <w:r w:rsidR="00116155">
        <w:t xml:space="preserve"> where maintenance is not attended to.</w:t>
      </w:r>
    </w:p>
    <w:p w14:paraId="57960960" w14:textId="3A780D42" w:rsidR="00116155" w:rsidRPr="00F92BD5" w:rsidRDefault="00116155" w:rsidP="00901A4B">
      <w:pPr>
        <w:pStyle w:val="Heading3"/>
      </w:pPr>
      <w:r>
        <w:t xml:space="preserve">Notifying </w:t>
      </w:r>
      <w:r w:rsidRPr="00D44324">
        <w:rPr>
          <w:highlight w:val="yellow"/>
        </w:rPr>
        <w:t>[CHO]</w:t>
      </w:r>
      <w:r>
        <w:t xml:space="preserve"> of repairs </w:t>
      </w:r>
      <w:r w:rsidR="00A50215">
        <w:t>&amp;</w:t>
      </w:r>
      <w:r>
        <w:t xml:space="preserve"> maintenance</w:t>
      </w:r>
    </w:p>
    <w:p w14:paraId="31F29067" w14:textId="41B7F4DE" w:rsidR="00116155" w:rsidRPr="00F92BD5" w:rsidRDefault="00116155" w:rsidP="00A50215">
      <w:r>
        <w:t xml:space="preserve">Renters must notify </w:t>
      </w:r>
      <w:r w:rsidRPr="00D44324">
        <w:rPr>
          <w:highlight w:val="yellow"/>
        </w:rPr>
        <w:t>[CHO]</w:t>
      </w:r>
      <w:r>
        <w:t xml:space="preserve"> of any repairs and/or maintenance required at the property. </w:t>
      </w:r>
      <w:r w:rsidRPr="00F92BD5">
        <w:t xml:space="preserve">During business hours, renters are to contact their </w:t>
      </w:r>
      <w:r w:rsidR="00A50215">
        <w:t>H</w:t>
      </w:r>
      <w:r w:rsidRPr="00F92BD5">
        <w:t xml:space="preserve">ousing </w:t>
      </w:r>
      <w:r w:rsidR="00A50215">
        <w:t>O</w:t>
      </w:r>
      <w:r w:rsidRPr="00F92BD5">
        <w:t>fficer</w:t>
      </w:r>
      <w:r>
        <w:t xml:space="preserve"> for both urgent and non-urgent repairs. </w:t>
      </w:r>
    </w:p>
    <w:p w14:paraId="419A81CE" w14:textId="77777777" w:rsidR="00116155" w:rsidRDefault="00116155" w:rsidP="00901A4B">
      <w:pPr>
        <w:pStyle w:val="Heading3"/>
      </w:pPr>
      <w:r>
        <w:t xml:space="preserve">After Hours </w:t>
      </w:r>
      <w:r w:rsidRPr="00724461">
        <w:t>Urgent Repairs</w:t>
      </w:r>
    </w:p>
    <w:p w14:paraId="5F729320" w14:textId="54BCFCCC" w:rsidR="00116155" w:rsidRDefault="00116155" w:rsidP="00901A4B">
      <w:r w:rsidRPr="00D44324">
        <w:t xml:space="preserve">For </w:t>
      </w:r>
      <w:r w:rsidRPr="00A50215">
        <w:rPr>
          <w:b/>
          <w:bCs/>
        </w:rPr>
        <w:t>urgent and/or emergency</w:t>
      </w:r>
      <w:r w:rsidRPr="00D44324">
        <w:t xml:space="preserve"> maintenance required after hours</w:t>
      </w:r>
      <w:r w:rsidR="009E602B">
        <w:t>,</w:t>
      </w:r>
      <w:r w:rsidRPr="00D44324">
        <w:t xml:space="preserve"> renters are to contact the Housing Call Centre</w:t>
      </w:r>
      <w:r>
        <w:t xml:space="preserve"> </w:t>
      </w:r>
      <w:r w:rsidRPr="00D44324">
        <w:t>on 13 11 72. Typically, urgent/emergency works include electrical wiring faults, burst hot water services, blocked sewerage or severe roof leaks.</w:t>
      </w:r>
    </w:p>
    <w:p w14:paraId="218D3688" w14:textId="5339044C" w:rsidR="009928C5" w:rsidRDefault="009928C5" w:rsidP="00F175CE">
      <w:pPr>
        <w:pStyle w:val="Heading1"/>
      </w:pPr>
      <w:r>
        <w:t>Related policies</w:t>
      </w:r>
    </w:p>
    <w:p w14:paraId="61E5FFED" w14:textId="29C77474" w:rsidR="003F1968" w:rsidRDefault="003F1968" w:rsidP="003F1968">
      <w:pPr>
        <w:rPr>
          <w:rFonts w:cstheme="minorHAnsi"/>
        </w:rPr>
      </w:pPr>
      <w:r w:rsidRPr="00AC2857">
        <w:rPr>
          <w:rFonts w:cstheme="minorHAnsi"/>
          <w:highlight w:val="yellow"/>
        </w:rPr>
        <w:t>[</w:t>
      </w:r>
      <w:r w:rsidRPr="002F474B">
        <w:rPr>
          <w:rFonts w:cstheme="minorHAnsi"/>
          <w:highlight w:val="yellow"/>
        </w:rPr>
        <w:t xml:space="preserve">Insert </w:t>
      </w:r>
      <w:r>
        <w:rPr>
          <w:rFonts w:cstheme="minorHAnsi"/>
          <w:highlight w:val="yellow"/>
        </w:rPr>
        <w:t>a description</w:t>
      </w:r>
      <w:r w:rsidRPr="002F474B">
        <w:rPr>
          <w:rFonts w:cstheme="minorHAnsi"/>
          <w:highlight w:val="yellow"/>
        </w:rPr>
        <w:t xml:space="preserve"> of rel</w:t>
      </w:r>
      <w:r>
        <w:rPr>
          <w:rFonts w:cstheme="minorHAnsi"/>
          <w:highlight w:val="yellow"/>
        </w:rPr>
        <w:t>evant</w:t>
      </w:r>
      <w:r w:rsidRPr="002F474B">
        <w:rPr>
          <w:rFonts w:cstheme="minorHAnsi"/>
          <w:highlight w:val="yellow"/>
        </w:rPr>
        <w:t xml:space="preserve"> policies</w:t>
      </w:r>
      <w:r>
        <w:rPr>
          <w:rFonts w:cstheme="minorHAnsi"/>
          <w:highlight w:val="yellow"/>
        </w:rPr>
        <w:t>, for example those</w:t>
      </w:r>
      <w:r w:rsidRPr="002F474B">
        <w:rPr>
          <w:rFonts w:cstheme="minorHAnsi"/>
          <w:highlight w:val="yellow"/>
        </w:rPr>
        <w:t xml:space="preserve"> rel</w:t>
      </w:r>
      <w:r>
        <w:rPr>
          <w:rFonts w:cstheme="minorHAnsi"/>
          <w:highlight w:val="yellow"/>
        </w:rPr>
        <w:t>ating</w:t>
      </w:r>
      <w:r w:rsidRPr="002F474B">
        <w:rPr>
          <w:rFonts w:cstheme="minorHAnsi"/>
          <w:highlight w:val="yellow"/>
        </w:rPr>
        <w:t xml:space="preserve"> to relating to </w:t>
      </w:r>
      <w:r w:rsidR="00E75FEB">
        <w:rPr>
          <w:rFonts w:cstheme="minorHAnsi"/>
          <w:highlight w:val="yellow"/>
        </w:rPr>
        <w:t xml:space="preserve">ending tenancies, </w:t>
      </w:r>
      <w:r w:rsidR="00F4647D">
        <w:rPr>
          <w:rFonts w:cstheme="minorHAnsi"/>
          <w:highlight w:val="yellow"/>
        </w:rPr>
        <w:t xml:space="preserve">anti-social behaviour, </w:t>
      </w:r>
      <w:r w:rsidR="008B3D7F">
        <w:rPr>
          <w:rFonts w:cstheme="minorHAnsi"/>
          <w:highlight w:val="yellow"/>
        </w:rPr>
        <w:t xml:space="preserve">arrears management, goods left behind, </w:t>
      </w:r>
      <w:r w:rsidR="00091351">
        <w:rPr>
          <w:rFonts w:cstheme="minorHAnsi"/>
          <w:highlight w:val="yellow"/>
        </w:rPr>
        <w:t>human rights</w:t>
      </w:r>
      <w:r w:rsidRPr="00AC2857">
        <w:rPr>
          <w:rFonts w:cstheme="minorHAnsi"/>
          <w:highlight w:val="yellow"/>
        </w:rPr>
        <w:t>].</w:t>
      </w:r>
      <w:r w:rsidRPr="00ED61D8">
        <w:rPr>
          <w:rFonts w:cstheme="minorHAnsi"/>
        </w:rPr>
        <w:t xml:space="preserve"> </w:t>
      </w:r>
    </w:p>
    <w:p w14:paraId="7D01C068" w14:textId="7155419A" w:rsidR="009928C5" w:rsidRDefault="009928C5" w:rsidP="00F175CE">
      <w:pPr>
        <w:pStyle w:val="Heading1"/>
      </w:pPr>
      <w:r>
        <w:t>Legislation and standards</w:t>
      </w:r>
    </w:p>
    <w:p w14:paraId="1535AB86" w14:textId="77777777" w:rsidR="00D24792" w:rsidRPr="00ED61D8" w:rsidRDefault="00D24792" w:rsidP="00D24792">
      <w:pPr>
        <w:spacing w:after="0" w:line="259" w:lineRule="auto"/>
        <w:rPr>
          <w:rFonts w:cstheme="minorHAnsi"/>
        </w:rPr>
      </w:pPr>
      <w:r w:rsidRPr="00ED61D8">
        <w:rPr>
          <w:rFonts w:cstheme="minorHAnsi"/>
        </w:rPr>
        <w:t xml:space="preserve">This policy implements </w:t>
      </w:r>
      <w:r w:rsidRPr="00F175CE">
        <w:rPr>
          <w:rFonts w:cstheme="minorHAnsi"/>
          <w:highlight w:val="yellow"/>
        </w:rPr>
        <w:t>[CHOs]</w:t>
      </w:r>
      <w:r>
        <w:rPr>
          <w:rFonts w:cstheme="minorHAnsi"/>
        </w:rPr>
        <w:t xml:space="preserve"> </w:t>
      </w:r>
      <w:r w:rsidRPr="00ED61D8">
        <w:rPr>
          <w:rFonts w:cstheme="minorHAnsi"/>
        </w:rPr>
        <w:t>obligations under</w:t>
      </w:r>
      <w:r>
        <w:rPr>
          <w:rFonts w:cstheme="minorHAnsi"/>
        </w:rPr>
        <w:t xml:space="preserve"> the</w:t>
      </w:r>
      <w:r w:rsidRPr="00ED61D8">
        <w:rPr>
          <w:rFonts w:cstheme="minorHAnsi"/>
        </w:rPr>
        <w:t>:</w:t>
      </w:r>
    </w:p>
    <w:p w14:paraId="4701F82A" w14:textId="5291AFD8" w:rsidR="00D24792" w:rsidRDefault="00D24792" w:rsidP="009E602B">
      <w:pPr>
        <w:pStyle w:val="ListParagraph"/>
        <w:numPr>
          <w:ilvl w:val="0"/>
          <w:numId w:val="1"/>
        </w:numPr>
      </w:pPr>
      <w:r w:rsidRPr="003F3F0F">
        <w:t xml:space="preserve">Residential Tenancies Act 1997 </w:t>
      </w:r>
      <w:r>
        <w:t>(Vic)</w:t>
      </w:r>
      <w:r w:rsidR="001B1FB7">
        <w:t>;</w:t>
      </w:r>
    </w:p>
    <w:p w14:paraId="3F6215ED" w14:textId="77B7CB35" w:rsidR="00091351" w:rsidRDefault="00091351" w:rsidP="009E602B">
      <w:pPr>
        <w:pStyle w:val="ListParagraph"/>
        <w:numPr>
          <w:ilvl w:val="0"/>
          <w:numId w:val="1"/>
        </w:numPr>
      </w:pPr>
      <w:r>
        <w:t>Housing Act 1983 (Vic);</w:t>
      </w:r>
    </w:p>
    <w:p w14:paraId="12D5A43D" w14:textId="32CA08F5" w:rsidR="001E0393" w:rsidRDefault="001E0393" w:rsidP="009E602B">
      <w:pPr>
        <w:pStyle w:val="ListParagraph"/>
        <w:numPr>
          <w:ilvl w:val="0"/>
          <w:numId w:val="1"/>
        </w:numPr>
      </w:pPr>
      <w:r>
        <w:t>Residential Tenancies Regulations 2021 (Vic)</w:t>
      </w:r>
      <w:r w:rsidR="00091351">
        <w:t>;</w:t>
      </w:r>
    </w:p>
    <w:p w14:paraId="58A3A1CD" w14:textId="00836A18" w:rsidR="00091351" w:rsidRDefault="00091351" w:rsidP="009E602B">
      <w:pPr>
        <w:pStyle w:val="ListParagraph"/>
        <w:numPr>
          <w:ilvl w:val="0"/>
          <w:numId w:val="1"/>
        </w:numPr>
      </w:pPr>
      <w:r>
        <w:lastRenderedPageBreak/>
        <w:t>Performance Standards for Registered Housing Agencies.</w:t>
      </w:r>
    </w:p>
    <w:p w14:paraId="669D7980" w14:textId="77777777" w:rsidR="00851A65" w:rsidRDefault="00851A65" w:rsidP="00851A65">
      <w:pPr>
        <w:pStyle w:val="Heading1"/>
      </w:pPr>
      <w:r>
        <w:t>Transparency and accessibility</w:t>
      </w:r>
    </w:p>
    <w:p w14:paraId="424AFF83" w14:textId="77777777" w:rsidR="00851A65" w:rsidRPr="006E775B" w:rsidRDefault="00851A65" w:rsidP="00851A65">
      <w:pPr>
        <w:spacing w:before="60" w:after="180" w:line="259" w:lineRule="auto"/>
        <w:rPr>
          <w:rFonts w:cstheme="minorHAnsi"/>
        </w:rPr>
      </w:pPr>
      <w:r>
        <w:rPr>
          <w:rFonts w:cstheme="minorHAnsi"/>
        </w:rPr>
        <w:t xml:space="preserve">This policy is made available on the </w:t>
      </w:r>
      <w:r w:rsidRPr="00AC2857">
        <w:rPr>
          <w:rFonts w:cstheme="minorHAnsi"/>
          <w:highlight w:val="yellow"/>
        </w:rPr>
        <w:t>[CHO]</w:t>
      </w:r>
      <w:r>
        <w:rPr>
          <w:rFonts w:cstheme="minorHAnsi"/>
        </w:rPr>
        <w:t xml:space="preserve"> website </w:t>
      </w:r>
      <w:r w:rsidRPr="00AC2857">
        <w:rPr>
          <w:rFonts w:cstheme="minorHAnsi"/>
          <w:highlight w:val="yellow"/>
        </w:rPr>
        <w:t>[www.cho.org.au/policy]</w:t>
      </w:r>
      <w:r>
        <w:rPr>
          <w:rFonts w:cstheme="minorHAnsi"/>
        </w:rPr>
        <w:t>.</w:t>
      </w:r>
    </w:p>
    <w:p w14:paraId="12710F88" w14:textId="75BF13AC" w:rsidR="009928C5" w:rsidRDefault="009928C5" w:rsidP="00420100">
      <w:pPr>
        <w:pStyle w:val="Heading1"/>
      </w:pPr>
      <w:r>
        <w:t>Definitions</w:t>
      </w:r>
    </w:p>
    <w:p w14:paraId="5A8198D2" w14:textId="29AB078B" w:rsidR="00D24792" w:rsidRDefault="00D24792" w:rsidP="009928C5">
      <w:r>
        <w:t>In this policy: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3"/>
      </w:tblGrid>
      <w:tr w:rsidR="00063D50" w:rsidRPr="00E265D3" w14:paraId="0050703B" w14:textId="77777777" w:rsidTr="00AC2857">
        <w:tc>
          <w:tcPr>
            <w:tcW w:w="2127" w:type="dxa"/>
          </w:tcPr>
          <w:p w14:paraId="2801C2E8" w14:textId="3C24BA6F" w:rsidR="00063D50" w:rsidRPr="00E265D3" w:rsidRDefault="00063D50" w:rsidP="00063D50">
            <w:pPr>
              <w:rPr>
                <w:b/>
                <w:bCs/>
              </w:rPr>
            </w:pPr>
            <w:r>
              <w:rPr>
                <w:b/>
                <w:bCs/>
              </w:rPr>
              <w:t>Household income</w:t>
            </w:r>
          </w:p>
        </w:tc>
        <w:tc>
          <w:tcPr>
            <w:tcW w:w="6883" w:type="dxa"/>
          </w:tcPr>
          <w:p w14:paraId="669F175E" w14:textId="60D794D4" w:rsidR="00063D50" w:rsidRPr="00063D50" w:rsidRDefault="00531C8D" w:rsidP="00063D50">
            <w:pPr>
              <w:rPr>
                <w:rFonts w:cstheme="minorHAnsi"/>
              </w:rPr>
            </w:pPr>
            <w:r>
              <w:t>Assessable i</w:t>
            </w:r>
            <w:r w:rsidR="00063D50" w:rsidRPr="003E1ABE">
              <w:t xml:space="preserve">ncome received by all household members used to calculate the rent </w:t>
            </w:r>
            <w:r w:rsidR="00FB320D">
              <w:t xml:space="preserve">amount </w:t>
            </w:r>
            <w:r w:rsidR="00063D50" w:rsidRPr="003E1ABE">
              <w:t>payable and repayment agreements for the household.</w:t>
            </w:r>
          </w:p>
        </w:tc>
      </w:tr>
      <w:tr w:rsidR="00063D50" w:rsidRPr="00E265D3" w14:paraId="517C5A72" w14:textId="77777777" w:rsidTr="00AC2857">
        <w:tc>
          <w:tcPr>
            <w:tcW w:w="2127" w:type="dxa"/>
          </w:tcPr>
          <w:p w14:paraId="02D15CB6" w14:textId="34E2908B" w:rsidR="00063D50" w:rsidRPr="00E265D3" w:rsidRDefault="00063D50" w:rsidP="00063D50">
            <w:pPr>
              <w:rPr>
                <w:b/>
                <w:bCs/>
              </w:rPr>
            </w:pPr>
            <w:r>
              <w:rPr>
                <w:b/>
                <w:bCs/>
              </w:rPr>
              <w:t>Long term housing</w:t>
            </w:r>
          </w:p>
        </w:tc>
        <w:tc>
          <w:tcPr>
            <w:tcW w:w="6883" w:type="dxa"/>
          </w:tcPr>
          <w:p w14:paraId="34DE5C01" w14:textId="49756062" w:rsidR="00063D50" w:rsidRPr="00E265D3" w:rsidRDefault="001D70E3" w:rsidP="00063D50">
            <w:pPr>
              <w:rPr>
                <w:rFonts w:cs="Arial"/>
              </w:rPr>
            </w:pPr>
            <w:r w:rsidRPr="00BF4D4C">
              <w:rPr>
                <w:rFonts w:cstheme="minorHAnsi"/>
              </w:rPr>
              <w:t>Rental housing that is intended to be provided for an indefinite period or multiple years.</w:t>
            </w:r>
          </w:p>
        </w:tc>
      </w:tr>
      <w:tr w:rsidR="00063D50" w:rsidRPr="00E265D3" w14:paraId="27ADC447" w14:textId="77777777" w:rsidTr="00AC2857">
        <w:tc>
          <w:tcPr>
            <w:tcW w:w="2127" w:type="dxa"/>
          </w:tcPr>
          <w:p w14:paraId="3E12DD7B" w14:textId="7434B9BE" w:rsidR="00063D50" w:rsidRDefault="00063D50" w:rsidP="00063D50">
            <w:pPr>
              <w:rPr>
                <w:b/>
                <w:bCs/>
              </w:rPr>
            </w:pPr>
            <w:r>
              <w:rPr>
                <w:b/>
                <w:bCs/>
              </w:rPr>
              <w:t>Rental agreement</w:t>
            </w:r>
          </w:p>
        </w:tc>
        <w:tc>
          <w:tcPr>
            <w:tcW w:w="6883" w:type="dxa"/>
          </w:tcPr>
          <w:p w14:paraId="74C7950B" w14:textId="744D8310" w:rsidR="00063D50" w:rsidRPr="009B0C3E" w:rsidRDefault="00FB320D" w:rsidP="00063D50">
            <w:pPr>
              <w:rPr>
                <w:rFonts w:cs="Arial"/>
              </w:rPr>
            </w:pPr>
            <w:r>
              <w:rPr>
                <w:rFonts w:cs="Arial"/>
              </w:rPr>
              <w:t>A l</w:t>
            </w:r>
            <w:r w:rsidR="00063D50" w:rsidRPr="009B0C3E">
              <w:rPr>
                <w:rFonts w:cs="Arial"/>
              </w:rPr>
              <w:t xml:space="preserve">ease under the </w:t>
            </w:r>
            <w:r w:rsidR="00063D50" w:rsidRPr="003412C9">
              <w:rPr>
                <w:rFonts w:cs="Arial"/>
                <w:iCs/>
              </w:rPr>
              <w:t>Residential Tenancies Act 1997</w:t>
            </w:r>
            <w:r w:rsidR="00063D50">
              <w:rPr>
                <w:rFonts w:cs="Arial"/>
              </w:rPr>
              <w:t xml:space="preserve"> (Vic)</w:t>
            </w:r>
            <w:r w:rsidR="008D0B0E">
              <w:rPr>
                <w:rFonts w:cs="Arial"/>
              </w:rPr>
              <w:t xml:space="preserve"> (RTA)</w:t>
            </w:r>
            <w:r w:rsidR="00063D50" w:rsidRPr="009B0C3E">
              <w:rPr>
                <w:rFonts w:cs="Arial"/>
              </w:rPr>
              <w:t>, which sets out</w:t>
            </w:r>
            <w:r w:rsidR="008D0B0E">
              <w:rPr>
                <w:rFonts w:cs="Arial"/>
              </w:rPr>
              <w:t xml:space="preserve"> the</w:t>
            </w:r>
            <w:r w:rsidR="00063D50" w:rsidRPr="009B0C3E">
              <w:rPr>
                <w:rFonts w:cs="Arial"/>
              </w:rPr>
              <w:t xml:space="preserve"> rights and duties of the renter and rental provider. </w:t>
            </w:r>
          </w:p>
        </w:tc>
      </w:tr>
      <w:tr w:rsidR="00063D50" w:rsidRPr="00E265D3" w14:paraId="446F5B6D" w14:textId="77777777" w:rsidTr="00AC2857">
        <w:tc>
          <w:tcPr>
            <w:tcW w:w="2127" w:type="dxa"/>
          </w:tcPr>
          <w:p w14:paraId="63F52768" w14:textId="039AE4DA" w:rsidR="00063D50" w:rsidRDefault="00063D50" w:rsidP="00063D50">
            <w:pPr>
              <w:rPr>
                <w:b/>
                <w:bCs/>
              </w:rPr>
            </w:pPr>
            <w:r>
              <w:rPr>
                <w:b/>
                <w:bCs/>
              </w:rPr>
              <w:t>Transitional housing program</w:t>
            </w:r>
          </w:p>
        </w:tc>
        <w:tc>
          <w:tcPr>
            <w:tcW w:w="6883" w:type="dxa"/>
          </w:tcPr>
          <w:p w14:paraId="4EF5BD63" w14:textId="143BF60A" w:rsidR="00063D50" w:rsidRPr="009B0C3E" w:rsidRDefault="00531C8D" w:rsidP="00063D50">
            <w:pPr>
              <w:rPr>
                <w:rFonts w:cs="Arial"/>
              </w:rPr>
            </w:pPr>
            <w:r w:rsidRPr="00BF4D4C">
              <w:rPr>
                <w:rFonts w:cstheme="minorHAnsi"/>
                <w:spacing w:val="2"/>
              </w:rPr>
              <w:t>A supported short-term accommodation program designed to help people move to more permanent housing</w:t>
            </w:r>
            <w:r w:rsidR="008D0B0E">
              <w:rPr>
                <w:rFonts w:cstheme="minorHAnsi"/>
                <w:spacing w:val="2"/>
              </w:rPr>
              <w:t>,</w:t>
            </w:r>
            <w:r w:rsidRPr="00BF4D4C">
              <w:rPr>
                <w:rFonts w:cstheme="minorHAnsi"/>
                <w:spacing w:val="2"/>
              </w:rPr>
              <w:t xml:space="preserve"> </w:t>
            </w:r>
            <w:r w:rsidR="008D0B0E">
              <w:rPr>
                <w:rFonts w:cstheme="minorHAnsi"/>
                <w:spacing w:val="2"/>
              </w:rPr>
              <w:t>such as</w:t>
            </w:r>
            <w:r w:rsidRPr="00BF4D4C">
              <w:rPr>
                <w:rFonts w:cstheme="minorHAnsi"/>
                <w:spacing w:val="2"/>
              </w:rPr>
              <w:t xml:space="preserve"> public housing, community housing, or the private rental market.</w:t>
            </w:r>
          </w:p>
        </w:tc>
      </w:tr>
    </w:tbl>
    <w:p w14:paraId="1A9189B6" w14:textId="571892F8" w:rsidR="0048730D" w:rsidRPr="009928C5" w:rsidRDefault="0048730D" w:rsidP="00FD2B86"/>
    <w:sectPr w:rsidR="0048730D" w:rsidRPr="009928C5">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4E690" w14:textId="77777777" w:rsidR="00403EE8" w:rsidRDefault="00403EE8" w:rsidP="00F80A03">
      <w:pPr>
        <w:spacing w:after="0" w:line="240" w:lineRule="auto"/>
      </w:pPr>
      <w:r>
        <w:separator/>
      </w:r>
    </w:p>
  </w:endnote>
  <w:endnote w:type="continuationSeparator" w:id="0">
    <w:p w14:paraId="5270BFC8" w14:textId="77777777" w:rsidR="00403EE8" w:rsidRDefault="00403EE8" w:rsidP="00F8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305C8" w14:textId="77777777" w:rsidR="00F80A03" w:rsidRDefault="00F80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BA937" w14:textId="575F5A84" w:rsidR="009928C5" w:rsidRPr="009928C5" w:rsidRDefault="009928C5">
    <w:pPr>
      <w:pStyle w:val="Footer"/>
      <w:jc w:val="right"/>
      <w:rPr>
        <w:sz w:val="20"/>
        <w:szCs w:val="20"/>
      </w:rPr>
    </w:pPr>
    <w:r w:rsidRPr="009928C5">
      <w:rPr>
        <w:sz w:val="20"/>
        <w:szCs w:val="20"/>
      </w:rPr>
      <w:t>V</w:t>
    </w:r>
    <w:r w:rsidR="0004563C">
      <w:rPr>
        <w:sz w:val="20"/>
        <w:szCs w:val="20"/>
      </w:rPr>
      <w:t>2</w:t>
    </w:r>
    <w:r w:rsidRPr="009928C5">
      <w:rPr>
        <w:sz w:val="20"/>
        <w:szCs w:val="20"/>
      </w:rPr>
      <w:t xml:space="preserve"> May 2024</w:t>
    </w:r>
    <w:r w:rsidRPr="009928C5">
      <w:rPr>
        <w:sz w:val="20"/>
        <w:szCs w:val="20"/>
      </w:rPr>
      <w:tab/>
    </w:r>
    <w:r w:rsidRPr="009928C5">
      <w:rPr>
        <w:sz w:val="20"/>
        <w:szCs w:val="20"/>
      </w:rPr>
      <w:tab/>
    </w:r>
    <w:sdt>
      <w:sdtPr>
        <w:rPr>
          <w:sz w:val="20"/>
          <w:szCs w:val="20"/>
        </w:rPr>
        <w:id w:val="-1336300792"/>
        <w:docPartObj>
          <w:docPartGallery w:val="Page Numbers (Bottom of Page)"/>
          <w:docPartUnique/>
        </w:docPartObj>
      </w:sdtPr>
      <w:sdtEndPr>
        <w:rPr>
          <w:noProof/>
        </w:rPr>
      </w:sdtEndPr>
      <w:sdtContent>
        <w:r w:rsidRPr="009928C5">
          <w:rPr>
            <w:sz w:val="20"/>
            <w:szCs w:val="20"/>
          </w:rPr>
          <w:fldChar w:fldCharType="begin"/>
        </w:r>
        <w:r w:rsidRPr="009928C5">
          <w:rPr>
            <w:sz w:val="20"/>
            <w:szCs w:val="20"/>
          </w:rPr>
          <w:instrText xml:space="preserve"> PAGE   \* MERGEFORMAT </w:instrText>
        </w:r>
        <w:r w:rsidRPr="009928C5">
          <w:rPr>
            <w:sz w:val="20"/>
            <w:szCs w:val="20"/>
          </w:rPr>
          <w:fldChar w:fldCharType="separate"/>
        </w:r>
        <w:r w:rsidRPr="009928C5">
          <w:rPr>
            <w:noProof/>
            <w:sz w:val="20"/>
            <w:szCs w:val="20"/>
          </w:rPr>
          <w:t>2</w:t>
        </w:r>
        <w:r w:rsidRPr="009928C5">
          <w:rPr>
            <w:noProof/>
            <w:sz w:val="20"/>
            <w:szCs w:val="20"/>
          </w:rPr>
          <w:fldChar w:fldCharType="end"/>
        </w:r>
      </w:sdtContent>
    </w:sdt>
  </w:p>
  <w:p w14:paraId="3861A71C" w14:textId="5E63D1E7" w:rsidR="00F80A03" w:rsidRPr="009928C5" w:rsidRDefault="00F80A03">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92FB5" w14:textId="77777777" w:rsidR="00F80A03" w:rsidRDefault="00F80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2666D" w14:textId="77777777" w:rsidR="00403EE8" w:rsidRDefault="00403EE8" w:rsidP="00F80A03">
      <w:pPr>
        <w:spacing w:after="0" w:line="240" w:lineRule="auto"/>
      </w:pPr>
      <w:r>
        <w:separator/>
      </w:r>
    </w:p>
  </w:footnote>
  <w:footnote w:type="continuationSeparator" w:id="0">
    <w:p w14:paraId="0E6C45D6" w14:textId="77777777" w:rsidR="00403EE8" w:rsidRDefault="00403EE8" w:rsidP="00F80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15F40" w14:textId="77777777" w:rsidR="00F80A03" w:rsidRDefault="00F80A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06838" w14:textId="77777777" w:rsidR="00053ED1" w:rsidRPr="00424330" w:rsidRDefault="00053ED1" w:rsidP="00053ED1">
    <w:pPr>
      <w:pStyle w:val="Header"/>
      <w:rPr>
        <w:highlight w:val="yellow"/>
        <w:lang w:val="en-US"/>
      </w:rPr>
    </w:pPr>
    <w:r w:rsidRPr="00424330">
      <w:rPr>
        <w:highlight w:val="yellow"/>
        <w:lang w:val="en-US"/>
      </w:rPr>
      <w:t>[CHO logo]</w:t>
    </w:r>
  </w:p>
  <w:p w14:paraId="28BB2A26" w14:textId="56F52F65" w:rsidR="00053ED1" w:rsidRPr="00424330" w:rsidRDefault="00053ED1" w:rsidP="00053ED1">
    <w:pPr>
      <w:pStyle w:val="Header"/>
      <w:rPr>
        <w:lang w:val="en-US"/>
      </w:rPr>
    </w:pPr>
    <w:r w:rsidRPr="00AC2857">
      <w:rPr>
        <w:b/>
        <w:bCs/>
        <w:highlight w:val="yellow"/>
        <w:lang w:val="en-US"/>
      </w:rPr>
      <w:t>CHIA Vic Template:</w:t>
    </w:r>
    <w:r>
      <w:rPr>
        <w:lang w:val="en-US"/>
      </w:rPr>
      <w:t xml:space="preserve"> </w:t>
    </w:r>
    <w:r w:rsidR="00EA37BE">
      <w:rPr>
        <w:lang w:val="en-US"/>
      </w:rPr>
      <w:t>Transitional Housing Management (THM)</w:t>
    </w:r>
    <w:r>
      <w:rPr>
        <w:lang w:val="en-US"/>
      </w:rPr>
      <w:t xml:space="preserve"> Policy</w:t>
    </w:r>
  </w:p>
  <w:p w14:paraId="590E1DE2" w14:textId="77777777" w:rsidR="00F80A03" w:rsidRDefault="00F80A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92449" w14:textId="77777777" w:rsidR="00F80A03" w:rsidRDefault="00F80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148E7"/>
    <w:multiLevelType w:val="hybridMultilevel"/>
    <w:tmpl w:val="F6AE0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6E36CD4"/>
    <w:multiLevelType w:val="hybridMultilevel"/>
    <w:tmpl w:val="BB925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2003350"/>
    <w:multiLevelType w:val="hybridMultilevel"/>
    <w:tmpl w:val="86C0F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4BA1E5A"/>
    <w:multiLevelType w:val="multilevel"/>
    <w:tmpl w:val="82C2F15C"/>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55FB5068"/>
    <w:multiLevelType w:val="hybridMultilevel"/>
    <w:tmpl w:val="D3062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FC84E00"/>
    <w:multiLevelType w:val="hybridMultilevel"/>
    <w:tmpl w:val="4EC2E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6214599"/>
    <w:multiLevelType w:val="hybridMultilevel"/>
    <w:tmpl w:val="A0EAA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65A44BC"/>
    <w:multiLevelType w:val="hybridMultilevel"/>
    <w:tmpl w:val="47002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B8517D3"/>
    <w:multiLevelType w:val="hybridMultilevel"/>
    <w:tmpl w:val="7262A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26C752D"/>
    <w:multiLevelType w:val="hybridMultilevel"/>
    <w:tmpl w:val="2E026A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29C1BE0"/>
    <w:multiLevelType w:val="multilevel"/>
    <w:tmpl w:val="E11A40F6"/>
    <w:lvl w:ilvl="0">
      <w:start w:val="1"/>
      <w:numFmt w:val="decimal"/>
      <w:lvlRestart w:val="0"/>
      <w:pStyle w:val="MLLegalParagraph1Heading"/>
      <w:lvlText w:val="%1."/>
      <w:lvlJc w:val="left"/>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LLegalParagraph2"/>
      <w:lvlText w:val="%1.%2"/>
      <w:lvlJc w:val="left"/>
      <w:pPr>
        <w:tabs>
          <w:tab w:val="num" w:pos="1440"/>
        </w:tabs>
        <w:ind w:left="1440" w:hanging="720"/>
      </w:pPr>
      <w:rPr>
        <w:rFonts w:hint="default"/>
        <w:b w:val="0"/>
        <w:i w:val="0"/>
      </w:rPr>
    </w:lvl>
    <w:lvl w:ilvl="2">
      <w:start w:val="1"/>
      <w:numFmt w:val="lowerLetter"/>
      <w:pStyle w:val="MLLegalParagraph3"/>
      <w:lvlText w:val="(%3)"/>
      <w:lvlJc w:val="left"/>
      <w:pPr>
        <w:tabs>
          <w:tab w:val="num" w:pos="2160"/>
        </w:tabs>
        <w:ind w:left="2160" w:hanging="720"/>
      </w:pPr>
      <w:rPr>
        <w:rFonts w:hint="default"/>
        <w:b w:val="0"/>
        <w:i w:val="0"/>
      </w:rPr>
    </w:lvl>
    <w:lvl w:ilvl="3">
      <w:start w:val="1"/>
      <w:numFmt w:val="lowerRoman"/>
      <w:pStyle w:val="MLLegalParagraph4"/>
      <w:lvlText w:val="(%4)"/>
      <w:lvlJc w:val="left"/>
      <w:pPr>
        <w:tabs>
          <w:tab w:val="num" w:pos="2880"/>
        </w:tabs>
        <w:ind w:left="2880" w:hanging="720"/>
      </w:pPr>
      <w:rPr>
        <w:rFonts w:hint="default"/>
      </w:rPr>
    </w:lvl>
    <w:lvl w:ilvl="4">
      <w:start w:val="1"/>
      <w:numFmt w:val="upperLetter"/>
      <w:pStyle w:val="MLLegalParagraph5"/>
      <w:lvlText w:val="(%5)"/>
      <w:lvlJc w:val="left"/>
      <w:pPr>
        <w:tabs>
          <w:tab w:val="num" w:pos="3600"/>
        </w:tabs>
        <w:ind w:left="3600" w:hanging="720"/>
      </w:pPr>
      <w:rPr>
        <w:rFonts w:hint="default"/>
      </w:rPr>
    </w:lvl>
    <w:lvl w:ilvl="5">
      <w:start w:val="1"/>
      <w:numFmt w:val="none"/>
      <w:lvlText w:val=""/>
      <w:lvlJc w:val="left"/>
      <w:pPr>
        <w:tabs>
          <w:tab w:val="num" w:pos="4320"/>
        </w:tabs>
        <w:ind w:left="4320" w:hanging="720"/>
      </w:pPr>
      <w:rPr>
        <w:rFonts w:hint="default"/>
      </w:rPr>
    </w:lvl>
    <w:lvl w:ilvl="6">
      <w:start w:val="1"/>
      <w:numFmt w:val="none"/>
      <w:lvlText w:val=""/>
      <w:lvlJc w:val="left"/>
      <w:pPr>
        <w:tabs>
          <w:tab w:val="num" w:pos="5040"/>
        </w:tabs>
        <w:ind w:left="5040" w:hanging="720"/>
      </w:pPr>
      <w:rPr>
        <w:rFonts w:hint="default"/>
      </w:rPr>
    </w:lvl>
    <w:lvl w:ilvl="7">
      <w:start w:val="1"/>
      <w:numFmt w:val="none"/>
      <w:lvlText w:val=""/>
      <w:lvlJc w:val="left"/>
      <w:pPr>
        <w:tabs>
          <w:tab w:val="num" w:pos="4320"/>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1" w15:restartNumberingAfterBreak="0">
    <w:nsid w:val="7E613576"/>
    <w:multiLevelType w:val="hybridMultilevel"/>
    <w:tmpl w:val="609A6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79047903">
    <w:abstractNumId w:val="0"/>
  </w:num>
  <w:num w:numId="2" w16cid:durableId="487794127">
    <w:abstractNumId w:val="3"/>
  </w:num>
  <w:num w:numId="3" w16cid:durableId="452138267">
    <w:abstractNumId w:val="10"/>
  </w:num>
  <w:num w:numId="4" w16cid:durableId="1457677044">
    <w:abstractNumId w:val="7"/>
  </w:num>
  <w:num w:numId="5" w16cid:durableId="1110978531">
    <w:abstractNumId w:val="5"/>
  </w:num>
  <w:num w:numId="6" w16cid:durableId="648946065">
    <w:abstractNumId w:val="6"/>
  </w:num>
  <w:num w:numId="7" w16cid:durableId="1493987375">
    <w:abstractNumId w:val="11"/>
  </w:num>
  <w:num w:numId="8" w16cid:durableId="1602450725">
    <w:abstractNumId w:val="4"/>
  </w:num>
  <w:num w:numId="9" w16cid:durableId="1123187789">
    <w:abstractNumId w:val="9"/>
  </w:num>
  <w:num w:numId="10" w16cid:durableId="344136603">
    <w:abstractNumId w:val="1"/>
  </w:num>
  <w:num w:numId="11" w16cid:durableId="1659965051">
    <w:abstractNumId w:val="2"/>
  </w:num>
  <w:num w:numId="12" w16cid:durableId="677272044">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73"/>
    <w:rsid w:val="000009EF"/>
    <w:rsid w:val="00004749"/>
    <w:rsid w:val="00004992"/>
    <w:rsid w:val="00005ED7"/>
    <w:rsid w:val="000072D5"/>
    <w:rsid w:val="0001202E"/>
    <w:rsid w:val="00012413"/>
    <w:rsid w:val="0001556C"/>
    <w:rsid w:val="00017B24"/>
    <w:rsid w:val="000200C1"/>
    <w:rsid w:val="00022D84"/>
    <w:rsid w:val="00024A5C"/>
    <w:rsid w:val="00030C07"/>
    <w:rsid w:val="0003225A"/>
    <w:rsid w:val="00042B57"/>
    <w:rsid w:val="0004393C"/>
    <w:rsid w:val="0004563C"/>
    <w:rsid w:val="00053ED1"/>
    <w:rsid w:val="00056D6C"/>
    <w:rsid w:val="00060385"/>
    <w:rsid w:val="00063D50"/>
    <w:rsid w:val="00081AA6"/>
    <w:rsid w:val="00091351"/>
    <w:rsid w:val="00096304"/>
    <w:rsid w:val="00096CF2"/>
    <w:rsid w:val="000A28F8"/>
    <w:rsid w:val="000B0C0C"/>
    <w:rsid w:val="000B1743"/>
    <w:rsid w:val="000C237A"/>
    <w:rsid w:val="000C3F20"/>
    <w:rsid w:val="000D1008"/>
    <w:rsid w:val="000E2E45"/>
    <w:rsid w:val="001036DA"/>
    <w:rsid w:val="001057DC"/>
    <w:rsid w:val="00110185"/>
    <w:rsid w:val="001106B2"/>
    <w:rsid w:val="00110CE5"/>
    <w:rsid w:val="00115170"/>
    <w:rsid w:val="00116155"/>
    <w:rsid w:val="00123612"/>
    <w:rsid w:val="00123BA6"/>
    <w:rsid w:val="00123FEC"/>
    <w:rsid w:val="00124EC9"/>
    <w:rsid w:val="00125541"/>
    <w:rsid w:val="00125F44"/>
    <w:rsid w:val="00127CB7"/>
    <w:rsid w:val="00140959"/>
    <w:rsid w:val="001420B4"/>
    <w:rsid w:val="00145767"/>
    <w:rsid w:val="00145BA3"/>
    <w:rsid w:val="00145CBD"/>
    <w:rsid w:val="001504F7"/>
    <w:rsid w:val="00153D55"/>
    <w:rsid w:val="001837F9"/>
    <w:rsid w:val="0018744B"/>
    <w:rsid w:val="00192B92"/>
    <w:rsid w:val="00194C6D"/>
    <w:rsid w:val="00197137"/>
    <w:rsid w:val="001A4C29"/>
    <w:rsid w:val="001B0ACB"/>
    <w:rsid w:val="001B1FB6"/>
    <w:rsid w:val="001B1FB7"/>
    <w:rsid w:val="001B5D3C"/>
    <w:rsid w:val="001B6B57"/>
    <w:rsid w:val="001C1AA3"/>
    <w:rsid w:val="001D09C4"/>
    <w:rsid w:val="001D1C5F"/>
    <w:rsid w:val="001D36F5"/>
    <w:rsid w:val="001D5C60"/>
    <w:rsid w:val="001D70E3"/>
    <w:rsid w:val="001E0393"/>
    <w:rsid w:val="001E0C17"/>
    <w:rsid w:val="001E1FB7"/>
    <w:rsid w:val="001E332F"/>
    <w:rsid w:val="001E5B45"/>
    <w:rsid w:val="001E67BD"/>
    <w:rsid w:val="001F18B7"/>
    <w:rsid w:val="001F2BF6"/>
    <w:rsid w:val="001F317D"/>
    <w:rsid w:val="001F479A"/>
    <w:rsid w:val="001F5A84"/>
    <w:rsid w:val="0020060F"/>
    <w:rsid w:val="00201E87"/>
    <w:rsid w:val="00226A19"/>
    <w:rsid w:val="00230EA1"/>
    <w:rsid w:val="00235942"/>
    <w:rsid w:val="00236208"/>
    <w:rsid w:val="00251204"/>
    <w:rsid w:val="00255176"/>
    <w:rsid w:val="0025541A"/>
    <w:rsid w:val="00265955"/>
    <w:rsid w:val="002701BD"/>
    <w:rsid w:val="00273D8A"/>
    <w:rsid w:val="00280C2F"/>
    <w:rsid w:val="00290230"/>
    <w:rsid w:val="00294C60"/>
    <w:rsid w:val="00297F1C"/>
    <w:rsid w:val="002A24FA"/>
    <w:rsid w:val="002A5991"/>
    <w:rsid w:val="002B1289"/>
    <w:rsid w:val="002B1B59"/>
    <w:rsid w:val="002B28A6"/>
    <w:rsid w:val="002B48F7"/>
    <w:rsid w:val="002B5E98"/>
    <w:rsid w:val="002C448F"/>
    <w:rsid w:val="002C62AF"/>
    <w:rsid w:val="002D3AE7"/>
    <w:rsid w:val="002E150A"/>
    <w:rsid w:val="002E4C84"/>
    <w:rsid w:val="002E5F46"/>
    <w:rsid w:val="002E6B13"/>
    <w:rsid w:val="002F2B21"/>
    <w:rsid w:val="003010F3"/>
    <w:rsid w:val="00304657"/>
    <w:rsid w:val="00305252"/>
    <w:rsid w:val="003058F2"/>
    <w:rsid w:val="00305E64"/>
    <w:rsid w:val="00307720"/>
    <w:rsid w:val="0030790D"/>
    <w:rsid w:val="00312FD4"/>
    <w:rsid w:val="003156D7"/>
    <w:rsid w:val="00321D7A"/>
    <w:rsid w:val="00336342"/>
    <w:rsid w:val="003412C9"/>
    <w:rsid w:val="00343780"/>
    <w:rsid w:val="0034724C"/>
    <w:rsid w:val="00347D21"/>
    <w:rsid w:val="00356E15"/>
    <w:rsid w:val="0036063A"/>
    <w:rsid w:val="00360F7A"/>
    <w:rsid w:val="003623B5"/>
    <w:rsid w:val="00364C1D"/>
    <w:rsid w:val="00364DEC"/>
    <w:rsid w:val="00366BB2"/>
    <w:rsid w:val="00372321"/>
    <w:rsid w:val="003752D0"/>
    <w:rsid w:val="003755FE"/>
    <w:rsid w:val="003824AA"/>
    <w:rsid w:val="003837C7"/>
    <w:rsid w:val="00383D71"/>
    <w:rsid w:val="003A330B"/>
    <w:rsid w:val="003A641B"/>
    <w:rsid w:val="003B37C5"/>
    <w:rsid w:val="003B45B9"/>
    <w:rsid w:val="003B4B73"/>
    <w:rsid w:val="003D0273"/>
    <w:rsid w:val="003D376C"/>
    <w:rsid w:val="003D3DD1"/>
    <w:rsid w:val="003F0A3B"/>
    <w:rsid w:val="003F1968"/>
    <w:rsid w:val="003F667E"/>
    <w:rsid w:val="003F6F5A"/>
    <w:rsid w:val="003F7B10"/>
    <w:rsid w:val="00401DF2"/>
    <w:rsid w:val="004027A9"/>
    <w:rsid w:val="00403EE8"/>
    <w:rsid w:val="00407094"/>
    <w:rsid w:val="00412374"/>
    <w:rsid w:val="00413B40"/>
    <w:rsid w:val="00414AF3"/>
    <w:rsid w:val="00420100"/>
    <w:rsid w:val="00423B6A"/>
    <w:rsid w:val="00430857"/>
    <w:rsid w:val="00432388"/>
    <w:rsid w:val="0043427F"/>
    <w:rsid w:val="00444666"/>
    <w:rsid w:val="00457952"/>
    <w:rsid w:val="004707BB"/>
    <w:rsid w:val="004747C9"/>
    <w:rsid w:val="00474DDF"/>
    <w:rsid w:val="00475B41"/>
    <w:rsid w:val="00482237"/>
    <w:rsid w:val="00487189"/>
    <w:rsid w:val="0048730D"/>
    <w:rsid w:val="00497EEE"/>
    <w:rsid w:val="004A0381"/>
    <w:rsid w:val="004A2948"/>
    <w:rsid w:val="004A3617"/>
    <w:rsid w:val="004A397C"/>
    <w:rsid w:val="004B1A94"/>
    <w:rsid w:val="004B27FD"/>
    <w:rsid w:val="004B2D54"/>
    <w:rsid w:val="004B7CD3"/>
    <w:rsid w:val="004D438E"/>
    <w:rsid w:val="004D4C95"/>
    <w:rsid w:val="004D525E"/>
    <w:rsid w:val="004E41AB"/>
    <w:rsid w:val="004F1332"/>
    <w:rsid w:val="004F3ABA"/>
    <w:rsid w:val="004F4954"/>
    <w:rsid w:val="004F7747"/>
    <w:rsid w:val="00500886"/>
    <w:rsid w:val="00501411"/>
    <w:rsid w:val="00502F2C"/>
    <w:rsid w:val="00503FC3"/>
    <w:rsid w:val="00504D45"/>
    <w:rsid w:val="0051194E"/>
    <w:rsid w:val="005145EE"/>
    <w:rsid w:val="00516EF7"/>
    <w:rsid w:val="005170D8"/>
    <w:rsid w:val="00517561"/>
    <w:rsid w:val="00523AD4"/>
    <w:rsid w:val="00530284"/>
    <w:rsid w:val="00531C8D"/>
    <w:rsid w:val="00531E83"/>
    <w:rsid w:val="00532A7E"/>
    <w:rsid w:val="0053362D"/>
    <w:rsid w:val="00540FCD"/>
    <w:rsid w:val="00541BD9"/>
    <w:rsid w:val="00541D3F"/>
    <w:rsid w:val="005539C0"/>
    <w:rsid w:val="00555ED9"/>
    <w:rsid w:val="00560F60"/>
    <w:rsid w:val="00571206"/>
    <w:rsid w:val="00572C38"/>
    <w:rsid w:val="00585B13"/>
    <w:rsid w:val="00586259"/>
    <w:rsid w:val="00590030"/>
    <w:rsid w:val="00590BC9"/>
    <w:rsid w:val="0059292F"/>
    <w:rsid w:val="005975D3"/>
    <w:rsid w:val="00597B8E"/>
    <w:rsid w:val="005B252E"/>
    <w:rsid w:val="005B26D2"/>
    <w:rsid w:val="005B5AE2"/>
    <w:rsid w:val="005C2BA2"/>
    <w:rsid w:val="005C3577"/>
    <w:rsid w:val="005C6FD2"/>
    <w:rsid w:val="005D210F"/>
    <w:rsid w:val="005D53AE"/>
    <w:rsid w:val="005D6356"/>
    <w:rsid w:val="005D6AD8"/>
    <w:rsid w:val="005D73F7"/>
    <w:rsid w:val="005E4B8D"/>
    <w:rsid w:val="005E6491"/>
    <w:rsid w:val="005E7754"/>
    <w:rsid w:val="005F3E2A"/>
    <w:rsid w:val="005F698B"/>
    <w:rsid w:val="005F73F2"/>
    <w:rsid w:val="006062A0"/>
    <w:rsid w:val="00613A90"/>
    <w:rsid w:val="00617355"/>
    <w:rsid w:val="00622358"/>
    <w:rsid w:val="006234CC"/>
    <w:rsid w:val="00623754"/>
    <w:rsid w:val="006266D7"/>
    <w:rsid w:val="006279B4"/>
    <w:rsid w:val="006315F0"/>
    <w:rsid w:val="00633F7E"/>
    <w:rsid w:val="00635308"/>
    <w:rsid w:val="00641EDA"/>
    <w:rsid w:val="006429E5"/>
    <w:rsid w:val="00660ABB"/>
    <w:rsid w:val="00665C96"/>
    <w:rsid w:val="00674805"/>
    <w:rsid w:val="00674886"/>
    <w:rsid w:val="006831E0"/>
    <w:rsid w:val="00691408"/>
    <w:rsid w:val="00695BA6"/>
    <w:rsid w:val="0069770B"/>
    <w:rsid w:val="006A0D41"/>
    <w:rsid w:val="006A3A92"/>
    <w:rsid w:val="006A60C0"/>
    <w:rsid w:val="006A76BC"/>
    <w:rsid w:val="006B4593"/>
    <w:rsid w:val="006C08EF"/>
    <w:rsid w:val="006C48DD"/>
    <w:rsid w:val="006D13E1"/>
    <w:rsid w:val="006D1EC7"/>
    <w:rsid w:val="006D57C3"/>
    <w:rsid w:val="006E0BC5"/>
    <w:rsid w:val="006E3348"/>
    <w:rsid w:val="006E420B"/>
    <w:rsid w:val="006E425A"/>
    <w:rsid w:val="006E436E"/>
    <w:rsid w:val="006E5362"/>
    <w:rsid w:val="006E53E5"/>
    <w:rsid w:val="006F3973"/>
    <w:rsid w:val="006F4F03"/>
    <w:rsid w:val="006F57EC"/>
    <w:rsid w:val="006F6AFC"/>
    <w:rsid w:val="00701FE6"/>
    <w:rsid w:val="00704170"/>
    <w:rsid w:val="0070730B"/>
    <w:rsid w:val="007130FD"/>
    <w:rsid w:val="00721A5D"/>
    <w:rsid w:val="00725381"/>
    <w:rsid w:val="0072538C"/>
    <w:rsid w:val="00725523"/>
    <w:rsid w:val="00727F24"/>
    <w:rsid w:val="0073067E"/>
    <w:rsid w:val="007326B7"/>
    <w:rsid w:val="00734B3C"/>
    <w:rsid w:val="007445BB"/>
    <w:rsid w:val="007514AC"/>
    <w:rsid w:val="00752AF5"/>
    <w:rsid w:val="00760223"/>
    <w:rsid w:val="007619A3"/>
    <w:rsid w:val="00763206"/>
    <w:rsid w:val="00766343"/>
    <w:rsid w:val="00773901"/>
    <w:rsid w:val="007812A4"/>
    <w:rsid w:val="00785C51"/>
    <w:rsid w:val="0078676F"/>
    <w:rsid w:val="00796E95"/>
    <w:rsid w:val="007976AC"/>
    <w:rsid w:val="007A279B"/>
    <w:rsid w:val="007A3182"/>
    <w:rsid w:val="007A6F98"/>
    <w:rsid w:val="007B4F3C"/>
    <w:rsid w:val="007B64B9"/>
    <w:rsid w:val="007C012C"/>
    <w:rsid w:val="007C3674"/>
    <w:rsid w:val="007C6046"/>
    <w:rsid w:val="007D5BAE"/>
    <w:rsid w:val="007D77E6"/>
    <w:rsid w:val="007E3056"/>
    <w:rsid w:val="007F1B90"/>
    <w:rsid w:val="007F2D92"/>
    <w:rsid w:val="007F3710"/>
    <w:rsid w:val="00800532"/>
    <w:rsid w:val="008029A5"/>
    <w:rsid w:val="00802D0E"/>
    <w:rsid w:val="00804E5A"/>
    <w:rsid w:val="008064F2"/>
    <w:rsid w:val="008079F6"/>
    <w:rsid w:val="008108CA"/>
    <w:rsid w:val="0081365D"/>
    <w:rsid w:val="008213AF"/>
    <w:rsid w:val="0082430E"/>
    <w:rsid w:val="008322A3"/>
    <w:rsid w:val="00836B46"/>
    <w:rsid w:val="0084487B"/>
    <w:rsid w:val="008454F5"/>
    <w:rsid w:val="00851A65"/>
    <w:rsid w:val="00852C5A"/>
    <w:rsid w:val="00860C07"/>
    <w:rsid w:val="00863A8E"/>
    <w:rsid w:val="00865AE1"/>
    <w:rsid w:val="00867091"/>
    <w:rsid w:val="00875607"/>
    <w:rsid w:val="00877EA7"/>
    <w:rsid w:val="00882C72"/>
    <w:rsid w:val="00882FCE"/>
    <w:rsid w:val="008854D7"/>
    <w:rsid w:val="00885D45"/>
    <w:rsid w:val="008864F7"/>
    <w:rsid w:val="008907B5"/>
    <w:rsid w:val="00890D1C"/>
    <w:rsid w:val="008916DD"/>
    <w:rsid w:val="00891BBA"/>
    <w:rsid w:val="00891C57"/>
    <w:rsid w:val="00893327"/>
    <w:rsid w:val="008A29B9"/>
    <w:rsid w:val="008A777B"/>
    <w:rsid w:val="008B0336"/>
    <w:rsid w:val="008B1866"/>
    <w:rsid w:val="008B27AF"/>
    <w:rsid w:val="008B3D7F"/>
    <w:rsid w:val="008B4B1B"/>
    <w:rsid w:val="008B53CD"/>
    <w:rsid w:val="008B542A"/>
    <w:rsid w:val="008C0BE8"/>
    <w:rsid w:val="008C427D"/>
    <w:rsid w:val="008C7678"/>
    <w:rsid w:val="008D0B0E"/>
    <w:rsid w:val="008D3AA7"/>
    <w:rsid w:val="008D3E00"/>
    <w:rsid w:val="008E2DDE"/>
    <w:rsid w:val="008E3EBD"/>
    <w:rsid w:val="008E66CF"/>
    <w:rsid w:val="008F0A73"/>
    <w:rsid w:val="008F42B4"/>
    <w:rsid w:val="008F7BE4"/>
    <w:rsid w:val="00900580"/>
    <w:rsid w:val="00901A4B"/>
    <w:rsid w:val="00910F86"/>
    <w:rsid w:val="00917530"/>
    <w:rsid w:val="00922B3D"/>
    <w:rsid w:val="00923B89"/>
    <w:rsid w:val="00924E0B"/>
    <w:rsid w:val="00925CB0"/>
    <w:rsid w:val="00925F67"/>
    <w:rsid w:val="00932F56"/>
    <w:rsid w:val="00933E94"/>
    <w:rsid w:val="00934984"/>
    <w:rsid w:val="00934A53"/>
    <w:rsid w:val="00936878"/>
    <w:rsid w:val="00940B6B"/>
    <w:rsid w:val="00945935"/>
    <w:rsid w:val="009509C9"/>
    <w:rsid w:val="00957136"/>
    <w:rsid w:val="00963070"/>
    <w:rsid w:val="00967D47"/>
    <w:rsid w:val="00970B71"/>
    <w:rsid w:val="009731F5"/>
    <w:rsid w:val="009762DE"/>
    <w:rsid w:val="00977041"/>
    <w:rsid w:val="0098184F"/>
    <w:rsid w:val="00982301"/>
    <w:rsid w:val="009868AE"/>
    <w:rsid w:val="0099256C"/>
    <w:rsid w:val="009928C5"/>
    <w:rsid w:val="00993EDC"/>
    <w:rsid w:val="00995D10"/>
    <w:rsid w:val="009A3E39"/>
    <w:rsid w:val="009A4B7D"/>
    <w:rsid w:val="009A5D5F"/>
    <w:rsid w:val="009B02C4"/>
    <w:rsid w:val="009B0821"/>
    <w:rsid w:val="009B1274"/>
    <w:rsid w:val="009B4BC8"/>
    <w:rsid w:val="009C365F"/>
    <w:rsid w:val="009C49CE"/>
    <w:rsid w:val="009C604B"/>
    <w:rsid w:val="009C72F8"/>
    <w:rsid w:val="009D5B45"/>
    <w:rsid w:val="009D5FB5"/>
    <w:rsid w:val="009D6050"/>
    <w:rsid w:val="009E2834"/>
    <w:rsid w:val="009E5F84"/>
    <w:rsid w:val="009E602B"/>
    <w:rsid w:val="009F39F9"/>
    <w:rsid w:val="009F3DB2"/>
    <w:rsid w:val="00A04330"/>
    <w:rsid w:val="00A053ED"/>
    <w:rsid w:val="00A073C1"/>
    <w:rsid w:val="00A20302"/>
    <w:rsid w:val="00A20B36"/>
    <w:rsid w:val="00A211F8"/>
    <w:rsid w:val="00A26B4E"/>
    <w:rsid w:val="00A272C0"/>
    <w:rsid w:val="00A32E3D"/>
    <w:rsid w:val="00A33AFD"/>
    <w:rsid w:val="00A3469A"/>
    <w:rsid w:val="00A34AC1"/>
    <w:rsid w:val="00A36836"/>
    <w:rsid w:val="00A40034"/>
    <w:rsid w:val="00A40D8E"/>
    <w:rsid w:val="00A40DF6"/>
    <w:rsid w:val="00A41BD2"/>
    <w:rsid w:val="00A465A3"/>
    <w:rsid w:val="00A50215"/>
    <w:rsid w:val="00A5363E"/>
    <w:rsid w:val="00A54E47"/>
    <w:rsid w:val="00A564F4"/>
    <w:rsid w:val="00A705AD"/>
    <w:rsid w:val="00A7518F"/>
    <w:rsid w:val="00A80990"/>
    <w:rsid w:val="00A93460"/>
    <w:rsid w:val="00A95580"/>
    <w:rsid w:val="00A9649D"/>
    <w:rsid w:val="00A96AED"/>
    <w:rsid w:val="00A971BA"/>
    <w:rsid w:val="00A97469"/>
    <w:rsid w:val="00AA6C83"/>
    <w:rsid w:val="00AB09CD"/>
    <w:rsid w:val="00AB4AB0"/>
    <w:rsid w:val="00AB6F53"/>
    <w:rsid w:val="00AC17AA"/>
    <w:rsid w:val="00AC28AD"/>
    <w:rsid w:val="00AC46A4"/>
    <w:rsid w:val="00AD06B0"/>
    <w:rsid w:val="00AD6703"/>
    <w:rsid w:val="00AD7D9A"/>
    <w:rsid w:val="00AE0931"/>
    <w:rsid w:val="00AE110A"/>
    <w:rsid w:val="00AE6D4D"/>
    <w:rsid w:val="00AE7EE3"/>
    <w:rsid w:val="00AF14AE"/>
    <w:rsid w:val="00AF2003"/>
    <w:rsid w:val="00B12073"/>
    <w:rsid w:val="00B2562F"/>
    <w:rsid w:val="00B26A74"/>
    <w:rsid w:val="00B34117"/>
    <w:rsid w:val="00B34DDD"/>
    <w:rsid w:val="00B3685A"/>
    <w:rsid w:val="00B41681"/>
    <w:rsid w:val="00B4691F"/>
    <w:rsid w:val="00B5112F"/>
    <w:rsid w:val="00B5685A"/>
    <w:rsid w:val="00B577F0"/>
    <w:rsid w:val="00B818E6"/>
    <w:rsid w:val="00B86235"/>
    <w:rsid w:val="00B86E6A"/>
    <w:rsid w:val="00B90149"/>
    <w:rsid w:val="00B910A4"/>
    <w:rsid w:val="00B941DD"/>
    <w:rsid w:val="00B97D96"/>
    <w:rsid w:val="00BA070B"/>
    <w:rsid w:val="00BA4F6A"/>
    <w:rsid w:val="00BB059F"/>
    <w:rsid w:val="00BB3307"/>
    <w:rsid w:val="00BB35B9"/>
    <w:rsid w:val="00BB439F"/>
    <w:rsid w:val="00BB47CB"/>
    <w:rsid w:val="00BB4C7E"/>
    <w:rsid w:val="00BB60F8"/>
    <w:rsid w:val="00BC165A"/>
    <w:rsid w:val="00BC250A"/>
    <w:rsid w:val="00BC3DF4"/>
    <w:rsid w:val="00BC49BE"/>
    <w:rsid w:val="00BC6E56"/>
    <w:rsid w:val="00BD622F"/>
    <w:rsid w:val="00BD683E"/>
    <w:rsid w:val="00BE3A28"/>
    <w:rsid w:val="00BF1186"/>
    <w:rsid w:val="00BF37C8"/>
    <w:rsid w:val="00C06840"/>
    <w:rsid w:val="00C0707C"/>
    <w:rsid w:val="00C071F9"/>
    <w:rsid w:val="00C17953"/>
    <w:rsid w:val="00C34640"/>
    <w:rsid w:val="00C357B9"/>
    <w:rsid w:val="00C35C7D"/>
    <w:rsid w:val="00C36D23"/>
    <w:rsid w:val="00C3717E"/>
    <w:rsid w:val="00C44411"/>
    <w:rsid w:val="00C47FA4"/>
    <w:rsid w:val="00C5015F"/>
    <w:rsid w:val="00C50F07"/>
    <w:rsid w:val="00C73486"/>
    <w:rsid w:val="00C76CC1"/>
    <w:rsid w:val="00C90A47"/>
    <w:rsid w:val="00C90AF0"/>
    <w:rsid w:val="00C92FCD"/>
    <w:rsid w:val="00C95192"/>
    <w:rsid w:val="00C95618"/>
    <w:rsid w:val="00CA0CCC"/>
    <w:rsid w:val="00CA14C1"/>
    <w:rsid w:val="00CA5C87"/>
    <w:rsid w:val="00CA7F65"/>
    <w:rsid w:val="00CB5FE7"/>
    <w:rsid w:val="00CC1A7F"/>
    <w:rsid w:val="00CC3AF9"/>
    <w:rsid w:val="00CC5F25"/>
    <w:rsid w:val="00CC74F3"/>
    <w:rsid w:val="00CC77CA"/>
    <w:rsid w:val="00CD450C"/>
    <w:rsid w:val="00CE68D9"/>
    <w:rsid w:val="00CF489A"/>
    <w:rsid w:val="00CF7238"/>
    <w:rsid w:val="00D00511"/>
    <w:rsid w:val="00D02B84"/>
    <w:rsid w:val="00D065BF"/>
    <w:rsid w:val="00D073E1"/>
    <w:rsid w:val="00D10D2E"/>
    <w:rsid w:val="00D234A8"/>
    <w:rsid w:val="00D24792"/>
    <w:rsid w:val="00D333A4"/>
    <w:rsid w:val="00D43408"/>
    <w:rsid w:val="00D451B9"/>
    <w:rsid w:val="00D45E5F"/>
    <w:rsid w:val="00D52FB5"/>
    <w:rsid w:val="00D534AF"/>
    <w:rsid w:val="00D53A76"/>
    <w:rsid w:val="00D6546E"/>
    <w:rsid w:val="00D65D8E"/>
    <w:rsid w:val="00D71F66"/>
    <w:rsid w:val="00D72455"/>
    <w:rsid w:val="00D774A2"/>
    <w:rsid w:val="00D817AB"/>
    <w:rsid w:val="00D855C6"/>
    <w:rsid w:val="00D876D0"/>
    <w:rsid w:val="00D94057"/>
    <w:rsid w:val="00D97F58"/>
    <w:rsid w:val="00DA338E"/>
    <w:rsid w:val="00DB0953"/>
    <w:rsid w:val="00DB4029"/>
    <w:rsid w:val="00DB4FB0"/>
    <w:rsid w:val="00DB5A2A"/>
    <w:rsid w:val="00DC6DC3"/>
    <w:rsid w:val="00DC6FDA"/>
    <w:rsid w:val="00DC724D"/>
    <w:rsid w:val="00DD3A73"/>
    <w:rsid w:val="00DE3434"/>
    <w:rsid w:val="00DF21DB"/>
    <w:rsid w:val="00DF6A8F"/>
    <w:rsid w:val="00E00743"/>
    <w:rsid w:val="00E02C08"/>
    <w:rsid w:val="00E1258F"/>
    <w:rsid w:val="00E13074"/>
    <w:rsid w:val="00E14D21"/>
    <w:rsid w:val="00E16C8C"/>
    <w:rsid w:val="00E202F2"/>
    <w:rsid w:val="00E23DBE"/>
    <w:rsid w:val="00E265D3"/>
    <w:rsid w:val="00E3480A"/>
    <w:rsid w:val="00E35E39"/>
    <w:rsid w:val="00E4261D"/>
    <w:rsid w:val="00E43396"/>
    <w:rsid w:val="00E45FB4"/>
    <w:rsid w:val="00E52337"/>
    <w:rsid w:val="00E52377"/>
    <w:rsid w:val="00E6593B"/>
    <w:rsid w:val="00E66097"/>
    <w:rsid w:val="00E72516"/>
    <w:rsid w:val="00E73360"/>
    <w:rsid w:val="00E73D48"/>
    <w:rsid w:val="00E75FEB"/>
    <w:rsid w:val="00E80100"/>
    <w:rsid w:val="00E840A6"/>
    <w:rsid w:val="00E965B3"/>
    <w:rsid w:val="00EA018B"/>
    <w:rsid w:val="00EA37BE"/>
    <w:rsid w:val="00EA3CF3"/>
    <w:rsid w:val="00EA4DA2"/>
    <w:rsid w:val="00EA6EA5"/>
    <w:rsid w:val="00EA740F"/>
    <w:rsid w:val="00EB1B15"/>
    <w:rsid w:val="00EB60EC"/>
    <w:rsid w:val="00EB7C3D"/>
    <w:rsid w:val="00ED6C88"/>
    <w:rsid w:val="00EE3CD9"/>
    <w:rsid w:val="00EE4C73"/>
    <w:rsid w:val="00EF15F6"/>
    <w:rsid w:val="00EF2197"/>
    <w:rsid w:val="00EF51A5"/>
    <w:rsid w:val="00EF721A"/>
    <w:rsid w:val="00F03AB4"/>
    <w:rsid w:val="00F0614A"/>
    <w:rsid w:val="00F0667F"/>
    <w:rsid w:val="00F07BB9"/>
    <w:rsid w:val="00F129EF"/>
    <w:rsid w:val="00F14B47"/>
    <w:rsid w:val="00F14F12"/>
    <w:rsid w:val="00F175CE"/>
    <w:rsid w:val="00F17702"/>
    <w:rsid w:val="00F2362A"/>
    <w:rsid w:val="00F23772"/>
    <w:rsid w:val="00F2477C"/>
    <w:rsid w:val="00F350E1"/>
    <w:rsid w:val="00F4579A"/>
    <w:rsid w:val="00F4647D"/>
    <w:rsid w:val="00F46A81"/>
    <w:rsid w:val="00F5262D"/>
    <w:rsid w:val="00F60542"/>
    <w:rsid w:val="00F644B7"/>
    <w:rsid w:val="00F702FB"/>
    <w:rsid w:val="00F7170E"/>
    <w:rsid w:val="00F72B22"/>
    <w:rsid w:val="00F74CFC"/>
    <w:rsid w:val="00F77B91"/>
    <w:rsid w:val="00F80A03"/>
    <w:rsid w:val="00F823FE"/>
    <w:rsid w:val="00F8339E"/>
    <w:rsid w:val="00F83BB2"/>
    <w:rsid w:val="00F9136C"/>
    <w:rsid w:val="00F94D8E"/>
    <w:rsid w:val="00FA095C"/>
    <w:rsid w:val="00FA576F"/>
    <w:rsid w:val="00FB11E4"/>
    <w:rsid w:val="00FB2CF1"/>
    <w:rsid w:val="00FB320D"/>
    <w:rsid w:val="00FB5614"/>
    <w:rsid w:val="00FD2B86"/>
    <w:rsid w:val="00FD549D"/>
    <w:rsid w:val="00FD580B"/>
    <w:rsid w:val="00FE0A24"/>
    <w:rsid w:val="00FE64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5FB2"/>
  <w15:chartTrackingRefBased/>
  <w15:docId w15:val="{FA3F77CF-D48B-41A2-80F8-4B8D8BE4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E15"/>
    <w:pPr>
      <w:spacing w:after="200" w:line="276" w:lineRule="auto"/>
    </w:pPr>
    <w:rPr>
      <w:kern w:val="0"/>
      <w14:ligatures w14:val="none"/>
    </w:rPr>
  </w:style>
  <w:style w:type="paragraph" w:styleId="Heading1">
    <w:name w:val="heading 1"/>
    <w:basedOn w:val="Normal"/>
    <w:next w:val="Normal"/>
    <w:link w:val="Heading1Char"/>
    <w:uiPriority w:val="9"/>
    <w:qFormat/>
    <w:rsid w:val="003D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02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0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73"/>
    <w:rPr>
      <w:rFonts w:eastAsiaTheme="majorEastAsia" w:cstheme="majorBidi"/>
      <w:color w:val="272727" w:themeColor="text1" w:themeTint="D8"/>
    </w:rPr>
  </w:style>
  <w:style w:type="paragraph" w:styleId="Title">
    <w:name w:val="Title"/>
    <w:basedOn w:val="Normal"/>
    <w:next w:val="Normal"/>
    <w:link w:val="TitleChar"/>
    <w:uiPriority w:val="10"/>
    <w:qFormat/>
    <w:rsid w:val="003D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73"/>
    <w:pPr>
      <w:spacing w:before="160"/>
      <w:jc w:val="center"/>
    </w:pPr>
    <w:rPr>
      <w:i/>
      <w:iCs/>
      <w:color w:val="404040" w:themeColor="text1" w:themeTint="BF"/>
    </w:rPr>
  </w:style>
  <w:style w:type="character" w:customStyle="1" w:styleId="QuoteChar">
    <w:name w:val="Quote Char"/>
    <w:basedOn w:val="DefaultParagraphFont"/>
    <w:link w:val="Quote"/>
    <w:uiPriority w:val="29"/>
    <w:rsid w:val="003D0273"/>
    <w:rPr>
      <w:i/>
      <w:iCs/>
      <w:color w:val="404040" w:themeColor="text1" w:themeTint="BF"/>
    </w:rPr>
  </w:style>
  <w:style w:type="paragraph" w:styleId="ListParagraph">
    <w:name w:val="List Paragraph"/>
    <w:basedOn w:val="Normal"/>
    <w:uiPriority w:val="34"/>
    <w:qFormat/>
    <w:rsid w:val="003D0273"/>
    <w:pPr>
      <w:ind w:left="720"/>
      <w:contextualSpacing/>
    </w:pPr>
  </w:style>
  <w:style w:type="character" w:styleId="IntenseEmphasis">
    <w:name w:val="Intense Emphasis"/>
    <w:basedOn w:val="DefaultParagraphFont"/>
    <w:uiPriority w:val="21"/>
    <w:qFormat/>
    <w:rsid w:val="003D0273"/>
    <w:rPr>
      <w:i/>
      <w:iCs/>
      <w:color w:val="0F4761" w:themeColor="accent1" w:themeShade="BF"/>
    </w:rPr>
  </w:style>
  <w:style w:type="paragraph" w:styleId="IntenseQuote">
    <w:name w:val="Intense Quote"/>
    <w:basedOn w:val="Normal"/>
    <w:next w:val="Normal"/>
    <w:link w:val="IntenseQuoteChar"/>
    <w:uiPriority w:val="30"/>
    <w:qFormat/>
    <w:rsid w:val="003D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273"/>
    <w:rPr>
      <w:i/>
      <w:iCs/>
      <w:color w:val="0F4761" w:themeColor="accent1" w:themeShade="BF"/>
    </w:rPr>
  </w:style>
  <w:style w:type="character" w:styleId="IntenseReference">
    <w:name w:val="Intense Reference"/>
    <w:basedOn w:val="DefaultParagraphFont"/>
    <w:uiPriority w:val="32"/>
    <w:qFormat/>
    <w:rsid w:val="003D0273"/>
    <w:rPr>
      <w:b/>
      <w:bCs/>
      <w:smallCaps/>
      <w:color w:val="0F4761" w:themeColor="accent1" w:themeShade="BF"/>
      <w:spacing w:val="5"/>
    </w:rPr>
  </w:style>
  <w:style w:type="paragraph" w:styleId="Header">
    <w:name w:val="header"/>
    <w:basedOn w:val="Normal"/>
    <w:link w:val="HeaderChar"/>
    <w:uiPriority w:val="99"/>
    <w:unhideWhenUsed/>
    <w:rsid w:val="00F80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A03"/>
  </w:style>
  <w:style w:type="paragraph" w:styleId="Footer">
    <w:name w:val="footer"/>
    <w:basedOn w:val="Normal"/>
    <w:link w:val="FooterChar"/>
    <w:uiPriority w:val="99"/>
    <w:unhideWhenUsed/>
    <w:rsid w:val="00F80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A03"/>
  </w:style>
  <w:style w:type="table" w:styleId="TableGrid">
    <w:name w:val="Table Grid"/>
    <w:basedOn w:val="TableNormal"/>
    <w:uiPriority w:val="39"/>
    <w:rsid w:val="009928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link w:val="DHHSbodyChar"/>
    <w:rsid w:val="000200C1"/>
    <w:pPr>
      <w:spacing w:after="120" w:line="270" w:lineRule="atLeast"/>
    </w:pPr>
    <w:rPr>
      <w:rFonts w:ascii="Arial" w:eastAsia="Times" w:hAnsi="Arial" w:cs="Times New Roman"/>
      <w:kern w:val="0"/>
      <w:sz w:val="20"/>
      <w:szCs w:val="20"/>
      <w14:ligatures w14:val="none"/>
    </w:rPr>
  </w:style>
  <w:style w:type="character" w:customStyle="1" w:styleId="DHHSbodyChar">
    <w:name w:val="DHHS body Char"/>
    <w:link w:val="DHHSbody"/>
    <w:qFormat/>
    <w:locked/>
    <w:rsid w:val="000200C1"/>
    <w:rPr>
      <w:rFonts w:ascii="Arial" w:eastAsia="Times" w:hAnsi="Arial" w:cs="Times New Roman"/>
      <w:kern w:val="0"/>
      <w:sz w:val="20"/>
      <w:szCs w:val="20"/>
      <w14:ligatures w14:val="none"/>
    </w:rPr>
  </w:style>
  <w:style w:type="character" w:customStyle="1" w:styleId="cf01">
    <w:name w:val="cf01"/>
    <w:basedOn w:val="DefaultParagraphFont"/>
    <w:rsid w:val="008B53CD"/>
    <w:rPr>
      <w:rFonts w:ascii="Segoe UI" w:hAnsi="Segoe UI" w:cs="Segoe UI" w:hint="default"/>
      <w:sz w:val="18"/>
      <w:szCs w:val="18"/>
    </w:rPr>
  </w:style>
  <w:style w:type="character" w:customStyle="1" w:styleId="cf11">
    <w:name w:val="cf11"/>
    <w:basedOn w:val="DefaultParagraphFont"/>
    <w:rsid w:val="008B53CD"/>
    <w:rPr>
      <w:rFonts w:ascii="Segoe UI" w:hAnsi="Segoe UI" w:cs="Segoe UI" w:hint="default"/>
      <w:sz w:val="18"/>
      <w:szCs w:val="18"/>
    </w:rPr>
  </w:style>
  <w:style w:type="character" w:styleId="CommentReference">
    <w:name w:val="annotation reference"/>
    <w:basedOn w:val="DefaultParagraphFont"/>
    <w:uiPriority w:val="99"/>
    <w:semiHidden/>
    <w:unhideWhenUsed/>
    <w:rsid w:val="00766343"/>
    <w:rPr>
      <w:sz w:val="16"/>
      <w:szCs w:val="16"/>
    </w:rPr>
  </w:style>
  <w:style w:type="paragraph" w:styleId="CommentText">
    <w:name w:val="annotation text"/>
    <w:basedOn w:val="Normal"/>
    <w:link w:val="CommentTextChar"/>
    <w:uiPriority w:val="99"/>
    <w:unhideWhenUsed/>
    <w:rsid w:val="00766343"/>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766343"/>
    <w:rPr>
      <w:kern w:val="0"/>
      <w:sz w:val="20"/>
      <w:szCs w:val="20"/>
      <w:lang w:val="en-US"/>
      <w14:ligatures w14:val="none"/>
    </w:rPr>
  </w:style>
  <w:style w:type="character" w:styleId="Hyperlink">
    <w:name w:val="Hyperlink"/>
    <w:basedOn w:val="DefaultParagraphFont"/>
    <w:uiPriority w:val="99"/>
    <w:unhideWhenUsed/>
    <w:rsid w:val="00F129EF"/>
    <w:rPr>
      <w:color w:val="467886" w:themeColor="hyperlink"/>
      <w:u w:val="single"/>
    </w:rPr>
  </w:style>
  <w:style w:type="character" w:styleId="Emphasis">
    <w:name w:val="Emphasis"/>
    <w:basedOn w:val="DefaultParagraphFont"/>
    <w:uiPriority w:val="20"/>
    <w:qFormat/>
    <w:rsid w:val="00530284"/>
    <w:rPr>
      <w:i/>
      <w:iCs/>
    </w:rPr>
  </w:style>
  <w:style w:type="character" w:styleId="FollowedHyperlink">
    <w:name w:val="FollowedHyperlink"/>
    <w:basedOn w:val="DefaultParagraphFont"/>
    <w:uiPriority w:val="99"/>
    <w:semiHidden/>
    <w:unhideWhenUsed/>
    <w:rsid w:val="004F3ABA"/>
    <w:rPr>
      <w:color w:val="96607D" w:themeColor="followedHyperlink"/>
      <w:u w:val="single"/>
    </w:rPr>
  </w:style>
  <w:style w:type="paragraph" w:styleId="NoSpacing">
    <w:name w:val="No Spacing"/>
    <w:uiPriority w:val="1"/>
    <w:qFormat/>
    <w:rsid w:val="00364DEC"/>
    <w:pPr>
      <w:spacing w:after="0" w:line="240" w:lineRule="auto"/>
    </w:pPr>
    <w:rPr>
      <w:kern w:val="0"/>
      <w:sz w:val="24"/>
      <w:szCs w:val="24"/>
      <w:lang w:val="en-US"/>
      <w14:ligatures w14:val="none"/>
    </w:rPr>
  </w:style>
  <w:style w:type="paragraph" w:customStyle="1" w:styleId="DHHSbullet1">
    <w:name w:val="DHHS bullet 1"/>
    <w:basedOn w:val="Normal"/>
    <w:rsid w:val="007514AC"/>
    <w:pPr>
      <w:spacing w:after="40" w:line="270" w:lineRule="atLeast"/>
      <w:ind w:left="284" w:hanging="284"/>
    </w:pPr>
    <w:rPr>
      <w:rFonts w:ascii="Arial" w:eastAsia="Times" w:hAnsi="Arial" w:cs="Times New Roman"/>
      <w:sz w:val="20"/>
      <w:szCs w:val="20"/>
    </w:rPr>
  </w:style>
  <w:style w:type="paragraph" w:customStyle="1" w:styleId="Default">
    <w:name w:val="Default"/>
    <w:rsid w:val="00A04330"/>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normaltextrun">
    <w:name w:val="normaltextrun"/>
    <w:basedOn w:val="DefaultParagraphFont"/>
    <w:rsid w:val="002A24FA"/>
  </w:style>
  <w:style w:type="paragraph" w:customStyle="1" w:styleId="DHHSbullet2">
    <w:name w:val="DHHS bullet 2"/>
    <w:basedOn w:val="Normal"/>
    <w:uiPriority w:val="2"/>
    <w:rsid w:val="00865AE1"/>
    <w:pPr>
      <w:spacing w:after="40" w:line="270" w:lineRule="atLeast"/>
      <w:ind w:left="567" w:hanging="283"/>
    </w:pPr>
    <w:rPr>
      <w:rFonts w:ascii="Arial" w:eastAsia="Times" w:hAnsi="Arial" w:cs="Times New Roman"/>
      <w:sz w:val="20"/>
      <w:szCs w:val="20"/>
    </w:rPr>
  </w:style>
  <w:style w:type="paragraph" w:customStyle="1" w:styleId="DHHSbullet1lastline">
    <w:name w:val="DHHS bullet 1 last line"/>
    <w:basedOn w:val="DHHSbullet1"/>
    <w:rsid w:val="00865AE1"/>
    <w:pPr>
      <w:spacing w:after="120"/>
    </w:pPr>
  </w:style>
  <w:style w:type="paragraph" w:customStyle="1" w:styleId="DHHSbullet2lastline">
    <w:name w:val="DHHS bullet 2 last line"/>
    <w:basedOn w:val="DHHSbullet2"/>
    <w:uiPriority w:val="2"/>
    <w:rsid w:val="00865AE1"/>
    <w:pPr>
      <w:spacing w:after="120"/>
    </w:pPr>
  </w:style>
  <w:style w:type="paragraph" w:customStyle="1" w:styleId="DHHStablebullet">
    <w:name w:val="DHHS table bullet"/>
    <w:basedOn w:val="Normal"/>
    <w:uiPriority w:val="3"/>
    <w:rsid w:val="00865AE1"/>
    <w:pPr>
      <w:spacing w:before="80" w:after="60" w:line="240" w:lineRule="auto"/>
      <w:ind w:left="227" w:hanging="227"/>
    </w:pPr>
    <w:rPr>
      <w:rFonts w:ascii="Arial" w:eastAsia="Times New Roman" w:hAnsi="Arial" w:cs="Times New Roman"/>
      <w:sz w:val="20"/>
      <w:szCs w:val="20"/>
    </w:rPr>
  </w:style>
  <w:style w:type="numbering" w:customStyle="1" w:styleId="ZZBullets">
    <w:name w:val="ZZ Bullets"/>
    <w:rsid w:val="00865AE1"/>
    <w:pPr>
      <w:numPr>
        <w:numId w:val="2"/>
      </w:numPr>
    </w:pPr>
  </w:style>
  <w:style w:type="paragraph" w:customStyle="1" w:styleId="DHHSbulletindent">
    <w:name w:val="DHHS bullet indent"/>
    <w:basedOn w:val="Normal"/>
    <w:uiPriority w:val="4"/>
    <w:rsid w:val="00865AE1"/>
    <w:pPr>
      <w:spacing w:after="40" w:line="270" w:lineRule="atLeast"/>
      <w:ind w:left="680" w:hanging="283"/>
    </w:pPr>
    <w:rPr>
      <w:rFonts w:ascii="Arial" w:eastAsia="Times" w:hAnsi="Arial" w:cs="Times New Roman"/>
      <w:sz w:val="20"/>
      <w:szCs w:val="20"/>
    </w:rPr>
  </w:style>
  <w:style w:type="paragraph" w:customStyle="1" w:styleId="DHHSbulletindentlastline">
    <w:name w:val="DHHS bullet indent last line"/>
    <w:basedOn w:val="Normal"/>
    <w:uiPriority w:val="4"/>
    <w:rsid w:val="00865AE1"/>
    <w:pPr>
      <w:spacing w:after="120" w:line="270" w:lineRule="atLeast"/>
      <w:ind w:left="680" w:hanging="283"/>
    </w:pPr>
    <w:rPr>
      <w:rFonts w:ascii="Arial" w:eastAsia="Times" w:hAnsi="Arial" w:cs="Times New Roman"/>
      <w:sz w:val="20"/>
      <w:szCs w:val="20"/>
    </w:rPr>
  </w:style>
  <w:style w:type="paragraph" w:customStyle="1" w:styleId="pf0">
    <w:name w:val="pf0"/>
    <w:basedOn w:val="Normal"/>
    <w:rsid w:val="00967D4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21">
    <w:name w:val="cf21"/>
    <w:basedOn w:val="DefaultParagraphFont"/>
    <w:rsid w:val="00967D47"/>
    <w:rPr>
      <w:rFonts w:ascii="Segoe UI" w:hAnsi="Segoe UI" w:cs="Segoe UI" w:hint="default"/>
      <w:sz w:val="18"/>
      <w:szCs w:val="18"/>
    </w:rPr>
  </w:style>
  <w:style w:type="paragraph" w:customStyle="1" w:styleId="MLLegalParagraph1Heading">
    <w:name w:val="ML Legal Paragraph 1 (Heading)"/>
    <w:next w:val="MLLegalParagraph2"/>
    <w:rsid w:val="00EA6EA5"/>
    <w:pPr>
      <w:keepNext/>
      <w:numPr>
        <w:numId w:val="3"/>
      </w:numPr>
      <w:spacing w:before="240" w:after="0" w:line="240" w:lineRule="atLeast"/>
      <w:jc w:val="both"/>
    </w:pPr>
    <w:rPr>
      <w:rFonts w:ascii="Arial" w:eastAsia="Arial" w:hAnsi="Arial" w:cs="Times New Roman"/>
      <w:b/>
      <w:kern w:val="0"/>
      <w:sz w:val="23"/>
      <w:szCs w:val="23"/>
      <w14:ligatures w14:val="none"/>
    </w:rPr>
  </w:style>
  <w:style w:type="paragraph" w:customStyle="1" w:styleId="MLLegalParagraph2">
    <w:name w:val="ML Legal Paragraph 2"/>
    <w:basedOn w:val="MLLegalParagraph1Heading"/>
    <w:rsid w:val="00EA6EA5"/>
    <w:pPr>
      <w:keepNext w:val="0"/>
      <w:numPr>
        <w:ilvl w:val="1"/>
      </w:numPr>
    </w:pPr>
    <w:rPr>
      <w:b w:val="0"/>
    </w:rPr>
  </w:style>
  <w:style w:type="paragraph" w:customStyle="1" w:styleId="MLLegalParagraph3">
    <w:name w:val="ML Legal Paragraph 3"/>
    <w:basedOn w:val="MLLegalParagraph2"/>
    <w:rsid w:val="00EA6EA5"/>
    <w:pPr>
      <w:numPr>
        <w:ilvl w:val="2"/>
      </w:numPr>
      <w:tabs>
        <w:tab w:val="clear" w:pos="2160"/>
      </w:tabs>
    </w:pPr>
  </w:style>
  <w:style w:type="paragraph" w:customStyle="1" w:styleId="MLLegalParagraph4">
    <w:name w:val="ML Legal Paragraph 4"/>
    <w:basedOn w:val="MLLegalParagraph3"/>
    <w:rsid w:val="00EA6EA5"/>
    <w:pPr>
      <w:numPr>
        <w:ilvl w:val="3"/>
      </w:numPr>
      <w:tabs>
        <w:tab w:val="clear" w:pos="2880"/>
      </w:tabs>
      <w:ind w:hanging="360"/>
    </w:pPr>
  </w:style>
  <w:style w:type="paragraph" w:customStyle="1" w:styleId="MLLegalParagraph5">
    <w:name w:val="ML Legal Paragraph 5"/>
    <w:basedOn w:val="MLLegalParagraph4"/>
    <w:rsid w:val="00EA6EA5"/>
    <w:pPr>
      <w:numPr>
        <w:ilvl w:val="4"/>
      </w:numPr>
      <w:tabs>
        <w:tab w:val="clear" w:pos="3600"/>
      </w:tabs>
      <w:ind w:hanging="360"/>
    </w:pPr>
  </w:style>
  <w:style w:type="character" w:customStyle="1" w:styleId="eop">
    <w:name w:val="eop"/>
    <w:basedOn w:val="DefaultParagraphFont"/>
    <w:rsid w:val="00D6546E"/>
  </w:style>
  <w:style w:type="paragraph" w:customStyle="1" w:styleId="paragraph">
    <w:name w:val="paragraph"/>
    <w:basedOn w:val="Normal"/>
    <w:rsid w:val="00FB2CF1"/>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069983">
      <w:bodyDiv w:val="1"/>
      <w:marLeft w:val="0"/>
      <w:marRight w:val="0"/>
      <w:marTop w:val="0"/>
      <w:marBottom w:val="0"/>
      <w:divBdr>
        <w:top w:val="none" w:sz="0" w:space="0" w:color="auto"/>
        <w:left w:val="none" w:sz="0" w:space="0" w:color="auto"/>
        <w:bottom w:val="none" w:sz="0" w:space="0" w:color="auto"/>
        <w:right w:val="none" w:sz="0" w:space="0" w:color="auto"/>
      </w:divBdr>
      <w:divsChild>
        <w:div w:id="1342702949">
          <w:marLeft w:val="0"/>
          <w:marRight w:val="0"/>
          <w:marTop w:val="0"/>
          <w:marBottom w:val="0"/>
          <w:divBdr>
            <w:top w:val="none" w:sz="0" w:space="0" w:color="auto"/>
            <w:left w:val="none" w:sz="0" w:space="0" w:color="auto"/>
            <w:bottom w:val="none" w:sz="0" w:space="0" w:color="auto"/>
            <w:right w:val="none" w:sz="0" w:space="0" w:color="auto"/>
          </w:divBdr>
        </w:div>
        <w:div w:id="107624441">
          <w:marLeft w:val="0"/>
          <w:marRight w:val="0"/>
          <w:marTop w:val="0"/>
          <w:marBottom w:val="0"/>
          <w:divBdr>
            <w:top w:val="none" w:sz="0" w:space="0" w:color="auto"/>
            <w:left w:val="none" w:sz="0" w:space="0" w:color="auto"/>
            <w:bottom w:val="none" w:sz="0" w:space="0" w:color="auto"/>
            <w:right w:val="none" w:sz="0" w:space="0" w:color="auto"/>
          </w:divBdr>
          <w:divsChild>
            <w:div w:id="1950238628">
              <w:marLeft w:val="-75"/>
              <w:marRight w:val="0"/>
              <w:marTop w:val="30"/>
              <w:marBottom w:val="30"/>
              <w:divBdr>
                <w:top w:val="none" w:sz="0" w:space="0" w:color="auto"/>
                <w:left w:val="none" w:sz="0" w:space="0" w:color="auto"/>
                <w:bottom w:val="none" w:sz="0" w:space="0" w:color="auto"/>
                <w:right w:val="none" w:sz="0" w:space="0" w:color="auto"/>
              </w:divBdr>
              <w:divsChild>
                <w:div w:id="1870872872">
                  <w:marLeft w:val="0"/>
                  <w:marRight w:val="0"/>
                  <w:marTop w:val="0"/>
                  <w:marBottom w:val="0"/>
                  <w:divBdr>
                    <w:top w:val="none" w:sz="0" w:space="0" w:color="auto"/>
                    <w:left w:val="none" w:sz="0" w:space="0" w:color="auto"/>
                    <w:bottom w:val="none" w:sz="0" w:space="0" w:color="auto"/>
                    <w:right w:val="none" w:sz="0" w:space="0" w:color="auto"/>
                  </w:divBdr>
                  <w:divsChild>
                    <w:div w:id="1857768666">
                      <w:marLeft w:val="0"/>
                      <w:marRight w:val="0"/>
                      <w:marTop w:val="0"/>
                      <w:marBottom w:val="0"/>
                      <w:divBdr>
                        <w:top w:val="none" w:sz="0" w:space="0" w:color="auto"/>
                        <w:left w:val="none" w:sz="0" w:space="0" w:color="auto"/>
                        <w:bottom w:val="none" w:sz="0" w:space="0" w:color="auto"/>
                        <w:right w:val="none" w:sz="0" w:space="0" w:color="auto"/>
                      </w:divBdr>
                    </w:div>
                  </w:divsChild>
                </w:div>
                <w:div w:id="1550649257">
                  <w:marLeft w:val="0"/>
                  <w:marRight w:val="0"/>
                  <w:marTop w:val="0"/>
                  <w:marBottom w:val="0"/>
                  <w:divBdr>
                    <w:top w:val="none" w:sz="0" w:space="0" w:color="auto"/>
                    <w:left w:val="none" w:sz="0" w:space="0" w:color="auto"/>
                    <w:bottom w:val="none" w:sz="0" w:space="0" w:color="auto"/>
                    <w:right w:val="none" w:sz="0" w:space="0" w:color="auto"/>
                  </w:divBdr>
                  <w:divsChild>
                    <w:div w:id="1015493995">
                      <w:marLeft w:val="0"/>
                      <w:marRight w:val="0"/>
                      <w:marTop w:val="0"/>
                      <w:marBottom w:val="0"/>
                      <w:divBdr>
                        <w:top w:val="none" w:sz="0" w:space="0" w:color="auto"/>
                        <w:left w:val="none" w:sz="0" w:space="0" w:color="auto"/>
                        <w:bottom w:val="none" w:sz="0" w:space="0" w:color="auto"/>
                        <w:right w:val="none" w:sz="0" w:space="0" w:color="auto"/>
                      </w:divBdr>
                    </w:div>
                  </w:divsChild>
                </w:div>
                <w:div w:id="1288313515">
                  <w:marLeft w:val="0"/>
                  <w:marRight w:val="0"/>
                  <w:marTop w:val="0"/>
                  <w:marBottom w:val="0"/>
                  <w:divBdr>
                    <w:top w:val="none" w:sz="0" w:space="0" w:color="auto"/>
                    <w:left w:val="none" w:sz="0" w:space="0" w:color="auto"/>
                    <w:bottom w:val="none" w:sz="0" w:space="0" w:color="auto"/>
                    <w:right w:val="none" w:sz="0" w:space="0" w:color="auto"/>
                  </w:divBdr>
                  <w:divsChild>
                    <w:div w:id="1694839083">
                      <w:marLeft w:val="0"/>
                      <w:marRight w:val="0"/>
                      <w:marTop w:val="0"/>
                      <w:marBottom w:val="0"/>
                      <w:divBdr>
                        <w:top w:val="none" w:sz="0" w:space="0" w:color="auto"/>
                        <w:left w:val="none" w:sz="0" w:space="0" w:color="auto"/>
                        <w:bottom w:val="none" w:sz="0" w:space="0" w:color="auto"/>
                        <w:right w:val="none" w:sz="0" w:space="0" w:color="auto"/>
                      </w:divBdr>
                    </w:div>
                  </w:divsChild>
                </w:div>
                <w:div w:id="1600526086">
                  <w:marLeft w:val="0"/>
                  <w:marRight w:val="0"/>
                  <w:marTop w:val="0"/>
                  <w:marBottom w:val="0"/>
                  <w:divBdr>
                    <w:top w:val="none" w:sz="0" w:space="0" w:color="auto"/>
                    <w:left w:val="none" w:sz="0" w:space="0" w:color="auto"/>
                    <w:bottom w:val="none" w:sz="0" w:space="0" w:color="auto"/>
                    <w:right w:val="none" w:sz="0" w:space="0" w:color="auto"/>
                  </w:divBdr>
                  <w:divsChild>
                    <w:div w:id="651756466">
                      <w:marLeft w:val="0"/>
                      <w:marRight w:val="0"/>
                      <w:marTop w:val="0"/>
                      <w:marBottom w:val="0"/>
                      <w:divBdr>
                        <w:top w:val="none" w:sz="0" w:space="0" w:color="auto"/>
                        <w:left w:val="none" w:sz="0" w:space="0" w:color="auto"/>
                        <w:bottom w:val="none" w:sz="0" w:space="0" w:color="auto"/>
                        <w:right w:val="none" w:sz="0" w:space="0" w:color="auto"/>
                      </w:divBdr>
                    </w:div>
                  </w:divsChild>
                </w:div>
                <w:div w:id="788401228">
                  <w:marLeft w:val="0"/>
                  <w:marRight w:val="0"/>
                  <w:marTop w:val="0"/>
                  <w:marBottom w:val="0"/>
                  <w:divBdr>
                    <w:top w:val="none" w:sz="0" w:space="0" w:color="auto"/>
                    <w:left w:val="none" w:sz="0" w:space="0" w:color="auto"/>
                    <w:bottom w:val="none" w:sz="0" w:space="0" w:color="auto"/>
                    <w:right w:val="none" w:sz="0" w:space="0" w:color="auto"/>
                  </w:divBdr>
                  <w:divsChild>
                    <w:div w:id="1648894700">
                      <w:marLeft w:val="0"/>
                      <w:marRight w:val="0"/>
                      <w:marTop w:val="0"/>
                      <w:marBottom w:val="0"/>
                      <w:divBdr>
                        <w:top w:val="none" w:sz="0" w:space="0" w:color="auto"/>
                        <w:left w:val="none" w:sz="0" w:space="0" w:color="auto"/>
                        <w:bottom w:val="none" w:sz="0" w:space="0" w:color="auto"/>
                        <w:right w:val="none" w:sz="0" w:space="0" w:color="auto"/>
                      </w:divBdr>
                    </w:div>
                    <w:div w:id="1349793317">
                      <w:marLeft w:val="0"/>
                      <w:marRight w:val="0"/>
                      <w:marTop w:val="0"/>
                      <w:marBottom w:val="0"/>
                      <w:divBdr>
                        <w:top w:val="none" w:sz="0" w:space="0" w:color="auto"/>
                        <w:left w:val="none" w:sz="0" w:space="0" w:color="auto"/>
                        <w:bottom w:val="none" w:sz="0" w:space="0" w:color="auto"/>
                        <w:right w:val="none" w:sz="0" w:space="0" w:color="auto"/>
                      </w:divBdr>
                    </w:div>
                  </w:divsChild>
                </w:div>
                <w:div w:id="1495491171">
                  <w:marLeft w:val="0"/>
                  <w:marRight w:val="0"/>
                  <w:marTop w:val="0"/>
                  <w:marBottom w:val="0"/>
                  <w:divBdr>
                    <w:top w:val="none" w:sz="0" w:space="0" w:color="auto"/>
                    <w:left w:val="none" w:sz="0" w:space="0" w:color="auto"/>
                    <w:bottom w:val="none" w:sz="0" w:space="0" w:color="auto"/>
                    <w:right w:val="none" w:sz="0" w:space="0" w:color="auto"/>
                  </w:divBdr>
                  <w:divsChild>
                    <w:div w:id="1236359487">
                      <w:marLeft w:val="0"/>
                      <w:marRight w:val="0"/>
                      <w:marTop w:val="0"/>
                      <w:marBottom w:val="0"/>
                      <w:divBdr>
                        <w:top w:val="none" w:sz="0" w:space="0" w:color="auto"/>
                        <w:left w:val="none" w:sz="0" w:space="0" w:color="auto"/>
                        <w:bottom w:val="none" w:sz="0" w:space="0" w:color="auto"/>
                        <w:right w:val="none" w:sz="0" w:space="0" w:color="auto"/>
                      </w:divBdr>
                    </w:div>
                  </w:divsChild>
                </w:div>
                <w:div w:id="895701346">
                  <w:marLeft w:val="0"/>
                  <w:marRight w:val="0"/>
                  <w:marTop w:val="0"/>
                  <w:marBottom w:val="0"/>
                  <w:divBdr>
                    <w:top w:val="none" w:sz="0" w:space="0" w:color="auto"/>
                    <w:left w:val="none" w:sz="0" w:space="0" w:color="auto"/>
                    <w:bottom w:val="none" w:sz="0" w:space="0" w:color="auto"/>
                    <w:right w:val="none" w:sz="0" w:space="0" w:color="auto"/>
                  </w:divBdr>
                  <w:divsChild>
                    <w:div w:id="572856873">
                      <w:marLeft w:val="0"/>
                      <w:marRight w:val="0"/>
                      <w:marTop w:val="0"/>
                      <w:marBottom w:val="0"/>
                      <w:divBdr>
                        <w:top w:val="none" w:sz="0" w:space="0" w:color="auto"/>
                        <w:left w:val="none" w:sz="0" w:space="0" w:color="auto"/>
                        <w:bottom w:val="none" w:sz="0" w:space="0" w:color="auto"/>
                        <w:right w:val="none" w:sz="0" w:space="0" w:color="auto"/>
                      </w:divBdr>
                    </w:div>
                  </w:divsChild>
                </w:div>
                <w:div w:id="429400230">
                  <w:marLeft w:val="0"/>
                  <w:marRight w:val="0"/>
                  <w:marTop w:val="0"/>
                  <w:marBottom w:val="0"/>
                  <w:divBdr>
                    <w:top w:val="none" w:sz="0" w:space="0" w:color="auto"/>
                    <w:left w:val="none" w:sz="0" w:space="0" w:color="auto"/>
                    <w:bottom w:val="none" w:sz="0" w:space="0" w:color="auto"/>
                    <w:right w:val="none" w:sz="0" w:space="0" w:color="auto"/>
                  </w:divBdr>
                  <w:divsChild>
                    <w:div w:id="1319579583">
                      <w:marLeft w:val="0"/>
                      <w:marRight w:val="0"/>
                      <w:marTop w:val="0"/>
                      <w:marBottom w:val="0"/>
                      <w:divBdr>
                        <w:top w:val="none" w:sz="0" w:space="0" w:color="auto"/>
                        <w:left w:val="none" w:sz="0" w:space="0" w:color="auto"/>
                        <w:bottom w:val="none" w:sz="0" w:space="0" w:color="auto"/>
                        <w:right w:val="none" w:sz="0" w:space="0" w:color="auto"/>
                      </w:divBdr>
                    </w:div>
                    <w:div w:id="1416122518">
                      <w:marLeft w:val="0"/>
                      <w:marRight w:val="0"/>
                      <w:marTop w:val="0"/>
                      <w:marBottom w:val="0"/>
                      <w:divBdr>
                        <w:top w:val="none" w:sz="0" w:space="0" w:color="auto"/>
                        <w:left w:val="none" w:sz="0" w:space="0" w:color="auto"/>
                        <w:bottom w:val="none" w:sz="0" w:space="0" w:color="auto"/>
                        <w:right w:val="none" w:sz="0" w:space="0" w:color="auto"/>
                      </w:divBdr>
                    </w:div>
                  </w:divsChild>
                </w:div>
                <w:div w:id="388959666">
                  <w:marLeft w:val="0"/>
                  <w:marRight w:val="0"/>
                  <w:marTop w:val="0"/>
                  <w:marBottom w:val="0"/>
                  <w:divBdr>
                    <w:top w:val="none" w:sz="0" w:space="0" w:color="auto"/>
                    <w:left w:val="none" w:sz="0" w:space="0" w:color="auto"/>
                    <w:bottom w:val="none" w:sz="0" w:space="0" w:color="auto"/>
                    <w:right w:val="none" w:sz="0" w:space="0" w:color="auto"/>
                  </w:divBdr>
                  <w:divsChild>
                    <w:div w:id="343670965">
                      <w:marLeft w:val="0"/>
                      <w:marRight w:val="0"/>
                      <w:marTop w:val="0"/>
                      <w:marBottom w:val="0"/>
                      <w:divBdr>
                        <w:top w:val="none" w:sz="0" w:space="0" w:color="auto"/>
                        <w:left w:val="none" w:sz="0" w:space="0" w:color="auto"/>
                        <w:bottom w:val="none" w:sz="0" w:space="0" w:color="auto"/>
                        <w:right w:val="none" w:sz="0" w:space="0" w:color="auto"/>
                      </w:divBdr>
                    </w:div>
                  </w:divsChild>
                </w:div>
                <w:div w:id="1950623780">
                  <w:marLeft w:val="0"/>
                  <w:marRight w:val="0"/>
                  <w:marTop w:val="0"/>
                  <w:marBottom w:val="0"/>
                  <w:divBdr>
                    <w:top w:val="none" w:sz="0" w:space="0" w:color="auto"/>
                    <w:left w:val="none" w:sz="0" w:space="0" w:color="auto"/>
                    <w:bottom w:val="none" w:sz="0" w:space="0" w:color="auto"/>
                    <w:right w:val="none" w:sz="0" w:space="0" w:color="auto"/>
                  </w:divBdr>
                  <w:divsChild>
                    <w:div w:id="1611547662">
                      <w:marLeft w:val="0"/>
                      <w:marRight w:val="0"/>
                      <w:marTop w:val="0"/>
                      <w:marBottom w:val="0"/>
                      <w:divBdr>
                        <w:top w:val="none" w:sz="0" w:space="0" w:color="auto"/>
                        <w:left w:val="none" w:sz="0" w:space="0" w:color="auto"/>
                        <w:bottom w:val="none" w:sz="0" w:space="0" w:color="auto"/>
                        <w:right w:val="none" w:sz="0" w:space="0" w:color="auto"/>
                      </w:divBdr>
                    </w:div>
                  </w:divsChild>
                </w:div>
                <w:div w:id="1109083372">
                  <w:marLeft w:val="0"/>
                  <w:marRight w:val="0"/>
                  <w:marTop w:val="0"/>
                  <w:marBottom w:val="0"/>
                  <w:divBdr>
                    <w:top w:val="none" w:sz="0" w:space="0" w:color="auto"/>
                    <w:left w:val="none" w:sz="0" w:space="0" w:color="auto"/>
                    <w:bottom w:val="none" w:sz="0" w:space="0" w:color="auto"/>
                    <w:right w:val="none" w:sz="0" w:space="0" w:color="auto"/>
                  </w:divBdr>
                  <w:divsChild>
                    <w:div w:id="1952740672">
                      <w:marLeft w:val="0"/>
                      <w:marRight w:val="0"/>
                      <w:marTop w:val="0"/>
                      <w:marBottom w:val="0"/>
                      <w:divBdr>
                        <w:top w:val="none" w:sz="0" w:space="0" w:color="auto"/>
                        <w:left w:val="none" w:sz="0" w:space="0" w:color="auto"/>
                        <w:bottom w:val="none" w:sz="0" w:space="0" w:color="auto"/>
                        <w:right w:val="none" w:sz="0" w:space="0" w:color="auto"/>
                      </w:divBdr>
                    </w:div>
                    <w:div w:id="1319840145">
                      <w:marLeft w:val="0"/>
                      <w:marRight w:val="0"/>
                      <w:marTop w:val="0"/>
                      <w:marBottom w:val="0"/>
                      <w:divBdr>
                        <w:top w:val="none" w:sz="0" w:space="0" w:color="auto"/>
                        <w:left w:val="none" w:sz="0" w:space="0" w:color="auto"/>
                        <w:bottom w:val="none" w:sz="0" w:space="0" w:color="auto"/>
                        <w:right w:val="none" w:sz="0" w:space="0" w:color="auto"/>
                      </w:divBdr>
                    </w:div>
                  </w:divsChild>
                </w:div>
                <w:div w:id="941690041">
                  <w:marLeft w:val="0"/>
                  <w:marRight w:val="0"/>
                  <w:marTop w:val="0"/>
                  <w:marBottom w:val="0"/>
                  <w:divBdr>
                    <w:top w:val="none" w:sz="0" w:space="0" w:color="auto"/>
                    <w:left w:val="none" w:sz="0" w:space="0" w:color="auto"/>
                    <w:bottom w:val="none" w:sz="0" w:space="0" w:color="auto"/>
                    <w:right w:val="none" w:sz="0" w:space="0" w:color="auto"/>
                  </w:divBdr>
                  <w:divsChild>
                    <w:div w:id="564878731">
                      <w:marLeft w:val="0"/>
                      <w:marRight w:val="0"/>
                      <w:marTop w:val="0"/>
                      <w:marBottom w:val="0"/>
                      <w:divBdr>
                        <w:top w:val="none" w:sz="0" w:space="0" w:color="auto"/>
                        <w:left w:val="none" w:sz="0" w:space="0" w:color="auto"/>
                        <w:bottom w:val="none" w:sz="0" w:space="0" w:color="auto"/>
                        <w:right w:val="none" w:sz="0" w:space="0" w:color="auto"/>
                      </w:divBdr>
                    </w:div>
                  </w:divsChild>
                </w:div>
                <w:div w:id="625887371">
                  <w:marLeft w:val="0"/>
                  <w:marRight w:val="0"/>
                  <w:marTop w:val="0"/>
                  <w:marBottom w:val="0"/>
                  <w:divBdr>
                    <w:top w:val="none" w:sz="0" w:space="0" w:color="auto"/>
                    <w:left w:val="none" w:sz="0" w:space="0" w:color="auto"/>
                    <w:bottom w:val="none" w:sz="0" w:space="0" w:color="auto"/>
                    <w:right w:val="none" w:sz="0" w:space="0" w:color="auto"/>
                  </w:divBdr>
                  <w:divsChild>
                    <w:div w:id="252321728">
                      <w:marLeft w:val="0"/>
                      <w:marRight w:val="0"/>
                      <w:marTop w:val="0"/>
                      <w:marBottom w:val="0"/>
                      <w:divBdr>
                        <w:top w:val="none" w:sz="0" w:space="0" w:color="auto"/>
                        <w:left w:val="none" w:sz="0" w:space="0" w:color="auto"/>
                        <w:bottom w:val="none" w:sz="0" w:space="0" w:color="auto"/>
                        <w:right w:val="none" w:sz="0" w:space="0" w:color="auto"/>
                      </w:divBdr>
                    </w:div>
                  </w:divsChild>
                </w:div>
                <w:div w:id="283971854">
                  <w:marLeft w:val="0"/>
                  <w:marRight w:val="0"/>
                  <w:marTop w:val="0"/>
                  <w:marBottom w:val="0"/>
                  <w:divBdr>
                    <w:top w:val="none" w:sz="0" w:space="0" w:color="auto"/>
                    <w:left w:val="none" w:sz="0" w:space="0" w:color="auto"/>
                    <w:bottom w:val="none" w:sz="0" w:space="0" w:color="auto"/>
                    <w:right w:val="none" w:sz="0" w:space="0" w:color="auto"/>
                  </w:divBdr>
                  <w:divsChild>
                    <w:div w:id="190916511">
                      <w:marLeft w:val="0"/>
                      <w:marRight w:val="0"/>
                      <w:marTop w:val="0"/>
                      <w:marBottom w:val="0"/>
                      <w:divBdr>
                        <w:top w:val="none" w:sz="0" w:space="0" w:color="auto"/>
                        <w:left w:val="none" w:sz="0" w:space="0" w:color="auto"/>
                        <w:bottom w:val="none" w:sz="0" w:space="0" w:color="auto"/>
                        <w:right w:val="none" w:sz="0" w:space="0" w:color="auto"/>
                      </w:divBdr>
                    </w:div>
                  </w:divsChild>
                </w:div>
                <w:div w:id="186263251">
                  <w:marLeft w:val="0"/>
                  <w:marRight w:val="0"/>
                  <w:marTop w:val="0"/>
                  <w:marBottom w:val="0"/>
                  <w:divBdr>
                    <w:top w:val="none" w:sz="0" w:space="0" w:color="auto"/>
                    <w:left w:val="none" w:sz="0" w:space="0" w:color="auto"/>
                    <w:bottom w:val="none" w:sz="0" w:space="0" w:color="auto"/>
                    <w:right w:val="none" w:sz="0" w:space="0" w:color="auto"/>
                  </w:divBdr>
                  <w:divsChild>
                    <w:div w:id="121249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877639">
          <w:marLeft w:val="0"/>
          <w:marRight w:val="0"/>
          <w:marTop w:val="0"/>
          <w:marBottom w:val="0"/>
          <w:divBdr>
            <w:top w:val="none" w:sz="0" w:space="0" w:color="auto"/>
            <w:left w:val="none" w:sz="0" w:space="0" w:color="auto"/>
            <w:bottom w:val="none" w:sz="0" w:space="0" w:color="auto"/>
            <w:right w:val="none" w:sz="0" w:space="0" w:color="auto"/>
          </w:divBdr>
        </w:div>
      </w:divsChild>
    </w:div>
    <w:div w:id="199976219">
      <w:bodyDiv w:val="1"/>
      <w:marLeft w:val="0"/>
      <w:marRight w:val="0"/>
      <w:marTop w:val="0"/>
      <w:marBottom w:val="0"/>
      <w:divBdr>
        <w:top w:val="none" w:sz="0" w:space="0" w:color="auto"/>
        <w:left w:val="none" w:sz="0" w:space="0" w:color="auto"/>
        <w:bottom w:val="none" w:sz="0" w:space="0" w:color="auto"/>
        <w:right w:val="none" w:sz="0" w:space="0" w:color="auto"/>
      </w:divBdr>
      <w:divsChild>
        <w:div w:id="1849173519">
          <w:marLeft w:val="0"/>
          <w:marRight w:val="0"/>
          <w:marTop w:val="0"/>
          <w:marBottom w:val="0"/>
          <w:divBdr>
            <w:top w:val="none" w:sz="0" w:space="0" w:color="auto"/>
            <w:left w:val="none" w:sz="0" w:space="0" w:color="auto"/>
            <w:bottom w:val="none" w:sz="0" w:space="0" w:color="auto"/>
            <w:right w:val="none" w:sz="0" w:space="0" w:color="auto"/>
          </w:divBdr>
        </w:div>
        <w:div w:id="558244715">
          <w:marLeft w:val="0"/>
          <w:marRight w:val="0"/>
          <w:marTop w:val="0"/>
          <w:marBottom w:val="0"/>
          <w:divBdr>
            <w:top w:val="none" w:sz="0" w:space="0" w:color="auto"/>
            <w:left w:val="none" w:sz="0" w:space="0" w:color="auto"/>
            <w:bottom w:val="none" w:sz="0" w:space="0" w:color="auto"/>
            <w:right w:val="none" w:sz="0" w:space="0" w:color="auto"/>
          </w:divBdr>
        </w:div>
        <w:div w:id="1575041202">
          <w:marLeft w:val="0"/>
          <w:marRight w:val="0"/>
          <w:marTop w:val="0"/>
          <w:marBottom w:val="0"/>
          <w:divBdr>
            <w:top w:val="none" w:sz="0" w:space="0" w:color="auto"/>
            <w:left w:val="none" w:sz="0" w:space="0" w:color="auto"/>
            <w:bottom w:val="none" w:sz="0" w:space="0" w:color="auto"/>
            <w:right w:val="none" w:sz="0" w:space="0" w:color="auto"/>
          </w:divBdr>
        </w:div>
      </w:divsChild>
    </w:div>
    <w:div w:id="691342770">
      <w:bodyDiv w:val="1"/>
      <w:marLeft w:val="0"/>
      <w:marRight w:val="0"/>
      <w:marTop w:val="0"/>
      <w:marBottom w:val="0"/>
      <w:divBdr>
        <w:top w:val="none" w:sz="0" w:space="0" w:color="auto"/>
        <w:left w:val="none" w:sz="0" w:space="0" w:color="auto"/>
        <w:bottom w:val="none" w:sz="0" w:space="0" w:color="auto"/>
        <w:right w:val="none" w:sz="0" w:space="0" w:color="auto"/>
      </w:divBdr>
      <w:divsChild>
        <w:div w:id="806623730">
          <w:marLeft w:val="0"/>
          <w:marRight w:val="0"/>
          <w:marTop w:val="0"/>
          <w:marBottom w:val="0"/>
          <w:divBdr>
            <w:top w:val="none" w:sz="0" w:space="0" w:color="auto"/>
            <w:left w:val="none" w:sz="0" w:space="0" w:color="auto"/>
            <w:bottom w:val="none" w:sz="0" w:space="0" w:color="auto"/>
            <w:right w:val="none" w:sz="0" w:space="0" w:color="auto"/>
          </w:divBdr>
        </w:div>
        <w:div w:id="1913198481">
          <w:marLeft w:val="0"/>
          <w:marRight w:val="0"/>
          <w:marTop w:val="0"/>
          <w:marBottom w:val="0"/>
          <w:divBdr>
            <w:top w:val="none" w:sz="0" w:space="0" w:color="auto"/>
            <w:left w:val="none" w:sz="0" w:space="0" w:color="auto"/>
            <w:bottom w:val="none" w:sz="0" w:space="0" w:color="auto"/>
            <w:right w:val="none" w:sz="0" w:space="0" w:color="auto"/>
          </w:divBdr>
        </w:div>
      </w:divsChild>
    </w:div>
    <w:div w:id="1697344628">
      <w:bodyDiv w:val="1"/>
      <w:marLeft w:val="0"/>
      <w:marRight w:val="0"/>
      <w:marTop w:val="0"/>
      <w:marBottom w:val="0"/>
      <w:divBdr>
        <w:top w:val="none" w:sz="0" w:space="0" w:color="auto"/>
        <w:left w:val="none" w:sz="0" w:space="0" w:color="auto"/>
        <w:bottom w:val="none" w:sz="0" w:space="0" w:color="auto"/>
        <w:right w:val="none" w:sz="0" w:space="0" w:color="auto"/>
      </w:divBdr>
      <w:divsChild>
        <w:div w:id="822353348">
          <w:marLeft w:val="0"/>
          <w:marRight w:val="0"/>
          <w:marTop w:val="0"/>
          <w:marBottom w:val="0"/>
          <w:divBdr>
            <w:top w:val="none" w:sz="0" w:space="0" w:color="auto"/>
            <w:left w:val="none" w:sz="0" w:space="0" w:color="auto"/>
            <w:bottom w:val="none" w:sz="0" w:space="0" w:color="auto"/>
            <w:right w:val="none" w:sz="0" w:space="0" w:color="auto"/>
          </w:divBdr>
        </w:div>
        <w:div w:id="2060934001">
          <w:marLeft w:val="0"/>
          <w:marRight w:val="0"/>
          <w:marTop w:val="0"/>
          <w:marBottom w:val="0"/>
          <w:divBdr>
            <w:top w:val="none" w:sz="0" w:space="0" w:color="auto"/>
            <w:left w:val="none" w:sz="0" w:space="0" w:color="auto"/>
            <w:bottom w:val="none" w:sz="0" w:space="0" w:color="auto"/>
            <w:right w:val="none" w:sz="0" w:space="0" w:color="auto"/>
          </w:divBdr>
        </w:div>
        <w:div w:id="800422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footer" Target="footer2.xml"/><Relationship Id="rId5" Type="http://schemas.openxmlformats.org/officeDocument/2006/relationships/styles" Target="styles.xml"/><Relationship Id="rId15" Type="http://schemas.microsoft.com/office/2007/relationships/diagramDrawing" Target="diagrams/drawing1.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fac.dffh.vic.gov.au/homelessness-services-guidelines-and-conditions-funding" TargetMode="External"/><Relationship Id="rId19" Type="http://schemas.openxmlformats.org/officeDocument/2006/relationships/diagramColors" Target="diagrams/colors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header" Target="header2.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792812D-14DF-4351-BB05-270611A1C3E1}" type="doc">
      <dgm:prSet loTypeId="urn:microsoft.com/office/officeart/2005/8/layout/hProcess9" loCatId="process" qsTypeId="urn:microsoft.com/office/officeart/2005/8/quickstyle/simple1" qsCatId="simple" csTypeId="urn:microsoft.com/office/officeart/2005/8/colors/accent1_3" csCatId="accent1" phldr="1"/>
      <dgm:spPr/>
    </dgm:pt>
    <dgm:pt modelId="{7170F8B1-4A1A-463A-90B8-F1272CECAD7E}">
      <dgm:prSet phldrT="[Text]"/>
      <dgm:spPr/>
      <dgm:t>
        <a:bodyPr/>
        <a:lstStyle/>
        <a:p>
          <a:r>
            <a:rPr lang="en-AU"/>
            <a:t>Property becomes available </a:t>
          </a:r>
        </a:p>
      </dgm:t>
    </dgm:pt>
    <dgm:pt modelId="{DF6221D6-7339-46B8-BCB8-233F65928A6B}" type="parTrans" cxnId="{832C1ACB-5086-4DCD-8249-394D0EB89506}">
      <dgm:prSet/>
      <dgm:spPr/>
      <dgm:t>
        <a:bodyPr/>
        <a:lstStyle/>
        <a:p>
          <a:endParaRPr lang="en-AU"/>
        </a:p>
      </dgm:t>
    </dgm:pt>
    <dgm:pt modelId="{0D048612-FCCB-45E2-8ACD-544CCF63EEB9}" type="sibTrans" cxnId="{832C1ACB-5086-4DCD-8249-394D0EB89506}">
      <dgm:prSet/>
      <dgm:spPr/>
      <dgm:t>
        <a:bodyPr/>
        <a:lstStyle/>
        <a:p>
          <a:endParaRPr lang="en-AU"/>
        </a:p>
      </dgm:t>
    </dgm:pt>
    <dgm:pt modelId="{B015BD15-CF41-436D-8F97-19E67515C666}">
      <dgm:prSet phldrT="[Text]"/>
      <dgm:spPr/>
      <dgm:t>
        <a:bodyPr/>
        <a:lstStyle/>
        <a:p>
          <a:r>
            <a:rPr lang="en-AU"/>
            <a:t>Referral or Nomination of client from agency</a:t>
          </a:r>
        </a:p>
      </dgm:t>
    </dgm:pt>
    <dgm:pt modelId="{AE9AF6C8-C82B-4CB1-AEF2-6199621098AE}" type="parTrans" cxnId="{D62AB953-5EA2-47C1-A405-16EFF1A33243}">
      <dgm:prSet/>
      <dgm:spPr/>
      <dgm:t>
        <a:bodyPr/>
        <a:lstStyle/>
        <a:p>
          <a:endParaRPr lang="en-AU"/>
        </a:p>
      </dgm:t>
    </dgm:pt>
    <dgm:pt modelId="{46615E81-5C73-4923-8DC9-5A699722088D}" type="sibTrans" cxnId="{D62AB953-5EA2-47C1-A405-16EFF1A33243}">
      <dgm:prSet/>
      <dgm:spPr/>
      <dgm:t>
        <a:bodyPr/>
        <a:lstStyle/>
        <a:p>
          <a:endParaRPr lang="en-AU"/>
        </a:p>
      </dgm:t>
    </dgm:pt>
    <dgm:pt modelId="{AC0D6AC3-24F4-4CDE-8279-0167368B4514}">
      <dgm:prSet phldrT="[Text]"/>
      <dgm:spPr/>
      <dgm:t>
        <a:bodyPr/>
        <a:lstStyle/>
        <a:p>
          <a:r>
            <a:rPr lang="en-AU"/>
            <a:t>Assessment of referrals</a:t>
          </a:r>
        </a:p>
      </dgm:t>
    </dgm:pt>
    <dgm:pt modelId="{7954F0E5-8AED-4FF6-AA3E-1B6A034BD691}" type="parTrans" cxnId="{3B69FF5A-0E40-4F9E-9A46-1D71F33F10AC}">
      <dgm:prSet/>
      <dgm:spPr/>
      <dgm:t>
        <a:bodyPr/>
        <a:lstStyle/>
        <a:p>
          <a:endParaRPr lang="en-AU"/>
        </a:p>
      </dgm:t>
    </dgm:pt>
    <dgm:pt modelId="{B746E00B-D4BB-4246-8C7C-7F8129FD982D}" type="sibTrans" cxnId="{3B69FF5A-0E40-4F9E-9A46-1D71F33F10AC}">
      <dgm:prSet/>
      <dgm:spPr/>
      <dgm:t>
        <a:bodyPr/>
        <a:lstStyle/>
        <a:p>
          <a:endParaRPr lang="en-AU"/>
        </a:p>
      </dgm:t>
    </dgm:pt>
    <dgm:pt modelId="{CE569A9D-E666-4167-8537-40CEC4F8A667}">
      <dgm:prSet phldrT="[Text]"/>
      <dgm:spPr/>
      <dgm:t>
        <a:bodyPr/>
        <a:lstStyle/>
        <a:p>
          <a:r>
            <a:rPr lang="en-AU"/>
            <a:t>Allocation confirmed</a:t>
          </a:r>
        </a:p>
      </dgm:t>
    </dgm:pt>
    <dgm:pt modelId="{5F25A732-6D00-4E5A-8D9F-285A4C922D6A}" type="parTrans" cxnId="{3FB8CA53-0434-409F-B94F-92AEB65AA376}">
      <dgm:prSet/>
      <dgm:spPr/>
      <dgm:t>
        <a:bodyPr/>
        <a:lstStyle/>
        <a:p>
          <a:endParaRPr lang="en-AU"/>
        </a:p>
      </dgm:t>
    </dgm:pt>
    <dgm:pt modelId="{382FBB56-805C-4A56-A674-A62CF7F4A3F3}" type="sibTrans" cxnId="{3FB8CA53-0434-409F-B94F-92AEB65AA376}">
      <dgm:prSet/>
      <dgm:spPr/>
      <dgm:t>
        <a:bodyPr/>
        <a:lstStyle/>
        <a:p>
          <a:endParaRPr lang="en-AU"/>
        </a:p>
      </dgm:t>
    </dgm:pt>
    <dgm:pt modelId="{C20C23F4-4DA0-4895-A48A-DD1C03DCE926}">
      <dgm:prSet phldrT="[Text]"/>
      <dgm:spPr/>
      <dgm:t>
        <a:bodyPr/>
        <a:lstStyle/>
        <a:p>
          <a:r>
            <a:rPr lang="en-AU"/>
            <a:t>Sign up completed</a:t>
          </a:r>
        </a:p>
      </dgm:t>
    </dgm:pt>
    <dgm:pt modelId="{449ADDAB-E00A-474E-A196-CE4C387EB0A8}" type="sibTrans" cxnId="{5B866E4F-AFF5-4633-BD23-16BE032A6416}">
      <dgm:prSet/>
      <dgm:spPr/>
      <dgm:t>
        <a:bodyPr/>
        <a:lstStyle/>
        <a:p>
          <a:endParaRPr lang="en-AU"/>
        </a:p>
      </dgm:t>
    </dgm:pt>
    <dgm:pt modelId="{3C69396F-77AB-4CEE-88C3-3D1B5CB2E51F}" type="parTrans" cxnId="{5B866E4F-AFF5-4633-BD23-16BE032A6416}">
      <dgm:prSet/>
      <dgm:spPr/>
      <dgm:t>
        <a:bodyPr/>
        <a:lstStyle/>
        <a:p>
          <a:endParaRPr lang="en-AU"/>
        </a:p>
      </dgm:t>
    </dgm:pt>
    <dgm:pt modelId="{80DD5305-5E54-457F-8D1C-1BD27F9B1BD9}" type="pres">
      <dgm:prSet presAssocID="{0792812D-14DF-4351-BB05-270611A1C3E1}" presName="CompostProcess" presStyleCnt="0">
        <dgm:presLayoutVars>
          <dgm:dir/>
          <dgm:resizeHandles val="exact"/>
        </dgm:presLayoutVars>
      </dgm:prSet>
      <dgm:spPr/>
    </dgm:pt>
    <dgm:pt modelId="{7CC95A1A-F071-4C1B-9027-3442CF835AFF}" type="pres">
      <dgm:prSet presAssocID="{0792812D-14DF-4351-BB05-270611A1C3E1}" presName="arrow" presStyleLbl="bgShp" presStyleIdx="0" presStyleCnt="1" custScaleX="117272"/>
      <dgm:spPr/>
    </dgm:pt>
    <dgm:pt modelId="{3531D63D-D39B-456D-B321-5B4AD6EF8FC2}" type="pres">
      <dgm:prSet presAssocID="{0792812D-14DF-4351-BB05-270611A1C3E1}" presName="linearProcess" presStyleCnt="0"/>
      <dgm:spPr/>
    </dgm:pt>
    <dgm:pt modelId="{07ACBD87-07E6-4409-A6DD-699DCF859A08}" type="pres">
      <dgm:prSet presAssocID="{7170F8B1-4A1A-463A-90B8-F1272CECAD7E}" presName="textNode" presStyleLbl="node1" presStyleIdx="0" presStyleCnt="5">
        <dgm:presLayoutVars>
          <dgm:bulletEnabled val="1"/>
        </dgm:presLayoutVars>
      </dgm:prSet>
      <dgm:spPr/>
    </dgm:pt>
    <dgm:pt modelId="{0AC1941E-2FD8-4FC0-B644-B3D785CE459B}" type="pres">
      <dgm:prSet presAssocID="{0D048612-FCCB-45E2-8ACD-544CCF63EEB9}" presName="sibTrans" presStyleCnt="0"/>
      <dgm:spPr/>
    </dgm:pt>
    <dgm:pt modelId="{EFE0DB2D-A0BF-415F-8B51-FF6A17BE8E87}" type="pres">
      <dgm:prSet presAssocID="{B015BD15-CF41-436D-8F97-19E67515C666}" presName="textNode" presStyleLbl="node1" presStyleIdx="1" presStyleCnt="5">
        <dgm:presLayoutVars>
          <dgm:bulletEnabled val="1"/>
        </dgm:presLayoutVars>
      </dgm:prSet>
      <dgm:spPr/>
    </dgm:pt>
    <dgm:pt modelId="{1F2DE778-214D-44B2-9A4F-D18D2BA88C48}" type="pres">
      <dgm:prSet presAssocID="{46615E81-5C73-4923-8DC9-5A699722088D}" presName="sibTrans" presStyleCnt="0"/>
      <dgm:spPr/>
    </dgm:pt>
    <dgm:pt modelId="{7224CA14-A5D8-401D-B959-0C307DE7815F}" type="pres">
      <dgm:prSet presAssocID="{AC0D6AC3-24F4-4CDE-8279-0167368B4514}" presName="textNode" presStyleLbl="node1" presStyleIdx="2" presStyleCnt="5">
        <dgm:presLayoutVars>
          <dgm:bulletEnabled val="1"/>
        </dgm:presLayoutVars>
      </dgm:prSet>
      <dgm:spPr/>
    </dgm:pt>
    <dgm:pt modelId="{64232C83-BB76-4256-A13D-6FD792E0970A}" type="pres">
      <dgm:prSet presAssocID="{B746E00B-D4BB-4246-8C7C-7F8129FD982D}" presName="sibTrans" presStyleCnt="0"/>
      <dgm:spPr/>
    </dgm:pt>
    <dgm:pt modelId="{5AC56E56-1207-435A-A156-29A0E4E7F1BF}" type="pres">
      <dgm:prSet presAssocID="{CE569A9D-E666-4167-8537-40CEC4F8A667}" presName="textNode" presStyleLbl="node1" presStyleIdx="3" presStyleCnt="5">
        <dgm:presLayoutVars>
          <dgm:bulletEnabled val="1"/>
        </dgm:presLayoutVars>
      </dgm:prSet>
      <dgm:spPr/>
    </dgm:pt>
    <dgm:pt modelId="{ACF87643-995C-4612-B5A6-8382E8F6762C}" type="pres">
      <dgm:prSet presAssocID="{382FBB56-805C-4A56-A674-A62CF7F4A3F3}" presName="sibTrans" presStyleCnt="0"/>
      <dgm:spPr/>
    </dgm:pt>
    <dgm:pt modelId="{D3128060-D8C0-4A9A-A332-8029E67B9F7A}" type="pres">
      <dgm:prSet presAssocID="{C20C23F4-4DA0-4895-A48A-DD1C03DCE926}" presName="textNode" presStyleLbl="node1" presStyleIdx="4" presStyleCnt="5">
        <dgm:presLayoutVars>
          <dgm:bulletEnabled val="1"/>
        </dgm:presLayoutVars>
      </dgm:prSet>
      <dgm:spPr/>
    </dgm:pt>
  </dgm:ptLst>
  <dgm:cxnLst>
    <dgm:cxn modelId="{5B866E4F-AFF5-4633-BD23-16BE032A6416}" srcId="{0792812D-14DF-4351-BB05-270611A1C3E1}" destId="{C20C23F4-4DA0-4895-A48A-DD1C03DCE926}" srcOrd="4" destOrd="0" parTransId="{3C69396F-77AB-4CEE-88C3-3D1B5CB2E51F}" sibTransId="{449ADDAB-E00A-474E-A196-CE4C387EB0A8}"/>
    <dgm:cxn modelId="{D62AB953-5EA2-47C1-A405-16EFF1A33243}" srcId="{0792812D-14DF-4351-BB05-270611A1C3E1}" destId="{B015BD15-CF41-436D-8F97-19E67515C666}" srcOrd="1" destOrd="0" parTransId="{AE9AF6C8-C82B-4CB1-AEF2-6199621098AE}" sibTransId="{46615E81-5C73-4923-8DC9-5A699722088D}"/>
    <dgm:cxn modelId="{3FB8CA53-0434-409F-B94F-92AEB65AA376}" srcId="{0792812D-14DF-4351-BB05-270611A1C3E1}" destId="{CE569A9D-E666-4167-8537-40CEC4F8A667}" srcOrd="3" destOrd="0" parTransId="{5F25A732-6D00-4E5A-8D9F-285A4C922D6A}" sibTransId="{382FBB56-805C-4A56-A674-A62CF7F4A3F3}"/>
    <dgm:cxn modelId="{3B69FF5A-0E40-4F9E-9A46-1D71F33F10AC}" srcId="{0792812D-14DF-4351-BB05-270611A1C3E1}" destId="{AC0D6AC3-24F4-4CDE-8279-0167368B4514}" srcOrd="2" destOrd="0" parTransId="{7954F0E5-8AED-4FF6-AA3E-1B6A034BD691}" sibTransId="{B746E00B-D4BB-4246-8C7C-7F8129FD982D}"/>
    <dgm:cxn modelId="{97F9D77F-619A-408D-958D-AC5185693729}" type="presOf" srcId="{0792812D-14DF-4351-BB05-270611A1C3E1}" destId="{80DD5305-5E54-457F-8D1C-1BD27F9B1BD9}" srcOrd="0" destOrd="0" presId="urn:microsoft.com/office/officeart/2005/8/layout/hProcess9"/>
    <dgm:cxn modelId="{EB14498B-7064-4A01-ADF2-DDF004173683}" type="presOf" srcId="{CE569A9D-E666-4167-8537-40CEC4F8A667}" destId="{5AC56E56-1207-435A-A156-29A0E4E7F1BF}" srcOrd="0" destOrd="0" presId="urn:microsoft.com/office/officeart/2005/8/layout/hProcess9"/>
    <dgm:cxn modelId="{CCF79AA4-ECFF-46D4-B608-DCEDC41C0B58}" type="presOf" srcId="{7170F8B1-4A1A-463A-90B8-F1272CECAD7E}" destId="{07ACBD87-07E6-4409-A6DD-699DCF859A08}" srcOrd="0" destOrd="0" presId="urn:microsoft.com/office/officeart/2005/8/layout/hProcess9"/>
    <dgm:cxn modelId="{A5E740AE-D613-40EC-AA10-0877DAF352D0}" type="presOf" srcId="{C20C23F4-4DA0-4895-A48A-DD1C03DCE926}" destId="{D3128060-D8C0-4A9A-A332-8029E67B9F7A}" srcOrd="0" destOrd="0" presId="urn:microsoft.com/office/officeart/2005/8/layout/hProcess9"/>
    <dgm:cxn modelId="{9FB605C1-D9FF-4883-AC21-0476E3FDDA8F}" type="presOf" srcId="{B015BD15-CF41-436D-8F97-19E67515C666}" destId="{EFE0DB2D-A0BF-415F-8B51-FF6A17BE8E87}" srcOrd="0" destOrd="0" presId="urn:microsoft.com/office/officeart/2005/8/layout/hProcess9"/>
    <dgm:cxn modelId="{E76F21C3-2D2E-46BC-844C-1E1D69CDDB0E}" type="presOf" srcId="{AC0D6AC3-24F4-4CDE-8279-0167368B4514}" destId="{7224CA14-A5D8-401D-B959-0C307DE7815F}" srcOrd="0" destOrd="0" presId="urn:microsoft.com/office/officeart/2005/8/layout/hProcess9"/>
    <dgm:cxn modelId="{832C1ACB-5086-4DCD-8249-394D0EB89506}" srcId="{0792812D-14DF-4351-BB05-270611A1C3E1}" destId="{7170F8B1-4A1A-463A-90B8-F1272CECAD7E}" srcOrd="0" destOrd="0" parTransId="{DF6221D6-7339-46B8-BCB8-233F65928A6B}" sibTransId="{0D048612-FCCB-45E2-8ACD-544CCF63EEB9}"/>
    <dgm:cxn modelId="{C20E0E74-C056-4F30-89AA-991BD4B0FDBA}" type="presParOf" srcId="{80DD5305-5E54-457F-8D1C-1BD27F9B1BD9}" destId="{7CC95A1A-F071-4C1B-9027-3442CF835AFF}" srcOrd="0" destOrd="0" presId="urn:microsoft.com/office/officeart/2005/8/layout/hProcess9"/>
    <dgm:cxn modelId="{38C565B6-AE44-40F0-AAC8-72F4D8E18CA7}" type="presParOf" srcId="{80DD5305-5E54-457F-8D1C-1BD27F9B1BD9}" destId="{3531D63D-D39B-456D-B321-5B4AD6EF8FC2}" srcOrd="1" destOrd="0" presId="urn:microsoft.com/office/officeart/2005/8/layout/hProcess9"/>
    <dgm:cxn modelId="{B8232755-7021-418F-A996-280A885AE1C3}" type="presParOf" srcId="{3531D63D-D39B-456D-B321-5B4AD6EF8FC2}" destId="{07ACBD87-07E6-4409-A6DD-699DCF859A08}" srcOrd="0" destOrd="0" presId="urn:microsoft.com/office/officeart/2005/8/layout/hProcess9"/>
    <dgm:cxn modelId="{01559C17-555E-43E8-B25E-8E91CF5CB1C3}" type="presParOf" srcId="{3531D63D-D39B-456D-B321-5B4AD6EF8FC2}" destId="{0AC1941E-2FD8-4FC0-B644-B3D785CE459B}" srcOrd="1" destOrd="0" presId="urn:microsoft.com/office/officeart/2005/8/layout/hProcess9"/>
    <dgm:cxn modelId="{2FBE4AB5-3016-45E5-A523-11FCDD13354C}" type="presParOf" srcId="{3531D63D-D39B-456D-B321-5B4AD6EF8FC2}" destId="{EFE0DB2D-A0BF-415F-8B51-FF6A17BE8E87}" srcOrd="2" destOrd="0" presId="urn:microsoft.com/office/officeart/2005/8/layout/hProcess9"/>
    <dgm:cxn modelId="{C4796D0D-647D-4112-9EC6-5DD8E028A67D}" type="presParOf" srcId="{3531D63D-D39B-456D-B321-5B4AD6EF8FC2}" destId="{1F2DE778-214D-44B2-9A4F-D18D2BA88C48}" srcOrd="3" destOrd="0" presId="urn:microsoft.com/office/officeart/2005/8/layout/hProcess9"/>
    <dgm:cxn modelId="{E93E8023-6525-4DDD-B2EF-11DE924D0B20}" type="presParOf" srcId="{3531D63D-D39B-456D-B321-5B4AD6EF8FC2}" destId="{7224CA14-A5D8-401D-B959-0C307DE7815F}" srcOrd="4" destOrd="0" presId="urn:microsoft.com/office/officeart/2005/8/layout/hProcess9"/>
    <dgm:cxn modelId="{223AE5FC-D933-4219-9BF7-7E6B68D76DDC}" type="presParOf" srcId="{3531D63D-D39B-456D-B321-5B4AD6EF8FC2}" destId="{64232C83-BB76-4256-A13D-6FD792E0970A}" srcOrd="5" destOrd="0" presId="urn:microsoft.com/office/officeart/2005/8/layout/hProcess9"/>
    <dgm:cxn modelId="{5EB4DEFC-0AFD-4C7E-9217-0503BBB88E40}" type="presParOf" srcId="{3531D63D-D39B-456D-B321-5B4AD6EF8FC2}" destId="{5AC56E56-1207-435A-A156-29A0E4E7F1BF}" srcOrd="6" destOrd="0" presId="urn:microsoft.com/office/officeart/2005/8/layout/hProcess9"/>
    <dgm:cxn modelId="{1E2A9345-A03B-43B8-9CA5-89780BEFE7CA}" type="presParOf" srcId="{3531D63D-D39B-456D-B321-5B4AD6EF8FC2}" destId="{ACF87643-995C-4612-B5A6-8382E8F6762C}" srcOrd="7" destOrd="0" presId="urn:microsoft.com/office/officeart/2005/8/layout/hProcess9"/>
    <dgm:cxn modelId="{15D83464-6261-4D11-83F8-C56B5FDB2FD0}" type="presParOf" srcId="{3531D63D-D39B-456D-B321-5B4AD6EF8FC2}" destId="{D3128060-D8C0-4A9A-A332-8029E67B9F7A}" srcOrd="8" destOrd="0" presId="urn:microsoft.com/office/officeart/2005/8/layout/hProcess9"/>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A02B645-4096-4799-8FD4-BE4CDF26FB09}" type="doc">
      <dgm:prSet loTypeId="urn:microsoft.com/office/officeart/2005/8/layout/bProcess4" loCatId="process" qsTypeId="urn:microsoft.com/office/officeart/2005/8/quickstyle/simple1" qsCatId="simple" csTypeId="urn:microsoft.com/office/officeart/2005/8/colors/accent1_3" csCatId="accent1" phldr="1"/>
      <dgm:spPr/>
      <dgm:t>
        <a:bodyPr/>
        <a:lstStyle/>
        <a:p>
          <a:endParaRPr lang="en-AU"/>
        </a:p>
      </dgm:t>
    </dgm:pt>
    <dgm:pt modelId="{71C9EFB2-51DD-4F02-A9B9-9C50645BC5D6}">
      <dgm:prSet phldrT="[Text]"/>
      <dgm:spPr/>
      <dgm:t>
        <a:bodyPr/>
        <a:lstStyle/>
        <a:p>
          <a:r>
            <a:rPr lang="en-AU"/>
            <a:t>Day 1: Sign Up &amp; Tenancy Commences</a:t>
          </a:r>
        </a:p>
      </dgm:t>
    </dgm:pt>
    <dgm:pt modelId="{9656BE21-264B-46C7-809C-A16D868630FD}" type="parTrans" cxnId="{5A91A148-D28D-4B32-A3CC-D6688E56A886}">
      <dgm:prSet/>
      <dgm:spPr/>
      <dgm:t>
        <a:bodyPr/>
        <a:lstStyle/>
        <a:p>
          <a:endParaRPr lang="en-AU"/>
        </a:p>
      </dgm:t>
    </dgm:pt>
    <dgm:pt modelId="{1F9AA0B6-24E9-4005-8A01-6C4DA5642D12}" type="sibTrans" cxnId="{5A91A148-D28D-4B32-A3CC-D6688E56A886}">
      <dgm:prSet/>
      <dgm:spPr/>
      <dgm:t>
        <a:bodyPr/>
        <a:lstStyle/>
        <a:p>
          <a:endParaRPr lang="en-AU"/>
        </a:p>
      </dgm:t>
    </dgm:pt>
    <dgm:pt modelId="{15260024-AB28-4665-916F-1C35CD420480}">
      <dgm:prSet phldrT="[Text]"/>
      <dgm:spPr/>
      <dgm:t>
        <a:bodyPr/>
        <a:lstStyle/>
        <a:p>
          <a:r>
            <a:rPr lang="en-AU"/>
            <a:t>1 Month: Participation plan agreement finalised</a:t>
          </a:r>
        </a:p>
      </dgm:t>
    </dgm:pt>
    <dgm:pt modelId="{3F1F974B-C90A-4531-A280-2E1059AF280F}" type="parTrans" cxnId="{3959DA37-410B-4416-83D5-3BE0E8CCA81E}">
      <dgm:prSet/>
      <dgm:spPr/>
      <dgm:t>
        <a:bodyPr/>
        <a:lstStyle/>
        <a:p>
          <a:endParaRPr lang="en-AU"/>
        </a:p>
      </dgm:t>
    </dgm:pt>
    <dgm:pt modelId="{8B7DB462-8760-463F-9C3D-8536B2510547}" type="sibTrans" cxnId="{3959DA37-410B-4416-83D5-3BE0E8CCA81E}">
      <dgm:prSet/>
      <dgm:spPr/>
      <dgm:t>
        <a:bodyPr/>
        <a:lstStyle/>
        <a:p>
          <a:endParaRPr lang="en-AU"/>
        </a:p>
      </dgm:t>
    </dgm:pt>
    <dgm:pt modelId="{D671FF86-42FC-4A3D-A876-342131E83DB6}">
      <dgm:prSet phldrT="[Text]"/>
      <dgm:spPr/>
      <dgm:t>
        <a:bodyPr/>
        <a:lstStyle/>
        <a:p>
          <a:r>
            <a:rPr lang="en-AU"/>
            <a:t>3 Months: Housing Review &amp; Property Inspection</a:t>
          </a:r>
        </a:p>
      </dgm:t>
    </dgm:pt>
    <dgm:pt modelId="{89AE4EA0-7C5C-4DD0-89F2-9AD00E4668A2}" type="parTrans" cxnId="{3B63799D-DAB6-42FC-A5A2-15B58FC71B48}">
      <dgm:prSet/>
      <dgm:spPr/>
      <dgm:t>
        <a:bodyPr/>
        <a:lstStyle/>
        <a:p>
          <a:endParaRPr lang="en-AU"/>
        </a:p>
      </dgm:t>
    </dgm:pt>
    <dgm:pt modelId="{6DF2006A-8C59-4951-98B3-716BCF6BE507}" type="sibTrans" cxnId="{3B63799D-DAB6-42FC-A5A2-15B58FC71B48}">
      <dgm:prSet/>
      <dgm:spPr/>
      <dgm:t>
        <a:bodyPr/>
        <a:lstStyle/>
        <a:p>
          <a:endParaRPr lang="en-AU"/>
        </a:p>
      </dgm:t>
    </dgm:pt>
    <dgm:pt modelId="{A0FFD35D-C281-4F0F-A212-26AB67743545}">
      <dgm:prSet phldrT="[Text]"/>
      <dgm:spPr/>
      <dgm:t>
        <a:bodyPr/>
        <a:lstStyle/>
        <a:p>
          <a:r>
            <a:rPr lang="en-AU"/>
            <a:t>6 Months: Housing Review Conducted with Support</a:t>
          </a:r>
        </a:p>
      </dgm:t>
    </dgm:pt>
    <dgm:pt modelId="{5989BF1D-2BE2-47B8-983E-835481A6322E}" type="parTrans" cxnId="{B04D1CAB-3FC4-45A1-BDC8-D3FEB3B81E18}">
      <dgm:prSet/>
      <dgm:spPr/>
      <dgm:t>
        <a:bodyPr/>
        <a:lstStyle/>
        <a:p>
          <a:endParaRPr lang="en-AU"/>
        </a:p>
      </dgm:t>
    </dgm:pt>
    <dgm:pt modelId="{3A0611FB-AD1D-4B0B-AF07-F78C97232298}" type="sibTrans" cxnId="{B04D1CAB-3FC4-45A1-BDC8-D3FEB3B81E18}">
      <dgm:prSet/>
      <dgm:spPr/>
      <dgm:t>
        <a:bodyPr/>
        <a:lstStyle/>
        <a:p>
          <a:endParaRPr lang="en-AU"/>
        </a:p>
      </dgm:t>
    </dgm:pt>
    <dgm:pt modelId="{679B8BFB-E084-42F2-AB12-FB603D3D07A5}">
      <dgm:prSet phldrT="[Text]"/>
      <dgm:spPr/>
      <dgm:t>
        <a:bodyPr/>
        <a:lstStyle/>
        <a:p>
          <a:r>
            <a:rPr lang="en-AU"/>
            <a:t>9 Months: Housing Review &amp; Property Inspection</a:t>
          </a:r>
        </a:p>
      </dgm:t>
    </dgm:pt>
    <dgm:pt modelId="{DCCBA30E-8C78-4489-8ABC-5F41F417A498}" type="parTrans" cxnId="{CD40F3B8-5626-4630-BD0C-FF1EED04B0AC}">
      <dgm:prSet/>
      <dgm:spPr/>
      <dgm:t>
        <a:bodyPr/>
        <a:lstStyle/>
        <a:p>
          <a:endParaRPr lang="en-AU"/>
        </a:p>
      </dgm:t>
    </dgm:pt>
    <dgm:pt modelId="{DB2B46DD-070A-4BB8-938B-AAFFD232545C}" type="sibTrans" cxnId="{CD40F3B8-5626-4630-BD0C-FF1EED04B0AC}">
      <dgm:prSet/>
      <dgm:spPr/>
      <dgm:t>
        <a:bodyPr/>
        <a:lstStyle/>
        <a:p>
          <a:endParaRPr lang="en-AU"/>
        </a:p>
      </dgm:t>
    </dgm:pt>
    <dgm:pt modelId="{2F9F1B1A-71ED-4195-BB50-3F23B5E031EC}">
      <dgm:prSet phldrT="[Text]"/>
      <dgm:spPr/>
      <dgm:t>
        <a:bodyPr/>
        <a:lstStyle/>
        <a:p>
          <a:r>
            <a:rPr lang="en-AU"/>
            <a:t>12 Months: Housing Review &amp; Rent Review</a:t>
          </a:r>
        </a:p>
      </dgm:t>
    </dgm:pt>
    <dgm:pt modelId="{B0BEF632-C4AF-4975-9A04-E179CD259D0A}" type="parTrans" cxnId="{1FC909FD-AE2A-44C0-82D4-C2496A21D963}">
      <dgm:prSet/>
      <dgm:spPr/>
      <dgm:t>
        <a:bodyPr/>
        <a:lstStyle/>
        <a:p>
          <a:endParaRPr lang="en-AU"/>
        </a:p>
      </dgm:t>
    </dgm:pt>
    <dgm:pt modelId="{6E427E3F-77CD-4D74-8FF2-4DB408C2776C}" type="sibTrans" cxnId="{1FC909FD-AE2A-44C0-82D4-C2496A21D963}">
      <dgm:prSet/>
      <dgm:spPr/>
      <dgm:t>
        <a:bodyPr/>
        <a:lstStyle/>
        <a:p>
          <a:endParaRPr lang="en-AU"/>
        </a:p>
      </dgm:t>
    </dgm:pt>
    <dgm:pt modelId="{89743EEA-1AB2-4651-82F7-9902B8D9F1B9}">
      <dgm:prSet phldrT="[Text]"/>
      <dgm:spPr/>
      <dgm:t>
        <a:bodyPr/>
        <a:lstStyle/>
        <a:p>
          <a:r>
            <a:rPr lang="en-AU"/>
            <a:t>14 Months: Housing Review &amp; Property Inspection</a:t>
          </a:r>
        </a:p>
      </dgm:t>
    </dgm:pt>
    <dgm:pt modelId="{C57061D9-9E4A-43DF-8DB1-3968CB5C8D92}" type="parTrans" cxnId="{C32E2A81-9DC7-4380-972E-017862C82E71}">
      <dgm:prSet/>
      <dgm:spPr/>
      <dgm:t>
        <a:bodyPr/>
        <a:lstStyle/>
        <a:p>
          <a:endParaRPr lang="en-AU"/>
        </a:p>
      </dgm:t>
    </dgm:pt>
    <dgm:pt modelId="{53223698-2B2C-49F0-A2FD-C36CDE770E6A}" type="sibTrans" cxnId="{C32E2A81-9DC7-4380-972E-017862C82E71}">
      <dgm:prSet/>
      <dgm:spPr/>
      <dgm:t>
        <a:bodyPr/>
        <a:lstStyle/>
        <a:p>
          <a:endParaRPr lang="en-AU"/>
        </a:p>
      </dgm:t>
    </dgm:pt>
    <dgm:pt modelId="{B4431825-17C8-458C-89B0-B8F96A2DFD9C}">
      <dgm:prSet phldrT="[Text]"/>
      <dgm:spPr/>
      <dgm:t>
        <a:bodyPr/>
        <a:lstStyle/>
        <a:p>
          <a:r>
            <a:rPr lang="en-AU"/>
            <a:t>18 Months: Housing Review Conducted with Support</a:t>
          </a:r>
        </a:p>
      </dgm:t>
    </dgm:pt>
    <dgm:pt modelId="{B5B9A2FA-93BC-466E-86F3-8C0E54C399C4}" type="parTrans" cxnId="{DA3797E6-D5DF-4DD5-B0C8-A6D0619CA899}">
      <dgm:prSet/>
      <dgm:spPr/>
      <dgm:t>
        <a:bodyPr/>
        <a:lstStyle/>
        <a:p>
          <a:endParaRPr lang="en-AU"/>
        </a:p>
      </dgm:t>
    </dgm:pt>
    <dgm:pt modelId="{59F03597-27B5-453A-ACF3-5DDD60E9CD8D}" type="sibTrans" cxnId="{DA3797E6-D5DF-4DD5-B0C8-A6D0619CA899}">
      <dgm:prSet/>
      <dgm:spPr/>
      <dgm:t>
        <a:bodyPr/>
        <a:lstStyle/>
        <a:p>
          <a:endParaRPr lang="en-AU"/>
        </a:p>
      </dgm:t>
    </dgm:pt>
    <dgm:pt modelId="{FA1E7654-67E5-48D2-AAB9-963F9A18BFD4}">
      <dgm:prSet phldrT="[Text]"/>
      <dgm:spPr/>
      <dgm:t>
        <a:bodyPr/>
        <a:lstStyle/>
        <a:p>
          <a:r>
            <a:rPr lang="en-AU"/>
            <a:t>20-24 Months: Housing Review &amp; Property Inspection</a:t>
          </a:r>
        </a:p>
      </dgm:t>
    </dgm:pt>
    <dgm:pt modelId="{7D893F3C-5D01-40E6-9201-C5E1AFC7081B}" type="parTrans" cxnId="{BB4FB3C9-AAE4-45D3-9188-6C08320EAF42}">
      <dgm:prSet/>
      <dgm:spPr/>
      <dgm:t>
        <a:bodyPr/>
        <a:lstStyle/>
        <a:p>
          <a:endParaRPr lang="en-AU"/>
        </a:p>
      </dgm:t>
    </dgm:pt>
    <dgm:pt modelId="{BC0EA34C-99D4-412D-9EEE-E00632BA8A99}" type="sibTrans" cxnId="{BB4FB3C9-AAE4-45D3-9188-6C08320EAF42}">
      <dgm:prSet/>
      <dgm:spPr/>
      <dgm:t>
        <a:bodyPr/>
        <a:lstStyle/>
        <a:p>
          <a:endParaRPr lang="en-AU"/>
        </a:p>
      </dgm:t>
    </dgm:pt>
    <dgm:pt modelId="{D83A8643-BBED-46C9-B889-9D448BAEE5D9}" type="pres">
      <dgm:prSet presAssocID="{9A02B645-4096-4799-8FD4-BE4CDF26FB09}" presName="Name0" presStyleCnt="0">
        <dgm:presLayoutVars>
          <dgm:dir/>
          <dgm:resizeHandles/>
        </dgm:presLayoutVars>
      </dgm:prSet>
      <dgm:spPr/>
    </dgm:pt>
    <dgm:pt modelId="{0047E88A-BA9D-47C5-A022-7F56E6B21406}" type="pres">
      <dgm:prSet presAssocID="{71C9EFB2-51DD-4F02-A9B9-9C50645BC5D6}" presName="compNode" presStyleCnt="0"/>
      <dgm:spPr/>
    </dgm:pt>
    <dgm:pt modelId="{03ED3DA3-E7ED-436B-8F20-171B4B153FB5}" type="pres">
      <dgm:prSet presAssocID="{71C9EFB2-51DD-4F02-A9B9-9C50645BC5D6}" presName="dummyConnPt" presStyleCnt="0"/>
      <dgm:spPr/>
    </dgm:pt>
    <dgm:pt modelId="{AB6C90EE-C034-4302-BA60-132EBE95C681}" type="pres">
      <dgm:prSet presAssocID="{71C9EFB2-51DD-4F02-A9B9-9C50645BC5D6}" presName="node" presStyleLbl="node1" presStyleIdx="0" presStyleCnt="9">
        <dgm:presLayoutVars>
          <dgm:bulletEnabled val="1"/>
        </dgm:presLayoutVars>
      </dgm:prSet>
      <dgm:spPr/>
    </dgm:pt>
    <dgm:pt modelId="{3D2B0E6D-3016-46EB-B6A5-0E0748AB52E7}" type="pres">
      <dgm:prSet presAssocID="{1F9AA0B6-24E9-4005-8A01-6C4DA5642D12}" presName="sibTrans" presStyleLbl="bgSibTrans2D1" presStyleIdx="0" presStyleCnt="8"/>
      <dgm:spPr/>
    </dgm:pt>
    <dgm:pt modelId="{E879CB0D-9D75-4AFB-814E-AEB64F4A42F6}" type="pres">
      <dgm:prSet presAssocID="{15260024-AB28-4665-916F-1C35CD420480}" presName="compNode" presStyleCnt="0"/>
      <dgm:spPr/>
    </dgm:pt>
    <dgm:pt modelId="{B68D134A-72F7-43FC-B902-A884C2F3F1EA}" type="pres">
      <dgm:prSet presAssocID="{15260024-AB28-4665-916F-1C35CD420480}" presName="dummyConnPt" presStyleCnt="0"/>
      <dgm:spPr/>
    </dgm:pt>
    <dgm:pt modelId="{62E0A740-3973-4E93-B5EA-3EB8778F30DD}" type="pres">
      <dgm:prSet presAssocID="{15260024-AB28-4665-916F-1C35CD420480}" presName="node" presStyleLbl="node1" presStyleIdx="1" presStyleCnt="9">
        <dgm:presLayoutVars>
          <dgm:bulletEnabled val="1"/>
        </dgm:presLayoutVars>
      </dgm:prSet>
      <dgm:spPr/>
    </dgm:pt>
    <dgm:pt modelId="{41D2B104-0429-49C5-8BF0-6413DE034036}" type="pres">
      <dgm:prSet presAssocID="{8B7DB462-8760-463F-9C3D-8536B2510547}" presName="sibTrans" presStyleLbl="bgSibTrans2D1" presStyleIdx="1" presStyleCnt="8"/>
      <dgm:spPr/>
    </dgm:pt>
    <dgm:pt modelId="{0D20DDA5-126D-4DBB-B35B-C763CB1F73DE}" type="pres">
      <dgm:prSet presAssocID="{D671FF86-42FC-4A3D-A876-342131E83DB6}" presName="compNode" presStyleCnt="0"/>
      <dgm:spPr/>
    </dgm:pt>
    <dgm:pt modelId="{43182235-16D0-4F98-A66A-E7F25E6B5329}" type="pres">
      <dgm:prSet presAssocID="{D671FF86-42FC-4A3D-A876-342131E83DB6}" presName="dummyConnPt" presStyleCnt="0"/>
      <dgm:spPr/>
    </dgm:pt>
    <dgm:pt modelId="{1F9D2284-1442-47A0-ACDA-96DF3E148ABB}" type="pres">
      <dgm:prSet presAssocID="{D671FF86-42FC-4A3D-A876-342131E83DB6}" presName="node" presStyleLbl="node1" presStyleIdx="2" presStyleCnt="9">
        <dgm:presLayoutVars>
          <dgm:bulletEnabled val="1"/>
        </dgm:presLayoutVars>
      </dgm:prSet>
      <dgm:spPr/>
    </dgm:pt>
    <dgm:pt modelId="{7B76B6AF-8BD7-4F74-809E-A8010BBB92B4}" type="pres">
      <dgm:prSet presAssocID="{6DF2006A-8C59-4951-98B3-716BCF6BE507}" presName="sibTrans" presStyleLbl="bgSibTrans2D1" presStyleIdx="2" presStyleCnt="8"/>
      <dgm:spPr/>
    </dgm:pt>
    <dgm:pt modelId="{3042D27D-2C18-45D3-9849-AE5C9E63CD00}" type="pres">
      <dgm:prSet presAssocID="{A0FFD35D-C281-4F0F-A212-26AB67743545}" presName="compNode" presStyleCnt="0"/>
      <dgm:spPr/>
    </dgm:pt>
    <dgm:pt modelId="{8985C134-8EEB-443C-8F51-2EA8B823762E}" type="pres">
      <dgm:prSet presAssocID="{A0FFD35D-C281-4F0F-A212-26AB67743545}" presName="dummyConnPt" presStyleCnt="0"/>
      <dgm:spPr/>
    </dgm:pt>
    <dgm:pt modelId="{E8BDDDD0-9227-4BC2-B2F7-42BC3E378893}" type="pres">
      <dgm:prSet presAssocID="{A0FFD35D-C281-4F0F-A212-26AB67743545}" presName="node" presStyleLbl="node1" presStyleIdx="3" presStyleCnt="9">
        <dgm:presLayoutVars>
          <dgm:bulletEnabled val="1"/>
        </dgm:presLayoutVars>
      </dgm:prSet>
      <dgm:spPr/>
    </dgm:pt>
    <dgm:pt modelId="{D6554E58-1EB8-4392-8E5B-FDDF190BDD5F}" type="pres">
      <dgm:prSet presAssocID="{3A0611FB-AD1D-4B0B-AF07-F78C97232298}" presName="sibTrans" presStyleLbl="bgSibTrans2D1" presStyleIdx="3" presStyleCnt="8"/>
      <dgm:spPr/>
    </dgm:pt>
    <dgm:pt modelId="{E60CF254-3CAF-408B-AF52-76E014E789F9}" type="pres">
      <dgm:prSet presAssocID="{679B8BFB-E084-42F2-AB12-FB603D3D07A5}" presName="compNode" presStyleCnt="0"/>
      <dgm:spPr/>
    </dgm:pt>
    <dgm:pt modelId="{DDE98BD6-3A2E-4FC5-9284-EAA510DAAA24}" type="pres">
      <dgm:prSet presAssocID="{679B8BFB-E084-42F2-AB12-FB603D3D07A5}" presName="dummyConnPt" presStyleCnt="0"/>
      <dgm:spPr/>
    </dgm:pt>
    <dgm:pt modelId="{5EA040DA-F9B9-4476-B8CB-95820B2CCEA4}" type="pres">
      <dgm:prSet presAssocID="{679B8BFB-E084-42F2-AB12-FB603D3D07A5}" presName="node" presStyleLbl="node1" presStyleIdx="4" presStyleCnt="9">
        <dgm:presLayoutVars>
          <dgm:bulletEnabled val="1"/>
        </dgm:presLayoutVars>
      </dgm:prSet>
      <dgm:spPr/>
    </dgm:pt>
    <dgm:pt modelId="{A0F9A720-C402-438F-8B4A-A2A9E396864F}" type="pres">
      <dgm:prSet presAssocID="{DB2B46DD-070A-4BB8-938B-AAFFD232545C}" presName="sibTrans" presStyleLbl="bgSibTrans2D1" presStyleIdx="4" presStyleCnt="8"/>
      <dgm:spPr/>
    </dgm:pt>
    <dgm:pt modelId="{A4BABA29-6C50-4426-BA3C-6B59D6EBDE08}" type="pres">
      <dgm:prSet presAssocID="{2F9F1B1A-71ED-4195-BB50-3F23B5E031EC}" presName="compNode" presStyleCnt="0"/>
      <dgm:spPr/>
    </dgm:pt>
    <dgm:pt modelId="{D7F1559A-33C1-44BD-9648-1FF09D6C08B9}" type="pres">
      <dgm:prSet presAssocID="{2F9F1B1A-71ED-4195-BB50-3F23B5E031EC}" presName="dummyConnPt" presStyleCnt="0"/>
      <dgm:spPr/>
    </dgm:pt>
    <dgm:pt modelId="{8EA17C80-7046-4C00-A735-A3B2AFF3DE92}" type="pres">
      <dgm:prSet presAssocID="{2F9F1B1A-71ED-4195-BB50-3F23B5E031EC}" presName="node" presStyleLbl="node1" presStyleIdx="5" presStyleCnt="9">
        <dgm:presLayoutVars>
          <dgm:bulletEnabled val="1"/>
        </dgm:presLayoutVars>
      </dgm:prSet>
      <dgm:spPr/>
    </dgm:pt>
    <dgm:pt modelId="{5B69FAE2-F113-40DB-A94E-638F3000D7FB}" type="pres">
      <dgm:prSet presAssocID="{6E427E3F-77CD-4D74-8FF2-4DB408C2776C}" presName="sibTrans" presStyleLbl="bgSibTrans2D1" presStyleIdx="5" presStyleCnt="8"/>
      <dgm:spPr/>
    </dgm:pt>
    <dgm:pt modelId="{96BEE8D7-F3F1-4B6C-B69A-EE07EAA7BE49}" type="pres">
      <dgm:prSet presAssocID="{89743EEA-1AB2-4651-82F7-9902B8D9F1B9}" presName="compNode" presStyleCnt="0"/>
      <dgm:spPr/>
    </dgm:pt>
    <dgm:pt modelId="{7AA79809-3811-44D6-8F6D-84793379F4DF}" type="pres">
      <dgm:prSet presAssocID="{89743EEA-1AB2-4651-82F7-9902B8D9F1B9}" presName="dummyConnPt" presStyleCnt="0"/>
      <dgm:spPr/>
    </dgm:pt>
    <dgm:pt modelId="{8940B763-A821-4AD6-8BA6-EA3359E17FAF}" type="pres">
      <dgm:prSet presAssocID="{89743EEA-1AB2-4651-82F7-9902B8D9F1B9}" presName="node" presStyleLbl="node1" presStyleIdx="6" presStyleCnt="9">
        <dgm:presLayoutVars>
          <dgm:bulletEnabled val="1"/>
        </dgm:presLayoutVars>
      </dgm:prSet>
      <dgm:spPr/>
    </dgm:pt>
    <dgm:pt modelId="{2077B27F-2F43-40FE-9A7C-7A9A275874CF}" type="pres">
      <dgm:prSet presAssocID="{53223698-2B2C-49F0-A2FD-C36CDE770E6A}" presName="sibTrans" presStyleLbl="bgSibTrans2D1" presStyleIdx="6" presStyleCnt="8"/>
      <dgm:spPr/>
    </dgm:pt>
    <dgm:pt modelId="{956222C5-35D2-48E1-B53D-90013C20DF46}" type="pres">
      <dgm:prSet presAssocID="{B4431825-17C8-458C-89B0-B8F96A2DFD9C}" presName="compNode" presStyleCnt="0"/>
      <dgm:spPr/>
    </dgm:pt>
    <dgm:pt modelId="{92BC2B50-8745-4175-AD24-8284EDB16D0B}" type="pres">
      <dgm:prSet presAssocID="{B4431825-17C8-458C-89B0-B8F96A2DFD9C}" presName="dummyConnPt" presStyleCnt="0"/>
      <dgm:spPr/>
    </dgm:pt>
    <dgm:pt modelId="{E0FB3901-6A98-4D4A-BDFC-E9FEE240804A}" type="pres">
      <dgm:prSet presAssocID="{B4431825-17C8-458C-89B0-B8F96A2DFD9C}" presName="node" presStyleLbl="node1" presStyleIdx="7" presStyleCnt="9">
        <dgm:presLayoutVars>
          <dgm:bulletEnabled val="1"/>
        </dgm:presLayoutVars>
      </dgm:prSet>
      <dgm:spPr/>
    </dgm:pt>
    <dgm:pt modelId="{AE1B6C3F-C2D0-46B7-8220-BE97A994029F}" type="pres">
      <dgm:prSet presAssocID="{59F03597-27B5-453A-ACF3-5DDD60E9CD8D}" presName="sibTrans" presStyleLbl="bgSibTrans2D1" presStyleIdx="7" presStyleCnt="8"/>
      <dgm:spPr/>
    </dgm:pt>
    <dgm:pt modelId="{CC38B53A-1A3B-4B65-8344-F832131A3EAB}" type="pres">
      <dgm:prSet presAssocID="{FA1E7654-67E5-48D2-AAB9-963F9A18BFD4}" presName="compNode" presStyleCnt="0"/>
      <dgm:spPr/>
    </dgm:pt>
    <dgm:pt modelId="{CB97EA04-A32D-4669-A573-104CD26B91B5}" type="pres">
      <dgm:prSet presAssocID="{FA1E7654-67E5-48D2-AAB9-963F9A18BFD4}" presName="dummyConnPt" presStyleCnt="0"/>
      <dgm:spPr/>
    </dgm:pt>
    <dgm:pt modelId="{F311720F-8028-4C5D-A63D-8F4686FC2FE5}" type="pres">
      <dgm:prSet presAssocID="{FA1E7654-67E5-48D2-AAB9-963F9A18BFD4}" presName="node" presStyleLbl="node1" presStyleIdx="8" presStyleCnt="9">
        <dgm:presLayoutVars>
          <dgm:bulletEnabled val="1"/>
        </dgm:presLayoutVars>
      </dgm:prSet>
      <dgm:spPr/>
    </dgm:pt>
  </dgm:ptLst>
  <dgm:cxnLst>
    <dgm:cxn modelId="{392A100D-F496-4310-83C6-2BB4BC408F28}" type="presOf" srcId="{679B8BFB-E084-42F2-AB12-FB603D3D07A5}" destId="{5EA040DA-F9B9-4476-B8CB-95820B2CCEA4}" srcOrd="0" destOrd="0" presId="urn:microsoft.com/office/officeart/2005/8/layout/bProcess4"/>
    <dgm:cxn modelId="{7AE9B51D-E1FD-492B-97E5-DFAA7DCD7666}" type="presOf" srcId="{15260024-AB28-4665-916F-1C35CD420480}" destId="{62E0A740-3973-4E93-B5EA-3EB8778F30DD}" srcOrd="0" destOrd="0" presId="urn:microsoft.com/office/officeart/2005/8/layout/bProcess4"/>
    <dgm:cxn modelId="{B634F725-DCC3-49CE-B130-8073C7B3A361}" type="presOf" srcId="{FA1E7654-67E5-48D2-AAB9-963F9A18BFD4}" destId="{F311720F-8028-4C5D-A63D-8F4686FC2FE5}" srcOrd="0" destOrd="0" presId="urn:microsoft.com/office/officeart/2005/8/layout/bProcess4"/>
    <dgm:cxn modelId="{7B39692E-EF55-4426-85BA-DDD65667D7EC}" type="presOf" srcId="{D671FF86-42FC-4A3D-A876-342131E83DB6}" destId="{1F9D2284-1442-47A0-ACDA-96DF3E148ABB}" srcOrd="0" destOrd="0" presId="urn:microsoft.com/office/officeart/2005/8/layout/bProcess4"/>
    <dgm:cxn modelId="{8AA4032F-8CFE-40A6-8790-A2A44B4277B9}" type="presOf" srcId="{1F9AA0B6-24E9-4005-8A01-6C4DA5642D12}" destId="{3D2B0E6D-3016-46EB-B6A5-0E0748AB52E7}" srcOrd="0" destOrd="0" presId="urn:microsoft.com/office/officeart/2005/8/layout/bProcess4"/>
    <dgm:cxn modelId="{3959DA37-410B-4416-83D5-3BE0E8CCA81E}" srcId="{9A02B645-4096-4799-8FD4-BE4CDF26FB09}" destId="{15260024-AB28-4665-916F-1C35CD420480}" srcOrd="1" destOrd="0" parTransId="{3F1F974B-C90A-4531-A280-2E1059AF280F}" sibTransId="{8B7DB462-8760-463F-9C3D-8536B2510547}"/>
    <dgm:cxn modelId="{D7885C3E-6B35-4DF1-8882-19379A546435}" type="presOf" srcId="{B4431825-17C8-458C-89B0-B8F96A2DFD9C}" destId="{E0FB3901-6A98-4D4A-BDFC-E9FEE240804A}" srcOrd="0" destOrd="0" presId="urn:microsoft.com/office/officeart/2005/8/layout/bProcess4"/>
    <dgm:cxn modelId="{F76B5B66-890E-425C-9601-604881925C7E}" type="presOf" srcId="{9A02B645-4096-4799-8FD4-BE4CDF26FB09}" destId="{D83A8643-BBED-46C9-B889-9D448BAEE5D9}" srcOrd="0" destOrd="0" presId="urn:microsoft.com/office/officeart/2005/8/layout/bProcess4"/>
    <dgm:cxn modelId="{FC3ABE67-7AE8-41D0-8BA2-C37AB63DB500}" type="presOf" srcId="{6E427E3F-77CD-4D74-8FF2-4DB408C2776C}" destId="{5B69FAE2-F113-40DB-A94E-638F3000D7FB}" srcOrd="0" destOrd="0" presId="urn:microsoft.com/office/officeart/2005/8/layout/bProcess4"/>
    <dgm:cxn modelId="{5A91A148-D28D-4B32-A3CC-D6688E56A886}" srcId="{9A02B645-4096-4799-8FD4-BE4CDF26FB09}" destId="{71C9EFB2-51DD-4F02-A9B9-9C50645BC5D6}" srcOrd="0" destOrd="0" parTransId="{9656BE21-264B-46C7-809C-A16D868630FD}" sibTransId="{1F9AA0B6-24E9-4005-8A01-6C4DA5642D12}"/>
    <dgm:cxn modelId="{C32E2A81-9DC7-4380-972E-017862C82E71}" srcId="{9A02B645-4096-4799-8FD4-BE4CDF26FB09}" destId="{89743EEA-1AB2-4651-82F7-9902B8D9F1B9}" srcOrd="6" destOrd="0" parTransId="{C57061D9-9E4A-43DF-8DB1-3968CB5C8D92}" sibTransId="{53223698-2B2C-49F0-A2FD-C36CDE770E6A}"/>
    <dgm:cxn modelId="{096EAA83-50F2-4DBB-A6BC-23A7307D9330}" type="presOf" srcId="{3A0611FB-AD1D-4B0B-AF07-F78C97232298}" destId="{D6554E58-1EB8-4392-8E5B-FDDF190BDD5F}" srcOrd="0" destOrd="0" presId="urn:microsoft.com/office/officeart/2005/8/layout/bProcess4"/>
    <dgm:cxn modelId="{40826786-AA24-4F86-81FF-4A01CF35DEF7}" type="presOf" srcId="{8B7DB462-8760-463F-9C3D-8536B2510547}" destId="{41D2B104-0429-49C5-8BF0-6413DE034036}" srcOrd="0" destOrd="0" presId="urn:microsoft.com/office/officeart/2005/8/layout/bProcess4"/>
    <dgm:cxn modelId="{3B63799D-DAB6-42FC-A5A2-15B58FC71B48}" srcId="{9A02B645-4096-4799-8FD4-BE4CDF26FB09}" destId="{D671FF86-42FC-4A3D-A876-342131E83DB6}" srcOrd="2" destOrd="0" parTransId="{89AE4EA0-7C5C-4DD0-89F2-9AD00E4668A2}" sibTransId="{6DF2006A-8C59-4951-98B3-716BCF6BE507}"/>
    <dgm:cxn modelId="{5EAE78A2-2C3E-4D0F-8B4E-C3F5BE2EF917}" type="presOf" srcId="{6DF2006A-8C59-4951-98B3-716BCF6BE507}" destId="{7B76B6AF-8BD7-4F74-809E-A8010BBB92B4}" srcOrd="0" destOrd="0" presId="urn:microsoft.com/office/officeart/2005/8/layout/bProcess4"/>
    <dgm:cxn modelId="{837AAAA8-4865-4F90-8A1E-3BA15A15C72B}" type="presOf" srcId="{53223698-2B2C-49F0-A2FD-C36CDE770E6A}" destId="{2077B27F-2F43-40FE-9A7C-7A9A275874CF}" srcOrd="0" destOrd="0" presId="urn:microsoft.com/office/officeart/2005/8/layout/bProcess4"/>
    <dgm:cxn modelId="{B04D1CAB-3FC4-45A1-BDC8-D3FEB3B81E18}" srcId="{9A02B645-4096-4799-8FD4-BE4CDF26FB09}" destId="{A0FFD35D-C281-4F0F-A212-26AB67743545}" srcOrd="3" destOrd="0" parTransId="{5989BF1D-2BE2-47B8-983E-835481A6322E}" sibTransId="{3A0611FB-AD1D-4B0B-AF07-F78C97232298}"/>
    <dgm:cxn modelId="{ED6CA2AE-0819-45AF-A76B-9E53FE1695D1}" type="presOf" srcId="{71C9EFB2-51DD-4F02-A9B9-9C50645BC5D6}" destId="{AB6C90EE-C034-4302-BA60-132EBE95C681}" srcOrd="0" destOrd="0" presId="urn:microsoft.com/office/officeart/2005/8/layout/bProcess4"/>
    <dgm:cxn modelId="{58A72BAF-2E78-4784-8D47-623A77E16328}" type="presOf" srcId="{A0FFD35D-C281-4F0F-A212-26AB67743545}" destId="{E8BDDDD0-9227-4BC2-B2F7-42BC3E378893}" srcOrd="0" destOrd="0" presId="urn:microsoft.com/office/officeart/2005/8/layout/bProcess4"/>
    <dgm:cxn modelId="{480ABAB8-42A6-4DC8-8E49-AF574963674C}" type="presOf" srcId="{DB2B46DD-070A-4BB8-938B-AAFFD232545C}" destId="{A0F9A720-C402-438F-8B4A-A2A9E396864F}" srcOrd="0" destOrd="0" presId="urn:microsoft.com/office/officeart/2005/8/layout/bProcess4"/>
    <dgm:cxn modelId="{CD40F3B8-5626-4630-BD0C-FF1EED04B0AC}" srcId="{9A02B645-4096-4799-8FD4-BE4CDF26FB09}" destId="{679B8BFB-E084-42F2-AB12-FB603D3D07A5}" srcOrd="4" destOrd="0" parTransId="{DCCBA30E-8C78-4489-8ABC-5F41F417A498}" sibTransId="{DB2B46DD-070A-4BB8-938B-AAFFD232545C}"/>
    <dgm:cxn modelId="{BB4FB3C9-AAE4-45D3-9188-6C08320EAF42}" srcId="{9A02B645-4096-4799-8FD4-BE4CDF26FB09}" destId="{FA1E7654-67E5-48D2-AAB9-963F9A18BFD4}" srcOrd="8" destOrd="0" parTransId="{7D893F3C-5D01-40E6-9201-C5E1AFC7081B}" sibTransId="{BC0EA34C-99D4-412D-9EEE-E00632BA8A99}"/>
    <dgm:cxn modelId="{845E25D3-C01F-459F-84DA-8A44C224CAE3}" type="presOf" srcId="{59F03597-27B5-453A-ACF3-5DDD60E9CD8D}" destId="{AE1B6C3F-C2D0-46B7-8220-BE97A994029F}" srcOrd="0" destOrd="0" presId="urn:microsoft.com/office/officeart/2005/8/layout/bProcess4"/>
    <dgm:cxn modelId="{DA3797E6-D5DF-4DD5-B0C8-A6D0619CA899}" srcId="{9A02B645-4096-4799-8FD4-BE4CDF26FB09}" destId="{B4431825-17C8-458C-89B0-B8F96A2DFD9C}" srcOrd="7" destOrd="0" parTransId="{B5B9A2FA-93BC-466E-86F3-8C0E54C399C4}" sibTransId="{59F03597-27B5-453A-ACF3-5DDD60E9CD8D}"/>
    <dgm:cxn modelId="{6E1381F4-8328-4871-9097-7D45F3F8A1E0}" type="presOf" srcId="{2F9F1B1A-71ED-4195-BB50-3F23B5E031EC}" destId="{8EA17C80-7046-4C00-A735-A3B2AFF3DE92}" srcOrd="0" destOrd="0" presId="urn:microsoft.com/office/officeart/2005/8/layout/bProcess4"/>
    <dgm:cxn modelId="{1FC909FD-AE2A-44C0-82D4-C2496A21D963}" srcId="{9A02B645-4096-4799-8FD4-BE4CDF26FB09}" destId="{2F9F1B1A-71ED-4195-BB50-3F23B5E031EC}" srcOrd="5" destOrd="0" parTransId="{B0BEF632-C4AF-4975-9A04-E179CD259D0A}" sibTransId="{6E427E3F-77CD-4D74-8FF2-4DB408C2776C}"/>
    <dgm:cxn modelId="{28A663FE-48AA-411B-B12C-2EF21CFAA97F}" type="presOf" srcId="{89743EEA-1AB2-4651-82F7-9902B8D9F1B9}" destId="{8940B763-A821-4AD6-8BA6-EA3359E17FAF}" srcOrd="0" destOrd="0" presId="urn:microsoft.com/office/officeart/2005/8/layout/bProcess4"/>
    <dgm:cxn modelId="{AE1CF91E-F2E5-4D19-ADCF-75B1BB85C43D}" type="presParOf" srcId="{D83A8643-BBED-46C9-B889-9D448BAEE5D9}" destId="{0047E88A-BA9D-47C5-A022-7F56E6B21406}" srcOrd="0" destOrd="0" presId="urn:microsoft.com/office/officeart/2005/8/layout/bProcess4"/>
    <dgm:cxn modelId="{1C7611A1-11F8-4ABF-AE8B-FC232A70803B}" type="presParOf" srcId="{0047E88A-BA9D-47C5-A022-7F56E6B21406}" destId="{03ED3DA3-E7ED-436B-8F20-171B4B153FB5}" srcOrd="0" destOrd="0" presId="urn:microsoft.com/office/officeart/2005/8/layout/bProcess4"/>
    <dgm:cxn modelId="{CB39FB30-A5AD-4C9B-9FD2-36918840467C}" type="presParOf" srcId="{0047E88A-BA9D-47C5-A022-7F56E6B21406}" destId="{AB6C90EE-C034-4302-BA60-132EBE95C681}" srcOrd="1" destOrd="0" presId="urn:microsoft.com/office/officeart/2005/8/layout/bProcess4"/>
    <dgm:cxn modelId="{B0152C2E-3172-4766-BB5F-71517785DA9B}" type="presParOf" srcId="{D83A8643-BBED-46C9-B889-9D448BAEE5D9}" destId="{3D2B0E6D-3016-46EB-B6A5-0E0748AB52E7}" srcOrd="1" destOrd="0" presId="urn:microsoft.com/office/officeart/2005/8/layout/bProcess4"/>
    <dgm:cxn modelId="{D1CA0E91-971E-42C5-B728-5E894B338EAD}" type="presParOf" srcId="{D83A8643-BBED-46C9-B889-9D448BAEE5D9}" destId="{E879CB0D-9D75-4AFB-814E-AEB64F4A42F6}" srcOrd="2" destOrd="0" presId="urn:microsoft.com/office/officeart/2005/8/layout/bProcess4"/>
    <dgm:cxn modelId="{3327357E-C5BD-4665-9630-C26039D4B535}" type="presParOf" srcId="{E879CB0D-9D75-4AFB-814E-AEB64F4A42F6}" destId="{B68D134A-72F7-43FC-B902-A884C2F3F1EA}" srcOrd="0" destOrd="0" presId="urn:microsoft.com/office/officeart/2005/8/layout/bProcess4"/>
    <dgm:cxn modelId="{4EAB9458-453E-4BF4-B8D9-3F9421EE30B1}" type="presParOf" srcId="{E879CB0D-9D75-4AFB-814E-AEB64F4A42F6}" destId="{62E0A740-3973-4E93-B5EA-3EB8778F30DD}" srcOrd="1" destOrd="0" presId="urn:microsoft.com/office/officeart/2005/8/layout/bProcess4"/>
    <dgm:cxn modelId="{1DC4A0A5-572D-4F28-85E9-D24E1ABA5335}" type="presParOf" srcId="{D83A8643-BBED-46C9-B889-9D448BAEE5D9}" destId="{41D2B104-0429-49C5-8BF0-6413DE034036}" srcOrd="3" destOrd="0" presId="urn:microsoft.com/office/officeart/2005/8/layout/bProcess4"/>
    <dgm:cxn modelId="{B8450219-B512-4A97-8540-5CE406C6C41A}" type="presParOf" srcId="{D83A8643-BBED-46C9-B889-9D448BAEE5D9}" destId="{0D20DDA5-126D-4DBB-B35B-C763CB1F73DE}" srcOrd="4" destOrd="0" presId="urn:microsoft.com/office/officeart/2005/8/layout/bProcess4"/>
    <dgm:cxn modelId="{EB04CB73-A923-4C6B-9E74-1514E47BF2B9}" type="presParOf" srcId="{0D20DDA5-126D-4DBB-B35B-C763CB1F73DE}" destId="{43182235-16D0-4F98-A66A-E7F25E6B5329}" srcOrd="0" destOrd="0" presId="urn:microsoft.com/office/officeart/2005/8/layout/bProcess4"/>
    <dgm:cxn modelId="{59037889-A845-4E2C-B439-3BD9F2A7375A}" type="presParOf" srcId="{0D20DDA5-126D-4DBB-B35B-C763CB1F73DE}" destId="{1F9D2284-1442-47A0-ACDA-96DF3E148ABB}" srcOrd="1" destOrd="0" presId="urn:microsoft.com/office/officeart/2005/8/layout/bProcess4"/>
    <dgm:cxn modelId="{A063D1DF-7138-45DE-A46D-7E8BBD78E039}" type="presParOf" srcId="{D83A8643-BBED-46C9-B889-9D448BAEE5D9}" destId="{7B76B6AF-8BD7-4F74-809E-A8010BBB92B4}" srcOrd="5" destOrd="0" presId="urn:microsoft.com/office/officeart/2005/8/layout/bProcess4"/>
    <dgm:cxn modelId="{D9248390-4CA1-4A24-AF6E-EAB2EE514AF1}" type="presParOf" srcId="{D83A8643-BBED-46C9-B889-9D448BAEE5D9}" destId="{3042D27D-2C18-45D3-9849-AE5C9E63CD00}" srcOrd="6" destOrd="0" presId="urn:microsoft.com/office/officeart/2005/8/layout/bProcess4"/>
    <dgm:cxn modelId="{CEE3E93A-88F7-447B-BC72-24660FBC68AF}" type="presParOf" srcId="{3042D27D-2C18-45D3-9849-AE5C9E63CD00}" destId="{8985C134-8EEB-443C-8F51-2EA8B823762E}" srcOrd="0" destOrd="0" presId="urn:microsoft.com/office/officeart/2005/8/layout/bProcess4"/>
    <dgm:cxn modelId="{35B26ABC-C4E2-4844-9C7F-1BEAF8DD9B85}" type="presParOf" srcId="{3042D27D-2C18-45D3-9849-AE5C9E63CD00}" destId="{E8BDDDD0-9227-4BC2-B2F7-42BC3E378893}" srcOrd="1" destOrd="0" presId="urn:microsoft.com/office/officeart/2005/8/layout/bProcess4"/>
    <dgm:cxn modelId="{ADBAABFF-B6A0-4C45-9CD5-3C6A481430A6}" type="presParOf" srcId="{D83A8643-BBED-46C9-B889-9D448BAEE5D9}" destId="{D6554E58-1EB8-4392-8E5B-FDDF190BDD5F}" srcOrd="7" destOrd="0" presId="urn:microsoft.com/office/officeart/2005/8/layout/bProcess4"/>
    <dgm:cxn modelId="{62D0859A-6276-4EF5-9D72-CC86979B8418}" type="presParOf" srcId="{D83A8643-BBED-46C9-B889-9D448BAEE5D9}" destId="{E60CF254-3CAF-408B-AF52-76E014E789F9}" srcOrd="8" destOrd="0" presId="urn:microsoft.com/office/officeart/2005/8/layout/bProcess4"/>
    <dgm:cxn modelId="{66A6F516-5FEC-44B4-AA6A-C06FEFD16C6F}" type="presParOf" srcId="{E60CF254-3CAF-408B-AF52-76E014E789F9}" destId="{DDE98BD6-3A2E-4FC5-9284-EAA510DAAA24}" srcOrd="0" destOrd="0" presId="urn:microsoft.com/office/officeart/2005/8/layout/bProcess4"/>
    <dgm:cxn modelId="{C6211471-E65D-4E55-87CE-20D87F980BEA}" type="presParOf" srcId="{E60CF254-3CAF-408B-AF52-76E014E789F9}" destId="{5EA040DA-F9B9-4476-B8CB-95820B2CCEA4}" srcOrd="1" destOrd="0" presId="urn:microsoft.com/office/officeart/2005/8/layout/bProcess4"/>
    <dgm:cxn modelId="{B93C06C6-6FED-446A-9786-380314814F8C}" type="presParOf" srcId="{D83A8643-BBED-46C9-B889-9D448BAEE5D9}" destId="{A0F9A720-C402-438F-8B4A-A2A9E396864F}" srcOrd="9" destOrd="0" presId="urn:microsoft.com/office/officeart/2005/8/layout/bProcess4"/>
    <dgm:cxn modelId="{65DA4062-F82E-4387-9B5F-688BBD30C8EA}" type="presParOf" srcId="{D83A8643-BBED-46C9-B889-9D448BAEE5D9}" destId="{A4BABA29-6C50-4426-BA3C-6B59D6EBDE08}" srcOrd="10" destOrd="0" presId="urn:microsoft.com/office/officeart/2005/8/layout/bProcess4"/>
    <dgm:cxn modelId="{FAA1DB36-F264-4F8D-A4D8-52CDDAE41AD7}" type="presParOf" srcId="{A4BABA29-6C50-4426-BA3C-6B59D6EBDE08}" destId="{D7F1559A-33C1-44BD-9648-1FF09D6C08B9}" srcOrd="0" destOrd="0" presId="urn:microsoft.com/office/officeart/2005/8/layout/bProcess4"/>
    <dgm:cxn modelId="{16354206-3D1E-48B4-9D61-74CBBF164E04}" type="presParOf" srcId="{A4BABA29-6C50-4426-BA3C-6B59D6EBDE08}" destId="{8EA17C80-7046-4C00-A735-A3B2AFF3DE92}" srcOrd="1" destOrd="0" presId="urn:microsoft.com/office/officeart/2005/8/layout/bProcess4"/>
    <dgm:cxn modelId="{8497F39B-1062-446C-9771-AA8F93A8B2E1}" type="presParOf" srcId="{D83A8643-BBED-46C9-B889-9D448BAEE5D9}" destId="{5B69FAE2-F113-40DB-A94E-638F3000D7FB}" srcOrd="11" destOrd="0" presId="urn:microsoft.com/office/officeart/2005/8/layout/bProcess4"/>
    <dgm:cxn modelId="{225B92BF-A1E1-4BC5-82B2-6E76E054C2B1}" type="presParOf" srcId="{D83A8643-BBED-46C9-B889-9D448BAEE5D9}" destId="{96BEE8D7-F3F1-4B6C-B69A-EE07EAA7BE49}" srcOrd="12" destOrd="0" presId="urn:microsoft.com/office/officeart/2005/8/layout/bProcess4"/>
    <dgm:cxn modelId="{CED94019-3877-4E3D-9DB0-AFCB9762D0CA}" type="presParOf" srcId="{96BEE8D7-F3F1-4B6C-B69A-EE07EAA7BE49}" destId="{7AA79809-3811-44D6-8F6D-84793379F4DF}" srcOrd="0" destOrd="0" presId="urn:microsoft.com/office/officeart/2005/8/layout/bProcess4"/>
    <dgm:cxn modelId="{9020DA6D-8195-49D3-A3DD-5069D936E087}" type="presParOf" srcId="{96BEE8D7-F3F1-4B6C-B69A-EE07EAA7BE49}" destId="{8940B763-A821-4AD6-8BA6-EA3359E17FAF}" srcOrd="1" destOrd="0" presId="urn:microsoft.com/office/officeart/2005/8/layout/bProcess4"/>
    <dgm:cxn modelId="{642D70A9-3CD3-4246-80CA-03C425D1EF9B}" type="presParOf" srcId="{D83A8643-BBED-46C9-B889-9D448BAEE5D9}" destId="{2077B27F-2F43-40FE-9A7C-7A9A275874CF}" srcOrd="13" destOrd="0" presId="urn:microsoft.com/office/officeart/2005/8/layout/bProcess4"/>
    <dgm:cxn modelId="{FDF5A298-B6E3-4029-86BF-0944544FC781}" type="presParOf" srcId="{D83A8643-BBED-46C9-B889-9D448BAEE5D9}" destId="{956222C5-35D2-48E1-B53D-90013C20DF46}" srcOrd="14" destOrd="0" presId="urn:microsoft.com/office/officeart/2005/8/layout/bProcess4"/>
    <dgm:cxn modelId="{6A31F486-56CD-4663-B52A-69AB09A36F07}" type="presParOf" srcId="{956222C5-35D2-48E1-B53D-90013C20DF46}" destId="{92BC2B50-8745-4175-AD24-8284EDB16D0B}" srcOrd="0" destOrd="0" presId="urn:microsoft.com/office/officeart/2005/8/layout/bProcess4"/>
    <dgm:cxn modelId="{F6A8A1DA-B23A-446C-9FB2-E9EB91A6692F}" type="presParOf" srcId="{956222C5-35D2-48E1-B53D-90013C20DF46}" destId="{E0FB3901-6A98-4D4A-BDFC-E9FEE240804A}" srcOrd="1" destOrd="0" presId="urn:microsoft.com/office/officeart/2005/8/layout/bProcess4"/>
    <dgm:cxn modelId="{D0BD0EC7-14E4-443D-AD3C-7B2FEAA1D177}" type="presParOf" srcId="{D83A8643-BBED-46C9-B889-9D448BAEE5D9}" destId="{AE1B6C3F-C2D0-46B7-8220-BE97A994029F}" srcOrd="15" destOrd="0" presId="urn:microsoft.com/office/officeart/2005/8/layout/bProcess4"/>
    <dgm:cxn modelId="{1D9E4BBD-54C6-4AC0-990F-87BFD5A7D6C3}" type="presParOf" srcId="{D83A8643-BBED-46C9-B889-9D448BAEE5D9}" destId="{CC38B53A-1A3B-4B65-8344-F832131A3EAB}" srcOrd="16" destOrd="0" presId="urn:microsoft.com/office/officeart/2005/8/layout/bProcess4"/>
    <dgm:cxn modelId="{E23C3684-493C-4DFF-9434-188F708208D9}" type="presParOf" srcId="{CC38B53A-1A3B-4B65-8344-F832131A3EAB}" destId="{CB97EA04-A32D-4669-A573-104CD26B91B5}" srcOrd="0" destOrd="0" presId="urn:microsoft.com/office/officeart/2005/8/layout/bProcess4"/>
    <dgm:cxn modelId="{6E8E412C-BE92-4A19-825B-A452BC58114A}" type="presParOf" srcId="{CC38B53A-1A3B-4B65-8344-F832131A3EAB}" destId="{F311720F-8028-4C5D-A63D-8F4686FC2FE5}" srcOrd="1" destOrd="0" presId="urn:microsoft.com/office/officeart/2005/8/layout/bProcess4"/>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C95A1A-F071-4C1B-9027-3442CF835AFF}">
      <dsp:nvSpPr>
        <dsp:cNvPr id="0" name=""/>
        <dsp:cNvSpPr/>
      </dsp:nvSpPr>
      <dsp:spPr>
        <a:xfrm>
          <a:off x="8897" y="0"/>
          <a:ext cx="5563855" cy="1971675"/>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7ACBD87-07E6-4409-A6DD-699DCF859A08}">
      <dsp:nvSpPr>
        <dsp:cNvPr id="0" name=""/>
        <dsp:cNvSpPr/>
      </dsp:nvSpPr>
      <dsp:spPr>
        <a:xfrm>
          <a:off x="2452" y="591502"/>
          <a:ext cx="1072450" cy="788670"/>
        </a:xfrm>
        <a:prstGeom prst="roundRect">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Property becomes available </a:t>
          </a:r>
        </a:p>
      </dsp:txBody>
      <dsp:txXfrm>
        <a:off x="40952" y="630002"/>
        <a:ext cx="995450" cy="711670"/>
      </dsp:txXfrm>
    </dsp:sp>
    <dsp:sp modelId="{EFE0DB2D-A0BF-415F-8B51-FF6A17BE8E87}">
      <dsp:nvSpPr>
        <dsp:cNvPr id="0" name=""/>
        <dsp:cNvSpPr/>
      </dsp:nvSpPr>
      <dsp:spPr>
        <a:xfrm>
          <a:off x="1128526" y="591502"/>
          <a:ext cx="1072450" cy="788670"/>
        </a:xfrm>
        <a:prstGeom prst="roundRect">
          <a:avLst/>
        </a:prstGeom>
        <a:solidFill>
          <a:schemeClr val="accent1">
            <a:shade val="80000"/>
            <a:hueOff val="136400"/>
            <a:satOff val="-14223"/>
            <a:lumOff val="955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Referral or Nomination of client from agency</a:t>
          </a:r>
        </a:p>
      </dsp:txBody>
      <dsp:txXfrm>
        <a:off x="1167026" y="630002"/>
        <a:ext cx="995450" cy="711670"/>
      </dsp:txXfrm>
    </dsp:sp>
    <dsp:sp modelId="{7224CA14-A5D8-401D-B959-0C307DE7815F}">
      <dsp:nvSpPr>
        <dsp:cNvPr id="0" name=""/>
        <dsp:cNvSpPr/>
      </dsp:nvSpPr>
      <dsp:spPr>
        <a:xfrm>
          <a:off x="2254599" y="591502"/>
          <a:ext cx="1072450" cy="788670"/>
        </a:xfrm>
        <a:prstGeom prst="roundRect">
          <a:avLst/>
        </a:prstGeom>
        <a:solidFill>
          <a:schemeClr val="accent1">
            <a:shade val="80000"/>
            <a:hueOff val="272799"/>
            <a:satOff val="-28446"/>
            <a:lumOff val="1911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Assessment of referrals</a:t>
          </a:r>
        </a:p>
      </dsp:txBody>
      <dsp:txXfrm>
        <a:off x="2293099" y="630002"/>
        <a:ext cx="995450" cy="711670"/>
      </dsp:txXfrm>
    </dsp:sp>
    <dsp:sp modelId="{5AC56E56-1207-435A-A156-29A0E4E7F1BF}">
      <dsp:nvSpPr>
        <dsp:cNvPr id="0" name=""/>
        <dsp:cNvSpPr/>
      </dsp:nvSpPr>
      <dsp:spPr>
        <a:xfrm>
          <a:off x="3380672" y="591502"/>
          <a:ext cx="1072450" cy="788670"/>
        </a:xfrm>
        <a:prstGeom prst="roundRect">
          <a:avLst/>
        </a:prstGeom>
        <a:solidFill>
          <a:schemeClr val="accent1">
            <a:shade val="80000"/>
            <a:hueOff val="409199"/>
            <a:satOff val="-42669"/>
            <a:lumOff val="2866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Allocation confirmed</a:t>
          </a:r>
        </a:p>
      </dsp:txBody>
      <dsp:txXfrm>
        <a:off x="3419172" y="630002"/>
        <a:ext cx="995450" cy="711670"/>
      </dsp:txXfrm>
    </dsp:sp>
    <dsp:sp modelId="{D3128060-D8C0-4A9A-A332-8029E67B9F7A}">
      <dsp:nvSpPr>
        <dsp:cNvPr id="0" name=""/>
        <dsp:cNvSpPr/>
      </dsp:nvSpPr>
      <dsp:spPr>
        <a:xfrm>
          <a:off x="4506746" y="591502"/>
          <a:ext cx="1072450" cy="788670"/>
        </a:xfrm>
        <a:prstGeom prst="roundRect">
          <a:avLst/>
        </a:prstGeom>
        <a:solidFill>
          <a:schemeClr val="accent1">
            <a:shade val="80000"/>
            <a:hueOff val="545598"/>
            <a:satOff val="-56892"/>
            <a:lumOff val="3822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Sign up completed</a:t>
          </a:r>
        </a:p>
      </dsp:txBody>
      <dsp:txXfrm>
        <a:off x="4545246" y="630002"/>
        <a:ext cx="995450" cy="7116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2B0E6D-3016-46EB-B6A5-0E0748AB52E7}">
      <dsp:nvSpPr>
        <dsp:cNvPr id="0" name=""/>
        <dsp:cNvSpPr/>
      </dsp:nvSpPr>
      <dsp:spPr>
        <a:xfrm rot="5400000">
          <a:off x="-167744" y="608646"/>
          <a:ext cx="942104" cy="114210"/>
        </a:xfrm>
        <a:prstGeom prst="rect">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B6C90EE-C034-4302-BA60-132EBE95C681}">
      <dsp:nvSpPr>
        <dsp:cNvPr id="0" name=""/>
        <dsp:cNvSpPr/>
      </dsp:nvSpPr>
      <dsp:spPr>
        <a:xfrm>
          <a:off x="44681" y="1043"/>
          <a:ext cx="1269006" cy="761403"/>
        </a:xfrm>
        <a:prstGeom prst="roundRect">
          <a:avLst>
            <a:gd name="adj" fmla="val 10000"/>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Day 1: Sign Up &amp; Tenancy Commences</a:t>
          </a:r>
        </a:p>
      </dsp:txBody>
      <dsp:txXfrm>
        <a:off x="66982" y="23344"/>
        <a:ext cx="1224404" cy="716801"/>
      </dsp:txXfrm>
    </dsp:sp>
    <dsp:sp modelId="{41D2B104-0429-49C5-8BF0-6413DE034036}">
      <dsp:nvSpPr>
        <dsp:cNvPr id="0" name=""/>
        <dsp:cNvSpPr/>
      </dsp:nvSpPr>
      <dsp:spPr>
        <a:xfrm rot="5400000">
          <a:off x="-167744" y="1560401"/>
          <a:ext cx="942104" cy="114210"/>
        </a:xfrm>
        <a:prstGeom prst="rect">
          <a:avLst/>
        </a:prstGeom>
        <a:solidFill>
          <a:schemeClr val="accent1">
            <a:shade val="90000"/>
            <a:hueOff val="77920"/>
            <a:satOff val="-8024"/>
            <a:lumOff val="523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2E0A740-3973-4E93-B5EA-3EB8778F30DD}">
      <dsp:nvSpPr>
        <dsp:cNvPr id="0" name=""/>
        <dsp:cNvSpPr/>
      </dsp:nvSpPr>
      <dsp:spPr>
        <a:xfrm>
          <a:off x="44681" y="952798"/>
          <a:ext cx="1269006" cy="761403"/>
        </a:xfrm>
        <a:prstGeom prst="roundRect">
          <a:avLst>
            <a:gd name="adj" fmla="val 10000"/>
          </a:avLst>
        </a:prstGeom>
        <a:solidFill>
          <a:schemeClr val="accent1">
            <a:shade val="80000"/>
            <a:hueOff val="68200"/>
            <a:satOff val="-7112"/>
            <a:lumOff val="477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1 Month: Participation plan agreement finalised</a:t>
          </a:r>
        </a:p>
      </dsp:txBody>
      <dsp:txXfrm>
        <a:off x="66982" y="975099"/>
        <a:ext cx="1224404" cy="716801"/>
      </dsp:txXfrm>
    </dsp:sp>
    <dsp:sp modelId="{7B76B6AF-8BD7-4F74-809E-A8010BBB92B4}">
      <dsp:nvSpPr>
        <dsp:cNvPr id="0" name=""/>
        <dsp:cNvSpPr/>
      </dsp:nvSpPr>
      <dsp:spPr>
        <a:xfrm>
          <a:off x="308132" y="2036278"/>
          <a:ext cx="1678127" cy="114210"/>
        </a:xfrm>
        <a:prstGeom prst="rect">
          <a:avLst/>
        </a:prstGeom>
        <a:solidFill>
          <a:schemeClr val="accent1">
            <a:shade val="90000"/>
            <a:hueOff val="155840"/>
            <a:satOff val="-16048"/>
            <a:lumOff val="1046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F9D2284-1442-47A0-ACDA-96DF3E148ABB}">
      <dsp:nvSpPr>
        <dsp:cNvPr id="0" name=""/>
        <dsp:cNvSpPr/>
      </dsp:nvSpPr>
      <dsp:spPr>
        <a:xfrm>
          <a:off x="44681" y="1904552"/>
          <a:ext cx="1269006" cy="761403"/>
        </a:xfrm>
        <a:prstGeom prst="roundRect">
          <a:avLst>
            <a:gd name="adj" fmla="val 10000"/>
          </a:avLst>
        </a:prstGeom>
        <a:solidFill>
          <a:schemeClr val="accent1">
            <a:shade val="80000"/>
            <a:hueOff val="136400"/>
            <a:satOff val="-14223"/>
            <a:lumOff val="955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3 Months: Housing Review &amp; Property Inspection</a:t>
          </a:r>
        </a:p>
      </dsp:txBody>
      <dsp:txXfrm>
        <a:off x="66982" y="1926853"/>
        <a:ext cx="1224404" cy="716801"/>
      </dsp:txXfrm>
    </dsp:sp>
    <dsp:sp modelId="{D6554E58-1EB8-4392-8E5B-FDDF190BDD5F}">
      <dsp:nvSpPr>
        <dsp:cNvPr id="0" name=""/>
        <dsp:cNvSpPr/>
      </dsp:nvSpPr>
      <dsp:spPr>
        <a:xfrm rot="16200000">
          <a:off x="1520033" y="1560401"/>
          <a:ext cx="942104" cy="114210"/>
        </a:xfrm>
        <a:prstGeom prst="rect">
          <a:avLst/>
        </a:prstGeom>
        <a:solidFill>
          <a:schemeClr val="accent1">
            <a:shade val="90000"/>
            <a:hueOff val="233760"/>
            <a:satOff val="-24072"/>
            <a:lumOff val="1569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8BDDDD0-9227-4BC2-B2F7-42BC3E378893}">
      <dsp:nvSpPr>
        <dsp:cNvPr id="0" name=""/>
        <dsp:cNvSpPr/>
      </dsp:nvSpPr>
      <dsp:spPr>
        <a:xfrm>
          <a:off x="1732459" y="1904552"/>
          <a:ext cx="1269006" cy="761403"/>
        </a:xfrm>
        <a:prstGeom prst="roundRect">
          <a:avLst>
            <a:gd name="adj" fmla="val 10000"/>
          </a:avLst>
        </a:prstGeom>
        <a:solidFill>
          <a:schemeClr val="accent1">
            <a:shade val="80000"/>
            <a:hueOff val="204599"/>
            <a:satOff val="-21335"/>
            <a:lumOff val="1433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6 Months: Housing Review Conducted with Support</a:t>
          </a:r>
        </a:p>
      </dsp:txBody>
      <dsp:txXfrm>
        <a:off x="1754760" y="1926853"/>
        <a:ext cx="1224404" cy="716801"/>
      </dsp:txXfrm>
    </dsp:sp>
    <dsp:sp modelId="{A0F9A720-C402-438F-8B4A-A2A9E396864F}">
      <dsp:nvSpPr>
        <dsp:cNvPr id="0" name=""/>
        <dsp:cNvSpPr/>
      </dsp:nvSpPr>
      <dsp:spPr>
        <a:xfrm rot="16200000">
          <a:off x="1520033" y="608646"/>
          <a:ext cx="942104" cy="114210"/>
        </a:xfrm>
        <a:prstGeom prst="rect">
          <a:avLst/>
        </a:prstGeom>
        <a:solidFill>
          <a:schemeClr val="accent1">
            <a:shade val="90000"/>
            <a:hueOff val="311680"/>
            <a:satOff val="-32096"/>
            <a:lumOff val="2092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EA040DA-F9B9-4476-B8CB-95820B2CCEA4}">
      <dsp:nvSpPr>
        <dsp:cNvPr id="0" name=""/>
        <dsp:cNvSpPr/>
      </dsp:nvSpPr>
      <dsp:spPr>
        <a:xfrm>
          <a:off x="1732459" y="952798"/>
          <a:ext cx="1269006" cy="761403"/>
        </a:xfrm>
        <a:prstGeom prst="roundRect">
          <a:avLst>
            <a:gd name="adj" fmla="val 10000"/>
          </a:avLst>
        </a:prstGeom>
        <a:solidFill>
          <a:schemeClr val="accent1">
            <a:shade val="80000"/>
            <a:hueOff val="272799"/>
            <a:satOff val="-28446"/>
            <a:lumOff val="1911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9 Months: Housing Review &amp; Property Inspection</a:t>
          </a:r>
        </a:p>
      </dsp:txBody>
      <dsp:txXfrm>
        <a:off x="1754760" y="975099"/>
        <a:ext cx="1224404" cy="716801"/>
      </dsp:txXfrm>
    </dsp:sp>
    <dsp:sp modelId="{5B69FAE2-F113-40DB-A94E-638F3000D7FB}">
      <dsp:nvSpPr>
        <dsp:cNvPr id="0" name=""/>
        <dsp:cNvSpPr/>
      </dsp:nvSpPr>
      <dsp:spPr>
        <a:xfrm>
          <a:off x="1995911" y="132769"/>
          <a:ext cx="1678127" cy="114210"/>
        </a:xfrm>
        <a:prstGeom prst="rect">
          <a:avLst/>
        </a:prstGeom>
        <a:solidFill>
          <a:schemeClr val="accent1">
            <a:shade val="90000"/>
            <a:hueOff val="389599"/>
            <a:satOff val="-40120"/>
            <a:lumOff val="2615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EA17C80-7046-4C00-A735-A3B2AFF3DE92}">
      <dsp:nvSpPr>
        <dsp:cNvPr id="0" name=""/>
        <dsp:cNvSpPr/>
      </dsp:nvSpPr>
      <dsp:spPr>
        <a:xfrm>
          <a:off x="1732459" y="1043"/>
          <a:ext cx="1269006" cy="761403"/>
        </a:xfrm>
        <a:prstGeom prst="roundRect">
          <a:avLst>
            <a:gd name="adj" fmla="val 10000"/>
          </a:avLst>
        </a:prstGeom>
        <a:solidFill>
          <a:schemeClr val="accent1">
            <a:shade val="80000"/>
            <a:hueOff val="340999"/>
            <a:satOff val="-35558"/>
            <a:lumOff val="2388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12 Months: Housing Review &amp; Rent Review</a:t>
          </a:r>
        </a:p>
      </dsp:txBody>
      <dsp:txXfrm>
        <a:off x="1754760" y="23344"/>
        <a:ext cx="1224404" cy="716801"/>
      </dsp:txXfrm>
    </dsp:sp>
    <dsp:sp modelId="{2077B27F-2F43-40FE-9A7C-7A9A275874CF}">
      <dsp:nvSpPr>
        <dsp:cNvPr id="0" name=""/>
        <dsp:cNvSpPr/>
      </dsp:nvSpPr>
      <dsp:spPr>
        <a:xfrm rot="5400000">
          <a:off x="3207811" y="608646"/>
          <a:ext cx="942104" cy="114210"/>
        </a:xfrm>
        <a:prstGeom prst="rect">
          <a:avLst/>
        </a:prstGeom>
        <a:solidFill>
          <a:schemeClr val="accent1">
            <a:shade val="90000"/>
            <a:hueOff val="467519"/>
            <a:satOff val="-48144"/>
            <a:lumOff val="3138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940B763-A821-4AD6-8BA6-EA3359E17FAF}">
      <dsp:nvSpPr>
        <dsp:cNvPr id="0" name=""/>
        <dsp:cNvSpPr/>
      </dsp:nvSpPr>
      <dsp:spPr>
        <a:xfrm>
          <a:off x="3420237" y="1043"/>
          <a:ext cx="1269006" cy="761403"/>
        </a:xfrm>
        <a:prstGeom prst="roundRect">
          <a:avLst>
            <a:gd name="adj" fmla="val 10000"/>
          </a:avLst>
        </a:prstGeom>
        <a:solidFill>
          <a:schemeClr val="accent1">
            <a:shade val="80000"/>
            <a:hueOff val="409199"/>
            <a:satOff val="-42669"/>
            <a:lumOff val="2866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14 Months: Housing Review &amp; Property Inspection</a:t>
          </a:r>
        </a:p>
      </dsp:txBody>
      <dsp:txXfrm>
        <a:off x="3442538" y="23344"/>
        <a:ext cx="1224404" cy="716801"/>
      </dsp:txXfrm>
    </dsp:sp>
    <dsp:sp modelId="{AE1B6C3F-C2D0-46B7-8220-BE97A994029F}">
      <dsp:nvSpPr>
        <dsp:cNvPr id="0" name=""/>
        <dsp:cNvSpPr/>
      </dsp:nvSpPr>
      <dsp:spPr>
        <a:xfrm rot="5400000">
          <a:off x="3207811" y="1560401"/>
          <a:ext cx="942104" cy="114210"/>
        </a:xfrm>
        <a:prstGeom prst="rect">
          <a:avLst/>
        </a:prstGeom>
        <a:solidFill>
          <a:schemeClr val="accent1">
            <a:shade val="90000"/>
            <a:hueOff val="545439"/>
            <a:satOff val="-56168"/>
            <a:lumOff val="3661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0FB3901-6A98-4D4A-BDFC-E9FEE240804A}">
      <dsp:nvSpPr>
        <dsp:cNvPr id="0" name=""/>
        <dsp:cNvSpPr/>
      </dsp:nvSpPr>
      <dsp:spPr>
        <a:xfrm>
          <a:off x="3420237" y="952798"/>
          <a:ext cx="1269006" cy="761403"/>
        </a:xfrm>
        <a:prstGeom prst="roundRect">
          <a:avLst>
            <a:gd name="adj" fmla="val 10000"/>
          </a:avLst>
        </a:prstGeom>
        <a:solidFill>
          <a:schemeClr val="accent1">
            <a:shade val="80000"/>
            <a:hueOff val="477399"/>
            <a:satOff val="-49780"/>
            <a:lumOff val="334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18 Months: Housing Review Conducted with Support</a:t>
          </a:r>
        </a:p>
      </dsp:txBody>
      <dsp:txXfrm>
        <a:off x="3442538" y="975099"/>
        <a:ext cx="1224404" cy="716801"/>
      </dsp:txXfrm>
    </dsp:sp>
    <dsp:sp modelId="{F311720F-8028-4C5D-A63D-8F4686FC2FE5}">
      <dsp:nvSpPr>
        <dsp:cNvPr id="0" name=""/>
        <dsp:cNvSpPr/>
      </dsp:nvSpPr>
      <dsp:spPr>
        <a:xfrm>
          <a:off x="3420237" y="1904552"/>
          <a:ext cx="1269006" cy="761403"/>
        </a:xfrm>
        <a:prstGeom prst="roundRect">
          <a:avLst>
            <a:gd name="adj" fmla="val 10000"/>
          </a:avLst>
        </a:prstGeom>
        <a:solidFill>
          <a:schemeClr val="accent1">
            <a:shade val="80000"/>
            <a:hueOff val="545598"/>
            <a:satOff val="-56892"/>
            <a:lumOff val="3822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20-24 Months: Housing Review &amp; Property Inspection</a:t>
          </a:r>
        </a:p>
      </dsp:txBody>
      <dsp:txXfrm>
        <a:off x="3442538" y="1926853"/>
        <a:ext cx="1224404" cy="71680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SharedWithUsers xmlns="f00bc975-6bbc-455b-b94f-a040b201c214">
      <UserInfo>
        <DisplayName>Kathleen Close</DisplayName>
        <AccountId>4402</AccountId>
        <AccountType/>
      </UserInfo>
      <UserInfo>
        <DisplayName>Jason Perdriau</DisplayName>
        <AccountId>17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963FE8-484E-421D-A684-422D6241D49E}">
  <ds:schemaRefs>
    <ds:schemaRef ds:uri="http://schemas.microsoft.com/office/2006/metadata/properties"/>
    <ds:schemaRef ds:uri="http://schemas.microsoft.com/office/infopath/2007/PartnerControls"/>
    <ds:schemaRef ds:uri="cf03cbe8-952f-466a-b1f4-73ec1c63af97"/>
    <ds:schemaRef ds:uri="f00bc975-6bbc-455b-b94f-a040b201c214"/>
  </ds:schemaRefs>
</ds:datastoreItem>
</file>

<file path=customXml/itemProps2.xml><?xml version="1.0" encoding="utf-8"?>
<ds:datastoreItem xmlns:ds="http://schemas.openxmlformats.org/officeDocument/2006/customXml" ds:itemID="{9232EB60-1947-43CE-A07C-3BF825D5F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BD1034-9DB2-4663-AAAD-1ED63780AB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Kathleen Close</cp:lastModifiedBy>
  <cp:revision>51</cp:revision>
  <dcterms:created xsi:type="dcterms:W3CDTF">2024-05-21T04:25:00Z</dcterms:created>
  <dcterms:modified xsi:type="dcterms:W3CDTF">2024-05-21T05:40:00Z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